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75E4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2</w:t>
      </w:r>
      <w:r>
        <w:rPr>
          <w:rFonts w:hint="eastAsia" w:ascii="仿宋" w:hAnsi="仿宋" w:eastAsia="仿宋" w:cs="宋体"/>
          <w:kern w:val="0"/>
          <w:sz w:val="32"/>
          <w:szCs w:val="32"/>
        </w:rPr>
        <w:t>：</w:t>
      </w:r>
    </w:p>
    <w:p w14:paraId="20B7737B">
      <w:pPr>
        <w:spacing w:line="540" w:lineRule="exact"/>
        <w:jc w:val="center"/>
        <w:rPr>
          <w:rFonts w:ascii="华文中宋" w:hAnsi="华文中宋" w:eastAsia="华文中宋" w:cs="宋体"/>
          <w:b/>
          <w:kern w:val="0"/>
          <w:sz w:val="52"/>
          <w:szCs w:val="52"/>
        </w:rPr>
      </w:pPr>
    </w:p>
    <w:p w14:paraId="469176DC">
      <w:pPr>
        <w:spacing w:line="540" w:lineRule="exact"/>
        <w:jc w:val="center"/>
        <w:rPr>
          <w:rFonts w:ascii="华文中宋" w:hAnsi="华文中宋" w:eastAsia="华文中宋" w:cs="宋体"/>
          <w:b/>
          <w:kern w:val="0"/>
          <w:sz w:val="52"/>
          <w:szCs w:val="52"/>
        </w:rPr>
      </w:pPr>
    </w:p>
    <w:p w14:paraId="6B57A166">
      <w:pPr>
        <w:spacing w:line="540" w:lineRule="exact"/>
        <w:jc w:val="center"/>
        <w:rPr>
          <w:rFonts w:ascii="华文中宋" w:hAnsi="华文中宋" w:eastAsia="华文中宋" w:cs="宋体"/>
          <w:b/>
          <w:kern w:val="0"/>
          <w:sz w:val="52"/>
          <w:szCs w:val="52"/>
        </w:rPr>
      </w:pPr>
    </w:p>
    <w:p w14:paraId="3E0BD530">
      <w:pPr>
        <w:spacing w:line="540" w:lineRule="exact"/>
        <w:jc w:val="center"/>
        <w:rPr>
          <w:rFonts w:ascii="华文中宋" w:hAnsi="华文中宋" w:eastAsia="华文中宋" w:cs="宋体"/>
          <w:b/>
          <w:kern w:val="0"/>
          <w:sz w:val="52"/>
          <w:szCs w:val="52"/>
        </w:rPr>
      </w:pPr>
    </w:p>
    <w:p w14:paraId="6A25531A">
      <w:pPr>
        <w:spacing w:line="540" w:lineRule="exact"/>
        <w:jc w:val="center"/>
        <w:rPr>
          <w:rFonts w:ascii="华文中宋" w:hAnsi="华文中宋" w:eastAsia="华文中宋" w:cs="宋体"/>
          <w:b/>
          <w:kern w:val="0"/>
          <w:sz w:val="52"/>
          <w:szCs w:val="52"/>
        </w:rPr>
      </w:pPr>
    </w:p>
    <w:p w14:paraId="387592AF">
      <w:pPr>
        <w:spacing w:line="540" w:lineRule="exact"/>
        <w:jc w:val="center"/>
        <w:rPr>
          <w:rFonts w:ascii="华文中宋" w:hAnsi="华文中宋" w:eastAsia="华文中宋" w:cs="宋体"/>
          <w:b/>
          <w:kern w:val="0"/>
          <w:sz w:val="52"/>
          <w:szCs w:val="52"/>
        </w:rPr>
      </w:pPr>
    </w:p>
    <w:p w14:paraId="67E512A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7073ACCF">
      <w:pPr>
        <w:spacing w:line="540" w:lineRule="exact"/>
        <w:jc w:val="center"/>
        <w:rPr>
          <w:rFonts w:ascii="华文中宋" w:hAnsi="华文中宋" w:eastAsia="华文中宋" w:cs="宋体"/>
          <w:b/>
          <w:kern w:val="0"/>
          <w:sz w:val="52"/>
          <w:szCs w:val="52"/>
        </w:rPr>
      </w:pPr>
    </w:p>
    <w:p w14:paraId="1B6AC7D7">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 xml:space="preserve">   </w:t>
      </w:r>
      <w:r>
        <w:rPr>
          <w:rFonts w:hint="eastAsia" w:hAnsi="宋体" w:eastAsia="仿宋_GB2312" w:cs="宋体"/>
          <w:kern w:val="0"/>
          <w:sz w:val="36"/>
          <w:szCs w:val="36"/>
        </w:rPr>
        <w:t>2018</w:t>
      </w:r>
      <w:r>
        <w:rPr>
          <w:rFonts w:hAnsi="宋体" w:eastAsia="仿宋_GB2312" w:cs="宋体"/>
          <w:kern w:val="0"/>
          <w:sz w:val="36"/>
          <w:szCs w:val="36"/>
        </w:rPr>
        <w:t xml:space="preserve">  </w:t>
      </w:r>
      <w:r>
        <w:rPr>
          <w:rFonts w:hint="eastAsia" w:hAnsi="宋体" w:eastAsia="仿宋_GB2312" w:cs="宋体"/>
          <w:kern w:val="0"/>
          <w:sz w:val="36"/>
          <w:szCs w:val="36"/>
        </w:rPr>
        <w:t>年度）</w:t>
      </w:r>
    </w:p>
    <w:p w14:paraId="2ECD3464">
      <w:pPr>
        <w:spacing w:line="540" w:lineRule="exact"/>
        <w:jc w:val="center"/>
        <w:rPr>
          <w:rFonts w:hAnsi="宋体" w:eastAsia="仿宋_GB2312" w:cs="宋体"/>
          <w:kern w:val="0"/>
          <w:sz w:val="30"/>
          <w:szCs w:val="30"/>
        </w:rPr>
      </w:pPr>
    </w:p>
    <w:p w14:paraId="5339957A">
      <w:pPr>
        <w:spacing w:line="540" w:lineRule="exact"/>
        <w:jc w:val="center"/>
        <w:rPr>
          <w:rFonts w:hAnsi="宋体" w:eastAsia="仿宋_GB2312" w:cs="宋体"/>
          <w:kern w:val="0"/>
          <w:sz w:val="30"/>
          <w:szCs w:val="30"/>
        </w:rPr>
      </w:pPr>
    </w:p>
    <w:p w14:paraId="3DAD68D7">
      <w:pPr>
        <w:spacing w:line="540" w:lineRule="exact"/>
        <w:jc w:val="center"/>
        <w:rPr>
          <w:rFonts w:ascii="方正小标宋_GBK" w:hAnsi="宋体" w:eastAsia="方正小标宋_GBK" w:cs="宋体"/>
          <w:kern w:val="0"/>
          <w:sz w:val="36"/>
          <w:szCs w:val="36"/>
        </w:rPr>
      </w:pPr>
    </w:p>
    <w:p w14:paraId="06A69C1A">
      <w:pPr>
        <w:spacing w:line="540" w:lineRule="exact"/>
        <w:jc w:val="center"/>
        <w:rPr>
          <w:rFonts w:hAnsi="宋体" w:eastAsia="仿宋_GB2312" w:cs="宋体"/>
          <w:kern w:val="0"/>
          <w:sz w:val="30"/>
          <w:szCs w:val="30"/>
        </w:rPr>
      </w:pPr>
    </w:p>
    <w:p w14:paraId="33685B72">
      <w:pPr>
        <w:spacing w:line="540" w:lineRule="exact"/>
        <w:jc w:val="center"/>
        <w:rPr>
          <w:rFonts w:hAnsi="宋体" w:eastAsia="仿宋_GB2312" w:cs="宋体"/>
          <w:kern w:val="0"/>
          <w:sz w:val="30"/>
          <w:szCs w:val="30"/>
        </w:rPr>
      </w:pPr>
    </w:p>
    <w:p w14:paraId="6525FF79">
      <w:pPr>
        <w:spacing w:line="540" w:lineRule="exact"/>
        <w:jc w:val="center"/>
        <w:rPr>
          <w:rFonts w:hAnsi="宋体" w:eastAsia="仿宋_GB2312" w:cs="宋体"/>
          <w:kern w:val="0"/>
          <w:sz w:val="30"/>
          <w:szCs w:val="30"/>
        </w:rPr>
      </w:pPr>
    </w:p>
    <w:p w14:paraId="48775FD0">
      <w:pPr>
        <w:spacing w:line="540" w:lineRule="exact"/>
        <w:rPr>
          <w:rFonts w:hAnsi="宋体" w:eastAsia="仿宋_GB2312" w:cs="宋体"/>
          <w:kern w:val="0"/>
          <w:sz w:val="30"/>
          <w:szCs w:val="30"/>
        </w:rPr>
      </w:pPr>
    </w:p>
    <w:p w14:paraId="0FF3DBB4">
      <w:pPr>
        <w:spacing w:line="700" w:lineRule="exact"/>
        <w:ind w:left="2740" w:hanging="2739" w:hangingChars="761"/>
        <w:jc w:val="left"/>
        <w:rPr>
          <w:rFonts w:hAnsi="宋体" w:eastAsia="仿宋_GB2312" w:cs="宋体"/>
          <w:kern w:val="0"/>
          <w:sz w:val="36"/>
          <w:szCs w:val="36"/>
        </w:rPr>
      </w:pPr>
      <w:r>
        <w:rPr>
          <w:rFonts w:hAnsi="宋体" w:eastAsia="仿宋_GB2312" w:cs="宋体"/>
          <w:kern w:val="0"/>
          <w:sz w:val="36"/>
          <w:szCs w:val="36"/>
        </w:rPr>
        <w:t xml:space="preserve">     </w:t>
      </w:r>
      <w:r>
        <w:rPr>
          <w:rFonts w:hint="eastAsia" w:hAnsi="宋体" w:eastAsia="仿宋_GB2312" w:cs="宋体"/>
          <w:kern w:val="0"/>
          <w:sz w:val="36"/>
          <w:szCs w:val="36"/>
        </w:rPr>
        <w:t>项目名称：扶持村级集体经济发展试点项目县级配套资金</w:t>
      </w:r>
    </w:p>
    <w:p w14:paraId="620AEC8D">
      <w:pPr>
        <w:spacing w:line="700" w:lineRule="exact"/>
        <w:jc w:val="left"/>
        <w:rPr>
          <w:rFonts w:hAnsi="宋体" w:eastAsia="仿宋_GB2312" w:cs="宋体"/>
          <w:kern w:val="0"/>
          <w:sz w:val="36"/>
          <w:szCs w:val="36"/>
        </w:rPr>
      </w:pPr>
      <w:r>
        <w:rPr>
          <w:rFonts w:hAnsi="宋体" w:eastAsia="仿宋_GB2312" w:cs="宋体"/>
          <w:kern w:val="0"/>
          <w:sz w:val="36"/>
          <w:szCs w:val="36"/>
        </w:rPr>
        <w:t xml:space="preserve">     </w:t>
      </w:r>
      <w:r>
        <w:rPr>
          <w:rFonts w:hint="eastAsia" w:hAnsi="宋体" w:eastAsia="仿宋_GB2312" w:cs="宋体"/>
          <w:kern w:val="0"/>
          <w:sz w:val="36"/>
          <w:szCs w:val="36"/>
        </w:rPr>
        <w:t>实施单位（公章）：玛纳斯县乡财局（综改办）</w:t>
      </w:r>
    </w:p>
    <w:p w14:paraId="0E2870E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主管部门（公章）：玛纳斯县财政局</w:t>
      </w:r>
    </w:p>
    <w:p w14:paraId="4BAF2731">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项目负责人（签章）：吕校江</w:t>
      </w:r>
    </w:p>
    <w:p w14:paraId="3EB35F9D">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201</w:t>
      </w:r>
      <w:r>
        <w:rPr>
          <w:rFonts w:hint="eastAsia" w:hAnsi="宋体" w:eastAsia="仿宋_GB2312" w:cs="宋体"/>
          <w:kern w:val="0"/>
          <w:sz w:val="36"/>
          <w:szCs w:val="36"/>
        </w:rPr>
        <w:t>9</w:t>
      </w:r>
      <w:r>
        <w:rPr>
          <w:rFonts w:hAnsi="宋体" w:eastAsia="仿宋_GB2312" w:cs="宋体"/>
          <w:kern w:val="0"/>
          <w:sz w:val="36"/>
          <w:szCs w:val="36"/>
        </w:rPr>
        <w:t xml:space="preserve"> </w:t>
      </w:r>
      <w:r>
        <w:rPr>
          <w:rFonts w:hint="eastAsia" w:hAnsi="宋体" w:eastAsia="仿宋_GB2312" w:cs="宋体"/>
          <w:kern w:val="0"/>
          <w:sz w:val="36"/>
          <w:szCs w:val="36"/>
        </w:rPr>
        <w:t>年</w:t>
      </w:r>
      <w:r>
        <w:rPr>
          <w:rFonts w:hAnsi="宋体" w:eastAsia="仿宋_GB2312" w:cs="宋体"/>
          <w:kern w:val="0"/>
          <w:sz w:val="36"/>
          <w:szCs w:val="36"/>
        </w:rPr>
        <w:t xml:space="preserve"> </w:t>
      </w:r>
      <w:r>
        <w:rPr>
          <w:rFonts w:hint="eastAsia" w:hAnsi="宋体" w:eastAsia="仿宋_GB2312" w:cs="宋体"/>
          <w:kern w:val="0"/>
          <w:sz w:val="36"/>
          <w:szCs w:val="36"/>
        </w:rPr>
        <w:t>1</w:t>
      </w:r>
      <w:r>
        <w:rPr>
          <w:rFonts w:hAnsi="宋体" w:eastAsia="仿宋_GB2312" w:cs="宋体"/>
          <w:kern w:val="0"/>
          <w:sz w:val="36"/>
          <w:szCs w:val="36"/>
        </w:rPr>
        <w:t xml:space="preserve"> </w:t>
      </w:r>
      <w:r>
        <w:rPr>
          <w:rFonts w:hint="eastAsia" w:hAnsi="宋体" w:eastAsia="仿宋_GB2312" w:cs="宋体"/>
          <w:kern w:val="0"/>
          <w:sz w:val="36"/>
          <w:szCs w:val="36"/>
        </w:rPr>
        <w:t>月</w:t>
      </w:r>
      <w:r>
        <w:rPr>
          <w:rFonts w:hAnsi="宋体" w:eastAsia="仿宋_GB2312" w:cs="宋体"/>
          <w:kern w:val="0"/>
          <w:sz w:val="36"/>
          <w:szCs w:val="36"/>
        </w:rPr>
        <w:t xml:space="preserve"> </w:t>
      </w:r>
      <w:r>
        <w:rPr>
          <w:rFonts w:hint="eastAsia" w:hAnsi="宋体" w:eastAsia="仿宋_GB2312" w:cs="宋体"/>
          <w:kern w:val="0"/>
          <w:sz w:val="36"/>
          <w:szCs w:val="36"/>
        </w:rPr>
        <w:t>1</w:t>
      </w:r>
      <w:r>
        <w:rPr>
          <w:rFonts w:hAnsi="宋体" w:eastAsia="仿宋_GB2312" w:cs="宋体"/>
          <w:kern w:val="0"/>
          <w:sz w:val="36"/>
          <w:szCs w:val="36"/>
        </w:rPr>
        <w:t xml:space="preserve">0 </w:t>
      </w:r>
      <w:r>
        <w:rPr>
          <w:rFonts w:hint="eastAsia" w:hAnsi="宋体" w:eastAsia="仿宋_GB2312" w:cs="宋体"/>
          <w:kern w:val="0"/>
          <w:sz w:val="36"/>
          <w:szCs w:val="36"/>
        </w:rPr>
        <w:t>日</w:t>
      </w:r>
    </w:p>
    <w:p w14:paraId="7BC10264">
      <w:pPr>
        <w:spacing w:line="540" w:lineRule="exact"/>
        <w:jc w:val="center"/>
        <w:rPr>
          <w:rFonts w:hAnsi="宋体" w:eastAsia="仿宋_GB2312" w:cs="宋体"/>
          <w:kern w:val="0"/>
          <w:sz w:val="30"/>
          <w:szCs w:val="30"/>
        </w:rPr>
      </w:pPr>
    </w:p>
    <w:p w14:paraId="3EF71BF0">
      <w:pPr>
        <w:spacing w:line="540" w:lineRule="exact"/>
        <w:rPr>
          <w:rStyle w:val="19"/>
          <w:rFonts w:ascii="黑体" w:hAnsi="黑体" w:eastAsia="黑体"/>
          <w:b w:val="0"/>
          <w:spacing w:val="-4"/>
          <w:sz w:val="32"/>
          <w:szCs w:val="32"/>
        </w:rPr>
      </w:pPr>
    </w:p>
    <w:p w14:paraId="04A38EEF">
      <w:pPr>
        <w:spacing w:line="560" w:lineRule="exact"/>
        <w:ind w:firstLine="64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一、项目概况</w:t>
      </w:r>
    </w:p>
    <w:p w14:paraId="45B997FC">
      <w:pPr>
        <w:spacing w:line="560" w:lineRule="exact"/>
        <w:ind w:firstLine="567"/>
        <w:rPr>
          <w:rStyle w:val="19"/>
          <w:rFonts w:ascii="仿宋" w:hAnsi="仿宋" w:eastAsia="仿宋" w:cs="仿宋"/>
          <w:spacing w:val="-4"/>
          <w:sz w:val="32"/>
          <w:szCs w:val="32"/>
        </w:rPr>
      </w:pPr>
      <w:r>
        <w:rPr>
          <w:rStyle w:val="19"/>
          <w:rFonts w:hint="eastAsia" w:ascii="仿宋" w:hAnsi="仿宋" w:eastAsia="仿宋" w:cs="仿宋"/>
          <w:spacing w:val="-4"/>
          <w:sz w:val="32"/>
          <w:szCs w:val="32"/>
        </w:rPr>
        <w:t>（一）项目单位基本情况</w:t>
      </w:r>
    </w:p>
    <w:p w14:paraId="5370ED8A">
      <w:pPr>
        <w:spacing w:line="56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玛纳斯县，蒙古语意为巡逻者，因古代玛纳斯河沿岸有巡逻士兵而得名。全县总面积1.1万平方公里，辖11个乡镇、3个场站、5个驻县团场。有汉、回、哈萨克、维吾尔等32个民族，总人口28万人。玛纳斯县扶持村级集体经济发展试点项目涉及广东地乡小海子村、清水河乡团庄村、塔西河乡大草滩村、乐土驿镇柳树庄村、兰州湾镇王家庄村、包家店镇包家店村、凉州户镇五圣宫村、六户地镇杨家道村、北五岔镇吕家庄村、旱卡子滩乡头墩台子村等全县10个乡镇</w:t>
      </w:r>
      <w:r>
        <w:rPr>
          <w:rStyle w:val="19"/>
          <w:rFonts w:hint="eastAsia" w:ascii="仿宋" w:hAnsi="仿宋" w:eastAsia="仿宋" w:cs="仿宋"/>
          <w:b w:val="0"/>
          <w:bCs w:val="0"/>
          <w:color w:val="000000"/>
          <w:spacing w:val="-4"/>
          <w:sz w:val="32"/>
          <w:szCs w:val="32"/>
        </w:rPr>
        <w:t>10个</w:t>
      </w:r>
      <w:r>
        <w:rPr>
          <w:rStyle w:val="19"/>
          <w:rFonts w:hint="eastAsia" w:ascii="仿宋" w:hAnsi="仿宋" w:eastAsia="仿宋" w:cs="仿宋"/>
          <w:b w:val="0"/>
          <w:bCs w:val="0"/>
          <w:spacing w:val="-4"/>
          <w:sz w:val="32"/>
          <w:szCs w:val="32"/>
        </w:rPr>
        <w:t>行政村。</w:t>
      </w:r>
    </w:p>
    <w:p w14:paraId="0833D53F">
      <w:pPr>
        <w:spacing w:line="560" w:lineRule="exact"/>
        <w:ind w:firstLine="567" w:firstLineChars="181"/>
        <w:rPr>
          <w:rStyle w:val="19"/>
          <w:rFonts w:ascii="仿宋" w:hAnsi="仿宋" w:eastAsia="仿宋" w:cs="仿宋"/>
          <w:spacing w:val="-4"/>
          <w:sz w:val="32"/>
          <w:szCs w:val="32"/>
        </w:rPr>
      </w:pPr>
      <w:r>
        <w:rPr>
          <w:rStyle w:val="19"/>
          <w:rFonts w:hint="eastAsia" w:ascii="仿宋" w:hAnsi="仿宋" w:eastAsia="仿宋" w:cs="仿宋"/>
          <w:spacing w:val="-4"/>
          <w:sz w:val="32"/>
          <w:szCs w:val="32"/>
        </w:rPr>
        <w:t>（二）项目预算绩效目标设定情况</w:t>
      </w:r>
    </w:p>
    <w:p w14:paraId="01C65AF8">
      <w:pPr>
        <w:spacing w:line="560" w:lineRule="exact"/>
        <w:ind w:firstLine="579" w:firstLineChars="181"/>
        <w:rPr>
          <w:rFonts w:ascii="仿宋" w:hAnsi="仿宋" w:eastAsia="仿宋" w:cs="仿宋"/>
          <w:color w:val="000000"/>
          <w:sz w:val="32"/>
          <w:szCs w:val="32"/>
        </w:rPr>
      </w:pPr>
      <w:r>
        <w:rPr>
          <w:rFonts w:hint="eastAsia" w:ascii="仿宋" w:hAnsi="仿宋" w:eastAsia="仿宋" w:cs="仿宋"/>
          <w:color w:val="000000"/>
          <w:sz w:val="32"/>
          <w:szCs w:val="32"/>
        </w:rPr>
        <w:t>1、预期目标及阶段性目标：</w:t>
      </w:r>
    </w:p>
    <w:p w14:paraId="4E475BD6">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1）预期目标：按自治区工作安排，力争通过三年试点，培育一批经济持续发展、经营特色鲜明、集体实力壮大、农民收入增加、经营制度完善、公共服务能力增强的行政村，积极探索村级集体经济有效组织形式和集体资产保值增值增收增效经营管理模式，形成成熟高效可复制、可推广经验的村级集体经济发展模式</w:t>
      </w:r>
      <w:r>
        <w:rPr>
          <w:rFonts w:hint="eastAsia" w:ascii="仿宋" w:hAnsi="仿宋" w:eastAsia="仿宋" w:cs="仿宋"/>
          <w:color w:val="000000"/>
          <w:sz w:val="32"/>
          <w:szCs w:val="32"/>
          <w:lang w:bidi="ar"/>
        </w:rPr>
        <w:t>。</w:t>
      </w:r>
    </w:p>
    <w:p w14:paraId="1072FF6F">
      <w:pPr>
        <w:spacing w:line="560" w:lineRule="exact"/>
        <w:ind w:firstLine="640" w:firstLineChars="200"/>
        <w:rPr>
          <w:rFonts w:ascii="仿宋" w:hAnsi="仿宋" w:eastAsia="仿宋" w:cs="仿宋"/>
          <w:color w:val="000000"/>
          <w:sz w:val="32"/>
          <w:szCs w:val="32"/>
        </w:rPr>
      </w:pPr>
      <w:r>
        <w:rPr>
          <w:rFonts w:hint="eastAsia" w:ascii="仿宋" w:hAnsi="仿宋" w:eastAsia="仿宋" w:cs="仿宋"/>
          <w:sz w:val="32"/>
          <w:szCs w:val="32"/>
        </w:rPr>
        <w:t>（2）阶</w:t>
      </w:r>
      <w:r>
        <w:rPr>
          <w:rFonts w:hint="eastAsia" w:ascii="仿宋" w:hAnsi="仿宋" w:eastAsia="仿宋" w:cs="仿宋"/>
          <w:color w:val="000000"/>
          <w:sz w:val="32"/>
          <w:szCs w:val="32"/>
        </w:rPr>
        <w:t>段性目标：按照自治区扶持村级集体经济发展试点工作安排，玛纳斯县扶优扶强，以点带面，全面落实“提质增效、重点突破、创新驱动、绿色发展”要求，探索发展多种村级集体经济实现形式、管理机制及扶持模式，力争打造出有特色、能造血、高产出的村级集体经济。</w:t>
      </w:r>
    </w:p>
    <w:p w14:paraId="72FD4DB0">
      <w:pPr>
        <w:spacing w:line="560" w:lineRule="exact"/>
        <w:ind w:firstLine="579" w:firstLineChars="181"/>
        <w:rPr>
          <w:rFonts w:ascii="仿宋" w:hAnsi="仿宋" w:eastAsia="仿宋" w:cs="仿宋"/>
          <w:color w:val="000000"/>
          <w:sz w:val="32"/>
          <w:szCs w:val="32"/>
        </w:rPr>
      </w:pPr>
      <w:r>
        <w:rPr>
          <w:rFonts w:hint="eastAsia" w:ascii="仿宋" w:hAnsi="仿宋" w:eastAsia="仿宋" w:cs="仿宋"/>
          <w:color w:val="000000"/>
          <w:sz w:val="32"/>
          <w:szCs w:val="32"/>
        </w:rPr>
        <w:t>2、项目基本性质、用途：扶持村级集体经济发展试点项目为非扶贫类财政补助性资金，主要用于支持以村级集体经济组织</w:t>
      </w:r>
      <w:r>
        <w:rPr>
          <w:rFonts w:hint="eastAsia" w:ascii="仿宋" w:hAnsi="仿宋" w:eastAsia="仿宋" w:cs="仿宋"/>
          <w:sz w:val="32"/>
          <w:szCs w:val="32"/>
          <w:lang w:bidi="ar"/>
        </w:rPr>
        <w:t>主导引领村民群众参与发展的土地股份合作，农产品生产、加工和销售等经营合作、休闲民宿经济，以及就地利用村内资源资产兴办的一二三产业融合发展项目等村级集体经济发展项目；对鼓励土地流转、发展为农服务、物业经营等进行补助</w:t>
      </w:r>
      <w:r>
        <w:rPr>
          <w:rFonts w:hint="eastAsia" w:ascii="仿宋" w:hAnsi="仿宋" w:eastAsia="仿宋" w:cs="仿宋"/>
          <w:color w:val="000000"/>
          <w:sz w:val="32"/>
          <w:szCs w:val="32"/>
        </w:rPr>
        <w:t>。</w:t>
      </w:r>
    </w:p>
    <w:p w14:paraId="2383A7B0">
      <w:pPr>
        <w:spacing w:line="560" w:lineRule="exact"/>
        <w:ind w:firstLine="579" w:firstLineChars="181"/>
        <w:rPr>
          <w:rFonts w:ascii="仿宋" w:hAnsi="仿宋" w:eastAsia="仿宋" w:cs="仿宋"/>
          <w:color w:val="000000"/>
          <w:sz w:val="32"/>
          <w:szCs w:val="32"/>
        </w:rPr>
      </w:pPr>
      <w:r>
        <w:rPr>
          <w:rFonts w:hint="eastAsia" w:ascii="仿宋" w:hAnsi="仿宋" w:eastAsia="仿宋" w:cs="仿宋"/>
          <w:color w:val="000000"/>
          <w:sz w:val="32"/>
          <w:szCs w:val="32"/>
        </w:rPr>
        <w:t>3、项目主要内容及涉及范围：玛纳斯县扶持村级集体经济发展试点项目在广东地乡小海子村、清水河乡团庄村、兰州湾镇王家庄村等试点村开展，主要内容：</w:t>
      </w:r>
    </w:p>
    <w:p w14:paraId="0CB073FB">
      <w:pPr>
        <w:spacing w:line="560" w:lineRule="exact"/>
        <w:ind w:firstLine="579" w:firstLineChars="181"/>
        <w:rPr>
          <w:rFonts w:ascii="仿宋" w:hAnsi="仿宋" w:eastAsia="仿宋" w:cs="仿宋"/>
          <w:color w:val="000000"/>
          <w:sz w:val="32"/>
          <w:szCs w:val="32"/>
        </w:rPr>
      </w:pPr>
      <w:r>
        <w:rPr>
          <w:rFonts w:hint="eastAsia" w:ascii="仿宋" w:hAnsi="仿宋" w:eastAsia="仿宋" w:cs="仿宋"/>
          <w:color w:val="000000"/>
          <w:sz w:val="32"/>
          <w:szCs w:val="32"/>
        </w:rPr>
        <w:t>（1）广东地乡小海子村：美食街房屋租赁，配套绿化、硬化；</w:t>
      </w:r>
    </w:p>
    <w:p w14:paraId="269BDA02">
      <w:pPr>
        <w:spacing w:line="560" w:lineRule="exact"/>
        <w:ind w:firstLine="579" w:firstLineChars="181"/>
        <w:rPr>
          <w:rFonts w:ascii="仿宋" w:hAnsi="仿宋" w:eastAsia="仿宋" w:cs="仿宋"/>
          <w:color w:val="000000"/>
          <w:sz w:val="32"/>
          <w:szCs w:val="32"/>
        </w:rPr>
      </w:pPr>
      <w:r>
        <w:rPr>
          <w:rFonts w:hint="eastAsia" w:ascii="仿宋" w:hAnsi="仿宋" w:eastAsia="仿宋" w:cs="仿宋"/>
          <w:color w:val="000000"/>
          <w:sz w:val="32"/>
          <w:szCs w:val="32"/>
        </w:rPr>
        <w:t>（2）清水河乡团庄村：依托中草药种植资源，新建500平方米烘干车间，购置标准化烘干设备1台（套）；</w:t>
      </w:r>
    </w:p>
    <w:p w14:paraId="04DE9572">
      <w:pPr>
        <w:spacing w:line="560" w:lineRule="exact"/>
        <w:ind w:firstLine="579" w:firstLineChars="181"/>
        <w:rPr>
          <w:rFonts w:ascii="仿宋" w:hAnsi="仿宋" w:eastAsia="仿宋" w:cs="仿宋"/>
          <w:color w:val="000000"/>
          <w:sz w:val="32"/>
          <w:szCs w:val="32"/>
        </w:rPr>
      </w:pPr>
      <w:r>
        <w:rPr>
          <w:rFonts w:hint="eastAsia" w:ascii="仿宋" w:hAnsi="仿宋" w:eastAsia="仿宋" w:cs="仿宋"/>
          <w:color w:val="000000"/>
          <w:sz w:val="32"/>
          <w:szCs w:val="32"/>
        </w:rPr>
        <w:t>（3）塔西河乡大草滩村：购置300平方米商业店面；</w:t>
      </w:r>
    </w:p>
    <w:p w14:paraId="045C1649">
      <w:pPr>
        <w:spacing w:line="560" w:lineRule="exact"/>
        <w:ind w:firstLine="579" w:firstLineChars="181"/>
        <w:rPr>
          <w:rFonts w:ascii="仿宋" w:hAnsi="仿宋" w:eastAsia="仿宋" w:cs="仿宋"/>
          <w:color w:val="000000"/>
          <w:sz w:val="32"/>
          <w:szCs w:val="32"/>
        </w:rPr>
      </w:pPr>
      <w:r>
        <w:rPr>
          <w:rFonts w:hint="eastAsia" w:ascii="仿宋" w:hAnsi="仿宋" w:eastAsia="仿宋" w:cs="仿宋"/>
          <w:color w:val="000000"/>
          <w:sz w:val="32"/>
          <w:szCs w:val="32"/>
        </w:rPr>
        <w:t>（4）乐土驿镇柳树庄村：新建4座食用菌生产大棚及配套基础设施；</w:t>
      </w:r>
    </w:p>
    <w:p w14:paraId="422BA5F2">
      <w:pPr>
        <w:spacing w:line="560" w:lineRule="exact"/>
        <w:ind w:firstLine="579" w:firstLineChars="181"/>
        <w:rPr>
          <w:rFonts w:ascii="仿宋" w:hAnsi="仿宋" w:eastAsia="仿宋" w:cs="仿宋"/>
          <w:color w:val="000000"/>
          <w:sz w:val="32"/>
          <w:szCs w:val="32"/>
        </w:rPr>
      </w:pPr>
      <w:r>
        <w:rPr>
          <w:rFonts w:hint="eastAsia" w:ascii="仿宋" w:hAnsi="仿宋" w:eastAsia="仿宋" w:cs="仿宋"/>
          <w:color w:val="000000"/>
          <w:sz w:val="32"/>
          <w:szCs w:val="32"/>
        </w:rPr>
        <w:t>（5）兰州湾镇王家庄村：</w:t>
      </w:r>
      <w:r>
        <w:rPr>
          <w:rFonts w:hint="eastAsia" w:ascii="仿宋" w:hAnsi="仿宋" w:eastAsia="仿宋" w:cs="仿宋"/>
          <w:color w:val="000000"/>
          <w:sz w:val="32"/>
          <w:szCs w:val="32"/>
          <w:lang w:bidi="ar"/>
        </w:rPr>
        <w:t>建成农产品销售中心，购买商铺；</w:t>
      </w:r>
    </w:p>
    <w:p w14:paraId="4D6A9010">
      <w:pPr>
        <w:spacing w:line="560" w:lineRule="exact"/>
        <w:ind w:firstLine="579" w:firstLineChars="181"/>
        <w:rPr>
          <w:rFonts w:ascii="仿宋" w:hAnsi="仿宋" w:eastAsia="仿宋" w:cs="仿宋"/>
          <w:color w:val="000000"/>
          <w:sz w:val="32"/>
          <w:szCs w:val="32"/>
        </w:rPr>
      </w:pPr>
      <w:r>
        <w:rPr>
          <w:rFonts w:hint="eastAsia" w:ascii="仿宋" w:hAnsi="仿宋" w:eastAsia="仿宋" w:cs="仿宋"/>
          <w:color w:val="000000"/>
          <w:sz w:val="32"/>
          <w:szCs w:val="32"/>
        </w:rPr>
        <w:t>（6）包家店镇包家店村：回购商铺，成立物业管理公司；</w:t>
      </w:r>
    </w:p>
    <w:p w14:paraId="6F01323D">
      <w:pPr>
        <w:spacing w:line="560" w:lineRule="exact"/>
        <w:ind w:firstLine="579" w:firstLineChars="181"/>
        <w:rPr>
          <w:rFonts w:ascii="仿宋" w:hAnsi="仿宋" w:eastAsia="仿宋" w:cs="仿宋"/>
          <w:color w:val="000000"/>
          <w:sz w:val="32"/>
          <w:szCs w:val="32"/>
        </w:rPr>
      </w:pPr>
      <w:r>
        <w:rPr>
          <w:rFonts w:hint="eastAsia" w:ascii="仿宋" w:hAnsi="仿宋" w:eastAsia="仿宋" w:cs="仿宋"/>
          <w:color w:val="000000"/>
          <w:sz w:val="32"/>
          <w:szCs w:val="32"/>
        </w:rPr>
        <w:t>（7）凉州户镇五圣宫村：回购商服楼500平米，并进行租赁经营；</w:t>
      </w:r>
    </w:p>
    <w:p w14:paraId="43DF6E59">
      <w:pPr>
        <w:spacing w:line="560" w:lineRule="exact"/>
        <w:ind w:firstLine="579" w:firstLineChars="181"/>
        <w:rPr>
          <w:rFonts w:ascii="仿宋" w:hAnsi="仿宋" w:eastAsia="仿宋" w:cs="仿宋"/>
          <w:color w:val="000000"/>
          <w:sz w:val="32"/>
          <w:szCs w:val="32"/>
        </w:rPr>
      </w:pPr>
      <w:r>
        <w:rPr>
          <w:rFonts w:hint="eastAsia" w:ascii="仿宋" w:hAnsi="仿宋" w:eastAsia="仿宋" w:cs="仿宋"/>
          <w:color w:val="000000"/>
          <w:sz w:val="32"/>
          <w:szCs w:val="32"/>
        </w:rPr>
        <w:t>（8）六户地镇杨家道村：村集体资产参股农民专业合作社开展特色种植；</w:t>
      </w:r>
    </w:p>
    <w:p w14:paraId="1499C317">
      <w:pPr>
        <w:spacing w:line="560" w:lineRule="exact"/>
        <w:ind w:firstLine="579" w:firstLineChars="181"/>
        <w:rPr>
          <w:rFonts w:ascii="仿宋" w:hAnsi="仿宋" w:eastAsia="仿宋" w:cs="仿宋"/>
          <w:color w:val="000000"/>
          <w:sz w:val="32"/>
          <w:szCs w:val="32"/>
        </w:rPr>
      </w:pPr>
      <w:r>
        <w:rPr>
          <w:rFonts w:hint="eastAsia" w:ascii="仿宋" w:hAnsi="仿宋" w:eastAsia="仿宋" w:cs="仿宋"/>
          <w:color w:val="000000"/>
          <w:sz w:val="32"/>
          <w:szCs w:val="32"/>
        </w:rPr>
        <w:t>（9）北五岔镇吕家庄村：成立农民专业合作社，将集体机动地1300亩实行合作化经营；</w:t>
      </w:r>
    </w:p>
    <w:p w14:paraId="2F1C921C">
      <w:pPr>
        <w:spacing w:line="560" w:lineRule="exact"/>
        <w:ind w:firstLine="579" w:firstLineChars="181"/>
        <w:rPr>
          <w:rFonts w:ascii="仿宋" w:hAnsi="仿宋" w:eastAsia="仿宋" w:cs="仿宋"/>
          <w:color w:val="000000"/>
          <w:sz w:val="32"/>
          <w:szCs w:val="32"/>
        </w:rPr>
      </w:pPr>
      <w:r>
        <w:rPr>
          <w:rFonts w:hint="eastAsia" w:ascii="仿宋" w:hAnsi="仿宋" w:eastAsia="仿宋" w:cs="仿宋"/>
          <w:color w:val="000000"/>
          <w:sz w:val="32"/>
          <w:szCs w:val="32"/>
        </w:rPr>
        <w:t>（10）旱卡子滩乡头墩台子村：依托紧邻县殡仪馆区位优势，</w:t>
      </w:r>
      <w:r>
        <w:rPr>
          <w:rFonts w:hint="eastAsia" w:ascii="仿宋" w:hAnsi="仿宋" w:eastAsia="仿宋" w:cs="仿宋_GB2312"/>
          <w:color w:val="000000"/>
          <w:sz w:val="32"/>
          <w:szCs w:val="32"/>
        </w:rPr>
        <w:t>采取市场多元化发展形式，推动殡葬服务业的发展</w:t>
      </w:r>
      <w:r>
        <w:rPr>
          <w:rFonts w:hint="eastAsia" w:ascii="仿宋" w:hAnsi="仿宋" w:eastAsia="仿宋" w:cs="仿宋"/>
          <w:color w:val="000000"/>
          <w:sz w:val="32"/>
          <w:szCs w:val="32"/>
        </w:rPr>
        <w:t>。</w:t>
      </w:r>
    </w:p>
    <w:p w14:paraId="0E0B1D5A">
      <w:pPr>
        <w:spacing w:line="560" w:lineRule="exact"/>
        <w:ind w:firstLine="579" w:firstLineChars="181"/>
        <w:rPr>
          <w:rFonts w:ascii="仿宋" w:hAnsi="仿宋" w:eastAsia="仿宋" w:cs="仿宋"/>
          <w:color w:val="000000"/>
          <w:sz w:val="32"/>
          <w:szCs w:val="32"/>
        </w:rPr>
      </w:pPr>
      <w:r>
        <w:rPr>
          <w:rFonts w:hint="eastAsia" w:ascii="仿宋" w:hAnsi="仿宋" w:eastAsia="仿宋" w:cs="仿宋"/>
          <w:color w:val="000000"/>
          <w:sz w:val="32"/>
          <w:szCs w:val="32"/>
        </w:rPr>
        <w:t>上述试点项目主要涵盖以物业管理、混合经营为主要内容的两种试点发展经营模式，2017年扶持村级集体经济发展试点项目在全县10个乡镇10个行政村内开展实施。</w:t>
      </w:r>
    </w:p>
    <w:p w14:paraId="49FFBB21">
      <w:pPr>
        <w:spacing w:line="560" w:lineRule="exact"/>
        <w:ind w:firstLine="64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二、项目资金使用及管理情况</w:t>
      </w:r>
    </w:p>
    <w:p w14:paraId="0E53B07C">
      <w:pPr>
        <w:spacing w:line="560" w:lineRule="exact"/>
        <w:ind w:firstLine="567" w:firstLineChars="181"/>
        <w:rPr>
          <w:rStyle w:val="19"/>
          <w:rFonts w:ascii="仿宋" w:hAnsi="仿宋" w:eastAsia="仿宋" w:cs="仿宋"/>
          <w:spacing w:val="-4"/>
          <w:sz w:val="32"/>
          <w:szCs w:val="32"/>
        </w:rPr>
      </w:pPr>
      <w:r>
        <w:rPr>
          <w:rStyle w:val="19"/>
          <w:rFonts w:hint="eastAsia" w:ascii="仿宋" w:hAnsi="仿宋" w:eastAsia="仿宋" w:cs="仿宋"/>
          <w:spacing w:val="-4"/>
          <w:sz w:val="32"/>
          <w:szCs w:val="32"/>
        </w:rPr>
        <w:t>（一）项目资金安排落实、总投入等情况分析</w:t>
      </w:r>
    </w:p>
    <w:p w14:paraId="629A5615">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2017-2018年，玛纳斯县扶持村级集体经济建设试点项目10个，涉及10个行政村，项目总投资1500万元，其中：自治区拨付下达资金1000万元，州级配套资金200万元，县级配套资金300万元。</w:t>
      </w:r>
    </w:p>
    <w:p w14:paraId="3EC55467">
      <w:pPr>
        <w:spacing w:line="560" w:lineRule="exact"/>
        <w:ind w:firstLine="567" w:firstLineChars="181"/>
        <w:rPr>
          <w:rStyle w:val="19"/>
          <w:rFonts w:ascii="仿宋" w:hAnsi="仿宋" w:eastAsia="仿宋" w:cs="仿宋"/>
          <w:spacing w:val="-4"/>
          <w:sz w:val="32"/>
          <w:szCs w:val="32"/>
        </w:rPr>
      </w:pPr>
      <w:r>
        <w:rPr>
          <w:rStyle w:val="19"/>
          <w:rFonts w:hint="eastAsia" w:ascii="仿宋" w:hAnsi="仿宋" w:eastAsia="仿宋" w:cs="仿宋"/>
          <w:spacing w:val="-4"/>
          <w:sz w:val="32"/>
          <w:szCs w:val="32"/>
        </w:rPr>
        <w:t>（二）项目资金实际使用情况分析</w:t>
      </w:r>
    </w:p>
    <w:p w14:paraId="7E0030F0">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截至目前，累计拨付扶持村级集体经济建设试点县级配套资金300万元，全部用于试点村以物业管理、混合经营为主要内容的探索发展村级集体经济实现形式项目</w:t>
      </w:r>
      <w:r>
        <w:rPr>
          <w:rFonts w:hint="eastAsia" w:ascii="仿宋" w:hAnsi="仿宋" w:eastAsia="仿宋" w:cs="仿宋"/>
          <w:sz w:val="32"/>
          <w:szCs w:val="32"/>
        </w:rPr>
        <w:t>支出</w:t>
      </w:r>
      <w:r>
        <w:rPr>
          <w:rFonts w:hint="eastAsia" w:ascii="仿宋" w:hAnsi="仿宋" w:eastAsia="仿宋" w:cs="仿宋"/>
          <w:color w:val="000000"/>
          <w:sz w:val="32"/>
          <w:szCs w:val="32"/>
        </w:rPr>
        <w:t>。</w:t>
      </w:r>
    </w:p>
    <w:p w14:paraId="226BAC6D">
      <w:pPr>
        <w:spacing w:line="560" w:lineRule="exact"/>
        <w:ind w:firstLine="567" w:firstLineChars="181"/>
        <w:rPr>
          <w:rStyle w:val="19"/>
          <w:rFonts w:ascii="仿宋" w:hAnsi="仿宋" w:eastAsia="仿宋" w:cs="仿宋"/>
          <w:spacing w:val="-4"/>
          <w:sz w:val="32"/>
          <w:szCs w:val="32"/>
        </w:rPr>
      </w:pPr>
      <w:r>
        <w:rPr>
          <w:rStyle w:val="19"/>
          <w:rFonts w:hint="eastAsia" w:ascii="仿宋" w:hAnsi="仿宋" w:eastAsia="仿宋" w:cs="仿宋"/>
          <w:spacing w:val="-4"/>
          <w:sz w:val="32"/>
          <w:szCs w:val="32"/>
        </w:rPr>
        <w:t>（三）项目资金管理情况分析</w:t>
      </w:r>
    </w:p>
    <w:p w14:paraId="38721F97">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玛纳斯县</w:t>
      </w:r>
      <w:r>
        <w:rPr>
          <w:rStyle w:val="19"/>
          <w:rFonts w:hint="eastAsia" w:ascii="仿宋" w:hAnsi="仿宋" w:eastAsia="仿宋" w:cs="仿宋"/>
          <w:b w:val="0"/>
          <w:spacing w:val="-4"/>
          <w:sz w:val="32"/>
          <w:szCs w:val="32"/>
        </w:rPr>
        <w:t>依据</w:t>
      </w:r>
      <w:r>
        <w:rPr>
          <w:rFonts w:hint="eastAsia" w:ascii="仿宋" w:hAnsi="仿宋" w:eastAsia="仿宋" w:cs="仿宋"/>
          <w:color w:val="000000"/>
          <w:sz w:val="32"/>
          <w:szCs w:val="32"/>
        </w:rPr>
        <w:t>《关于开展扶持村级集体经济发展试点工作实施方案的通知》（新财综改【2017】14号）、</w:t>
      </w:r>
      <w:bookmarkStart w:id="0" w:name="OLE_LINK2"/>
      <w:bookmarkStart w:id="1" w:name="OLE_LINK1"/>
      <w:r>
        <w:rPr>
          <w:rFonts w:hint="eastAsia" w:ascii="仿宋" w:hAnsi="仿宋" w:eastAsia="仿宋" w:cs="仿宋"/>
          <w:color w:val="000000"/>
          <w:sz w:val="32"/>
          <w:szCs w:val="32"/>
        </w:rPr>
        <w:t>《关于对玛纳斯县2017年扶持村级集体经济发展试点工作实施方案的批复》（昌州综改【2017】28号）</w:t>
      </w:r>
      <w:bookmarkEnd w:id="0"/>
      <w:bookmarkEnd w:id="1"/>
      <w:r>
        <w:rPr>
          <w:rFonts w:hint="eastAsia" w:ascii="仿宋" w:hAnsi="仿宋" w:eastAsia="仿宋" w:cs="仿宋"/>
          <w:color w:val="000000"/>
          <w:sz w:val="32"/>
          <w:szCs w:val="32"/>
        </w:rPr>
        <w:t>文件精神，制定《玛纳斯县扶持村级集体经济发展试点项目管理办法》、《玛纳斯县扶持村级集体经济发展试点项目资金管理办法》，为确保资金安全运行，资金实行县级报账制，专账管理、单独核算、专款专用。</w:t>
      </w:r>
    </w:p>
    <w:p w14:paraId="5EB971E8">
      <w:pPr>
        <w:spacing w:line="560" w:lineRule="exact"/>
        <w:ind w:firstLine="64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三、项目组织实施情况</w:t>
      </w:r>
    </w:p>
    <w:p w14:paraId="35A0142C">
      <w:pPr>
        <w:spacing w:line="560" w:lineRule="exact"/>
        <w:ind w:firstLine="567" w:firstLineChars="181"/>
        <w:rPr>
          <w:rStyle w:val="19"/>
          <w:rFonts w:ascii="仿宋" w:hAnsi="仿宋" w:eastAsia="仿宋" w:cs="仿宋"/>
          <w:spacing w:val="-4"/>
          <w:sz w:val="32"/>
          <w:szCs w:val="32"/>
        </w:rPr>
      </w:pPr>
      <w:r>
        <w:rPr>
          <w:rStyle w:val="19"/>
          <w:rFonts w:hint="eastAsia" w:ascii="仿宋" w:hAnsi="仿宋" w:eastAsia="仿宋" w:cs="仿宋"/>
          <w:spacing w:val="-4"/>
          <w:sz w:val="32"/>
          <w:szCs w:val="32"/>
        </w:rPr>
        <w:t>（一）项目组织情况分析</w:t>
      </w:r>
    </w:p>
    <w:p w14:paraId="30094FA3">
      <w:pPr>
        <w:spacing w:line="560" w:lineRule="exact"/>
        <w:ind w:firstLine="624" w:firstLineChars="200"/>
        <w:rPr>
          <w:rStyle w:val="19"/>
          <w:rFonts w:ascii="仿宋" w:hAnsi="仿宋" w:eastAsia="仿宋" w:cs="仿宋"/>
          <w:b w:val="0"/>
          <w:spacing w:val="-4"/>
          <w:sz w:val="32"/>
          <w:szCs w:val="32"/>
        </w:rPr>
      </w:pPr>
      <w:r>
        <w:rPr>
          <w:rStyle w:val="19"/>
          <w:rFonts w:hint="eastAsia" w:ascii="仿宋" w:hAnsi="仿宋" w:eastAsia="仿宋" w:cs="仿宋"/>
          <w:b w:val="0"/>
          <w:spacing w:val="-4"/>
          <w:sz w:val="32"/>
          <w:szCs w:val="32"/>
        </w:rPr>
        <w:t>1、项目招投标情况：按照《中华人民共和国招标投标法实施条例》、《新疆维吾尔自治区工程建设项目招标范围和规模标准规定》等有关规定和精神，凡涉及项目建设类试点项目，均通过县级政府采购进行项目招投标，切实规范招标投标活动，保护国家利益、社会公共利益和招标投标活动当事人的合法权益，进一步提高经济效益，保证试点项目质量。</w:t>
      </w:r>
    </w:p>
    <w:p w14:paraId="3D8971F5">
      <w:pPr>
        <w:spacing w:line="560" w:lineRule="exact"/>
        <w:ind w:firstLine="624" w:firstLineChars="200"/>
        <w:rPr>
          <w:rFonts w:ascii="仿宋" w:hAnsi="仿宋" w:eastAsia="仿宋" w:cs="仿宋"/>
          <w:bCs/>
          <w:spacing w:val="-4"/>
          <w:sz w:val="32"/>
          <w:szCs w:val="32"/>
          <w:lang w:bidi="ar"/>
        </w:rPr>
      </w:pPr>
      <w:r>
        <w:rPr>
          <w:rStyle w:val="19"/>
          <w:rFonts w:hint="eastAsia" w:ascii="仿宋" w:hAnsi="仿宋" w:eastAsia="仿宋" w:cs="仿宋"/>
          <w:b w:val="0"/>
          <w:spacing w:val="-4"/>
          <w:sz w:val="32"/>
          <w:szCs w:val="32"/>
        </w:rPr>
        <w:t>2、项目调整情况：扶持村级集体经济建设试点项目在具体实施过程中，不断创新经营机制，拓宽发展路径。在具体建设中，根据发展建设实际情况，</w:t>
      </w:r>
      <w:r>
        <w:rPr>
          <w:rFonts w:hint="eastAsia" w:ascii="仿宋" w:hAnsi="仿宋" w:eastAsia="仿宋" w:cs="仿宋"/>
          <w:bCs/>
          <w:spacing w:val="-4"/>
          <w:sz w:val="32"/>
          <w:szCs w:val="32"/>
          <w:lang w:bidi="ar"/>
        </w:rPr>
        <w:t>按照自治区综改办工作要求，县级严格履行申请变更手续，</w:t>
      </w:r>
      <w:r>
        <w:rPr>
          <w:rStyle w:val="19"/>
          <w:rFonts w:hint="eastAsia" w:ascii="仿宋" w:hAnsi="仿宋" w:eastAsia="仿宋" w:cs="仿宋"/>
          <w:b w:val="0"/>
          <w:spacing w:val="-4"/>
          <w:sz w:val="32"/>
          <w:szCs w:val="32"/>
        </w:rPr>
        <w:t>对兰州湾镇王家庄村扶持村级集体经济发展试点项目内容进</w:t>
      </w:r>
      <w:r>
        <w:rPr>
          <w:rFonts w:hint="eastAsia" w:ascii="仿宋" w:hAnsi="仿宋" w:eastAsia="仿宋" w:cs="仿宋"/>
          <w:sz w:val="32"/>
          <w:szCs w:val="32"/>
          <w:lang w:bidi="ar"/>
        </w:rPr>
        <w:t>行部分调整申请，</w:t>
      </w:r>
      <w:r>
        <w:rPr>
          <w:rFonts w:hint="eastAsia" w:ascii="仿宋" w:hAnsi="仿宋" w:eastAsia="仿宋" w:cs="仿宋"/>
          <w:color w:val="000000"/>
          <w:sz w:val="32"/>
          <w:szCs w:val="32"/>
          <w:lang w:bidi="ar"/>
        </w:rPr>
        <w:t>将原批复建设内容：马铃薯制种基地建设，农产品销售，申请变更为：建成农产品销售中心，购买商铺</w:t>
      </w:r>
      <w:r>
        <w:rPr>
          <w:rFonts w:hint="eastAsia" w:ascii="仿宋" w:hAnsi="仿宋" w:eastAsia="仿宋" w:cs="仿宋"/>
          <w:bCs/>
          <w:spacing w:val="-4"/>
          <w:sz w:val="32"/>
          <w:szCs w:val="32"/>
          <w:lang w:bidi="ar"/>
        </w:rPr>
        <w:t>，以确保项目建设规范运行。</w:t>
      </w:r>
    </w:p>
    <w:p w14:paraId="27538DF4">
      <w:pPr>
        <w:spacing w:line="560" w:lineRule="exact"/>
        <w:ind w:firstLine="624" w:firstLineChars="200"/>
        <w:rPr>
          <w:rStyle w:val="19"/>
          <w:rFonts w:ascii="仿宋" w:hAnsi="仿宋" w:eastAsia="仿宋" w:cs="仿宋"/>
          <w:b w:val="0"/>
          <w:spacing w:val="-4"/>
          <w:sz w:val="32"/>
          <w:szCs w:val="32"/>
        </w:rPr>
      </w:pPr>
      <w:r>
        <w:rPr>
          <w:rStyle w:val="19"/>
          <w:rFonts w:hint="eastAsia" w:ascii="仿宋" w:hAnsi="仿宋" w:eastAsia="仿宋" w:cs="仿宋"/>
          <w:b w:val="0"/>
          <w:spacing w:val="-4"/>
          <w:sz w:val="32"/>
          <w:szCs w:val="32"/>
        </w:rPr>
        <w:t>3、项目验收情况：10个扶持村级集体经济发展试点项目已基本完成建设，乡镇已完成对项目的阶段性验收工作。</w:t>
      </w:r>
    </w:p>
    <w:p w14:paraId="5C73CE32">
      <w:pPr>
        <w:spacing w:line="560" w:lineRule="exact"/>
        <w:ind w:firstLine="567" w:firstLineChars="181"/>
        <w:rPr>
          <w:rStyle w:val="19"/>
          <w:rFonts w:ascii="仿宋" w:hAnsi="仿宋" w:eastAsia="仿宋" w:cs="仿宋"/>
          <w:spacing w:val="-4"/>
          <w:sz w:val="32"/>
          <w:szCs w:val="32"/>
        </w:rPr>
      </w:pPr>
      <w:r>
        <w:rPr>
          <w:rStyle w:val="19"/>
          <w:rFonts w:hint="eastAsia" w:ascii="仿宋" w:hAnsi="仿宋" w:eastAsia="仿宋" w:cs="仿宋"/>
          <w:spacing w:val="-4"/>
          <w:sz w:val="32"/>
          <w:szCs w:val="32"/>
        </w:rPr>
        <w:t>（二）项目管理情况分析</w:t>
      </w:r>
    </w:p>
    <w:p w14:paraId="2F04A30B">
      <w:pPr>
        <w:spacing w:line="560" w:lineRule="exact"/>
        <w:ind w:firstLine="624" w:firstLineChars="200"/>
        <w:jc w:val="left"/>
        <w:rPr>
          <w:rStyle w:val="19"/>
          <w:rFonts w:ascii="仿宋" w:hAnsi="仿宋" w:eastAsia="仿宋" w:cs="仿宋"/>
          <w:b w:val="0"/>
          <w:spacing w:val="-4"/>
          <w:sz w:val="32"/>
          <w:szCs w:val="32"/>
        </w:rPr>
      </w:pPr>
      <w:r>
        <w:rPr>
          <w:rStyle w:val="19"/>
          <w:rFonts w:hint="eastAsia" w:ascii="仿宋" w:hAnsi="仿宋" w:eastAsia="仿宋" w:cs="仿宋"/>
          <w:b w:val="0"/>
          <w:spacing w:val="-4"/>
          <w:sz w:val="32"/>
          <w:szCs w:val="32"/>
        </w:rPr>
        <w:t>1、项目管理制度建设：</w:t>
      </w:r>
      <w:r>
        <w:rPr>
          <w:rFonts w:hint="eastAsia" w:ascii="仿宋" w:hAnsi="仿宋" w:eastAsia="仿宋" w:cs="仿宋"/>
          <w:sz w:val="32"/>
          <w:szCs w:val="32"/>
          <w:lang w:bidi="ar"/>
        </w:rPr>
        <w:t>为加强扶持村级集体经济发展试点项目及资金的管理，提高资金的使用效益，围绕体制机制创新，探索村级集</w:t>
      </w:r>
      <w:r>
        <w:rPr>
          <w:rStyle w:val="19"/>
          <w:rFonts w:hint="eastAsia" w:ascii="仿宋" w:hAnsi="仿宋" w:eastAsia="仿宋" w:cs="仿宋"/>
          <w:b w:val="0"/>
          <w:spacing w:val="-4"/>
          <w:sz w:val="32"/>
          <w:szCs w:val="32"/>
        </w:rPr>
        <w:t>体经济实现形式、管理机制及扶持模式，完善乡村治理机制，玛纳斯县制定《玛纳斯县扶持村级集体经济发展试点工作实施方案》、《玛纳斯县扶持村级集体经济发展试点项目管理办法》、《玛纳斯县扶持村级集体经济发展试点项目资金管理办法》等，进一步明确目标任务、基本原则、试点主要内容、试点范围、资金管理等相关工作内容。</w:t>
      </w:r>
    </w:p>
    <w:p w14:paraId="2A322832">
      <w:pPr>
        <w:spacing w:line="560" w:lineRule="exact"/>
        <w:ind w:firstLine="624" w:firstLineChars="200"/>
        <w:jc w:val="left"/>
        <w:rPr>
          <w:rStyle w:val="19"/>
          <w:rFonts w:ascii="仿宋" w:hAnsi="仿宋" w:eastAsia="仿宋" w:cs="仿宋"/>
          <w:b w:val="0"/>
          <w:spacing w:val="-4"/>
          <w:sz w:val="32"/>
          <w:szCs w:val="32"/>
        </w:rPr>
      </w:pPr>
      <w:r>
        <w:rPr>
          <w:rStyle w:val="19"/>
          <w:rFonts w:hint="eastAsia" w:ascii="仿宋" w:hAnsi="仿宋" w:eastAsia="仿宋" w:cs="仿宋"/>
          <w:b w:val="0"/>
          <w:spacing w:val="-4"/>
          <w:sz w:val="32"/>
          <w:szCs w:val="32"/>
        </w:rPr>
        <w:t>2、日常检查监督管理：项目实施中，党政主要负责人亲自抓，分管负责领导具体抓，形成财政部门牵头推动、其他相关部门密切配合的工作机制。同时，各部门明确分工，县级不定期对试点工作指导和开展监督检查，及时发现问题、总结经验，确保试点项目在建设期内高效运作。</w:t>
      </w:r>
    </w:p>
    <w:p w14:paraId="047EF978">
      <w:pPr>
        <w:spacing w:line="560" w:lineRule="exact"/>
        <w:ind w:firstLine="640"/>
        <w:rPr>
          <w:rStyle w:val="19"/>
          <w:rFonts w:ascii="黑体" w:hAnsi="黑体" w:eastAsia="黑体" w:cs="黑体"/>
          <w:sz w:val="32"/>
          <w:szCs w:val="32"/>
        </w:rPr>
      </w:pPr>
      <w:r>
        <w:rPr>
          <w:rStyle w:val="19"/>
          <w:rFonts w:hint="eastAsia" w:ascii="黑体" w:hAnsi="黑体" w:eastAsia="黑体" w:cs="黑体"/>
          <w:b w:val="0"/>
          <w:spacing w:val="-4"/>
          <w:sz w:val="32"/>
          <w:szCs w:val="32"/>
        </w:rPr>
        <w:t>四、项目绩效情况</w:t>
      </w:r>
      <w:r>
        <w:rPr>
          <w:rStyle w:val="19"/>
          <w:rFonts w:hint="eastAsia" w:ascii="黑体" w:hAnsi="黑体" w:eastAsia="黑体" w:cs="黑体"/>
          <w:sz w:val="32"/>
          <w:szCs w:val="32"/>
        </w:rPr>
        <w:t xml:space="preserve"> </w:t>
      </w:r>
    </w:p>
    <w:p w14:paraId="560138A9">
      <w:pPr>
        <w:spacing w:line="560" w:lineRule="exact"/>
        <w:ind w:firstLine="567" w:firstLineChars="181"/>
        <w:rPr>
          <w:rFonts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14:paraId="779DB839">
      <w:pPr>
        <w:widowControl/>
        <w:spacing w:line="560" w:lineRule="exact"/>
        <w:ind w:firstLine="640" w:firstLineChars="200"/>
        <w:jc w:val="left"/>
        <w:rPr>
          <w:rFonts w:ascii="仿宋" w:hAnsi="仿宋" w:eastAsia="仿宋" w:cs="仿宋"/>
          <w:bCs/>
          <w:color w:val="000000"/>
          <w:sz w:val="32"/>
          <w:szCs w:val="32"/>
        </w:rPr>
      </w:pPr>
      <w:r>
        <w:rPr>
          <w:rFonts w:hint="eastAsia" w:ascii="仿宋" w:hAnsi="仿宋" w:eastAsia="仿宋" w:cs="仿宋"/>
          <w:bCs/>
          <w:sz w:val="32"/>
          <w:szCs w:val="32"/>
        </w:rPr>
        <w:t>1、数量指标：10个乡镇10个行政村建设完成扶持村级集体经济发展试点项目10个，其中：以物业管理为主要内容的村集体经济发展模式项目7个，以混合经营为主要内容的村集体经济发展模式项目3个。</w:t>
      </w:r>
    </w:p>
    <w:p w14:paraId="49C42106">
      <w:pPr>
        <w:widowControl/>
        <w:spacing w:line="56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2、质量指标：所有试点项目严格按照上级批复下达的扶持村级集体经济发展试点工作实施方案开展项目，已开展试点项目建设实施率达100%。</w:t>
      </w:r>
    </w:p>
    <w:p w14:paraId="0AAE2D9A">
      <w:pPr>
        <w:spacing w:line="560" w:lineRule="exact"/>
        <w:ind w:firstLine="627" w:firstLineChars="196"/>
        <w:rPr>
          <w:rFonts w:ascii="仿宋" w:hAnsi="仿宋" w:eastAsia="仿宋" w:cs="仿宋"/>
          <w:color w:val="000000"/>
          <w:kern w:val="0"/>
          <w:sz w:val="32"/>
          <w:szCs w:val="32"/>
        </w:rPr>
      </w:pPr>
      <w:r>
        <w:rPr>
          <w:rFonts w:hint="eastAsia" w:ascii="仿宋" w:hAnsi="仿宋" w:eastAsia="仿宋" w:cs="仿宋"/>
          <w:bCs/>
          <w:color w:val="000000"/>
          <w:sz w:val="32"/>
          <w:szCs w:val="32"/>
        </w:rPr>
        <w:t>3、</w:t>
      </w:r>
      <w:r>
        <w:rPr>
          <w:rFonts w:hint="eastAsia" w:ascii="仿宋" w:hAnsi="仿宋" w:eastAsia="仿宋" w:cs="仿宋"/>
          <w:color w:val="000000"/>
          <w:kern w:val="0"/>
          <w:sz w:val="32"/>
          <w:szCs w:val="32"/>
        </w:rPr>
        <w:t>社会效益指标：通过扶持村级集体经济发展试点项目的建成，构建“党政主导、部门协作、村级主体、农民参与”的共建机制，推动企业、农户联合，增强村级集体经济实力。扶持村级集体经济发展试点项目使全县7858人农牧民受益。</w:t>
      </w:r>
    </w:p>
    <w:p w14:paraId="3623AFE0">
      <w:pPr>
        <w:spacing w:line="560" w:lineRule="exact"/>
        <w:ind w:firstLine="627" w:firstLineChars="196"/>
        <w:rPr>
          <w:rFonts w:ascii="仿宋" w:hAnsi="仿宋" w:eastAsia="仿宋" w:cs="仿宋"/>
          <w:color w:val="000000"/>
          <w:kern w:val="0"/>
          <w:sz w:val="32"/>
          <w:szCs w:val="32"/>
        </w:rPr>
      </w:pPr>
      <w:r>
        <w:rPr>
          <w:rFonts w:hint="eastAsia" w:ascii="仿宋" w:hAnsi="仿宋" w:eastAsia="仿宋" w:cs="仿宋"/>
          <w:color w:val="000000"/>
          <w:kern w:val="0"/>
          <w:sz w:val="32"/>
          <w:szCs w:val="32"/>
        </w:rPr>
        <w:t>4、可持续影响指标：项目实施中，明确各试点村的乡镇分管领导作为该村发展壮大集体经济的第一责任人，村党支部书记、村委会主任对项目实施负总责，形成推动村级集体经济发展的整体合力，为全县扶持村级集体经济发展试点工作持续稳定发展奠定基础，各类试点项目预期受益延伸年限≥3年。</w:t>
      </w:r>
    </w:p>
    <w:p w14:paraId="079634F4">
      <w:pPr>
        <w:spacing w:line="560" w:lineRule="exact"/>
        <w:ind w:firstLine="627" w:firstLineChars="196"/>
        <w:rPr>
          <w:rFonts w:ascii="仿宋" w:hAnsi="仿宋" w:eastAsia="仿宋" w:cs="仿宋"/>
          <w:color w:val="000000"/>
          <w:sz w:val="32"/>
          <w:szCs w:val="32"/>
        </w:rPr>
      </w:pPr>
      <w:r>
        <w:rPr>
          <w:rFonts w:hint="eastAsia" w:ascii="仿宋" w:hAnsi="仿宋" w:eastAsia="仿宋" w:cs="仿宋"/>
          <w:color w:val="000000"/>
          <w:sz w:val="32"/>
          <w:szCs w:val="32"/>
        </w:rPr>
        <w:t>5、受益群众满意度指标：2017-2018年实施的10个扶持村级集体经济发展试点项目，因村因势施策，通过不同的村级集体经济实现形式、不同经营主体的组织和运营模式，推进村级一二三产业融合协调发展，群众满意度达80%以上。</w:t>
      </w:r>
    </w:p>
    <w:p w14:paraId="51F72B58">
      <w:pPr>
        <w:spacing w:line="560" w:lineRule="exact"/>
        <w:ind w:firstLine="64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五、其他需要说明的问题</w:t>
      </w:r>
    </w:p>
    <w:p w14:paraId="656BADCD">
      <w:pPr>
        <w:spacing w:line="560" w:lineRule="exact"/>
        <w:ind w:firstLine="567" w:firstLineChars="181"/>
        <w:rPr>
          <w:rFonts w:ascii="仿宋" w:hAnsi="仿宋" w:eastAsia="仿宋" w:cs="仿宋"/>
          <w:b/>
          <w:spacing w:val="-4"/>
          <w:sz w:val="32"/>
          <w:szCs w:val="32"/>
        </w:rPr>
      </w:pPr>
      <w:r>
        <w:rPr>
          <w:rFonts w:hint="eastAsia" w:ascii="仿宋" w:hAnsi="仿宋" w:eastAsia="仿宋" w:cs="仿宋"/>
          <w:b/>
          <w:spacing w:val="-4"/>
          <w:sz w:val="32"/>
          <w:szCs w:val="32"/>
        </w:rPr>
        <w:t>（一）后续工作计划</w:t>
      </w:r>
    </w:p>
    <w:p w14:paraId="51003D71">
      <w:pPr>
        <w:spacing w:line="560" w:lineRule="exact"/>
        <w:ind w:firstLine="579" w:firstLineChars="181"/>
        <w:rPr>
          <w:rFonts w:ascii="仿宋" w:hAnsi="仿宋" w:eastAsia="仿宋" w:cs="仿宋"/>
          <w:bCs/>
          <w:sz w:val="32"/>
          <w:szCs w:val="32"/>
        </w:rPr>
      </w:pPr>
      <w:r>
        <w:rPr>
          <w:rFonts w:hint="eastAsia" w:ascii="仿宋" w:hAnsi="仿宋" w:eastAsia="仿宋" w:cs="仿宋"/>
          <w:bCs/>
          <w:sz w:val="32"/>
          <w:szCs w:val="32"/>
        </w:rPr>
        <w:t>1、本着因地制宜、就近就邻、高效合作的原则，综合考虑村集体资产资源条件和经济发展水平等因素，在推进现有集体经济发展实现形式的同时，探索选择其他适合本地实际的有效新实现形式。</w:t>
      </w:r>
    </w:p>
    <w:p w14:paraId="66EB2AC1">
      <w:pPr>
        <w:spacing w:line="560" w:lineRule="exact"/>
        <w:ind w:firstLine="579" w:firstLineChars="181"/>
        <w:rPr>
          <w:rFonts w:ascii="仿宋" w:hAnsi="仿宋" w:eastAsia="仿宋" w:cs="仿宋"/>
          <w:bCs/>
          <w:sz w:val="32"/>
          <w:szCs w:val="32"/>
        </w:rPr>
      </w:pPr>
      <w:r>
        <w:rPr>
          <w:rFonts w:hint="eastAsia" w:ascii="仿宋" w:hAnsi="仿宋" w:eastAsia="仿宋" w:cs="仿宋"/>
          <w:bCs/>
          <w:sz w:val="32"/>
          <w:szCs w:val="32"/>
        </w:rPr>
        <w:t>2、项目整体完成后，所形成的固定资产根据有关规定，确定资产移交，办理资产移交手续，并制定相应使用管理制度。</w:t>
      </w:r>
    </w:p>
    <w:p w14:paraId="584B4292">
      <w:pPr>
        <w:spacing w:line="560" w:lineRule="exact"/>
        <w:ind w:firstLine="567" w:firstLineChars="181"/>
        <w:rPr>
          <w:rFonts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14:paraId="3A93E6D9">
      <w:pPr>
        <w:spacing w:line="560" w:lineRule="exact"/>
        <w:ind w:firstLine="579" w:firstLineChars="181"/>
        <w:rPr>
          <w:rFonts w:ascii="仿宋" w:hAnsi="仿宋" w:eastAsia="仿宋" w:cs="仿宋"/>
          <w:spacing w:val="-4"/>
          <w:sz w:val="32"/>
          <w:szCs w:val="32"/>
        </w:rPr>
      </w:pPr>
      <w:r>
        <w:rPr>
          <w:rFonts w:hint="eastAsia" w:ascii="仿宋" w:hAnsi="仿宋" w:eastAsia="仿宋" w:cs="仿宋"/>
          <w:sz w:val="32"/>
          <w:szCs w:val="32"/>
        </w:rPr>
        <w:t>1、</w:t>
      </w:r>
      <w:r>
        <w:rPr>
          <w:rFonts w:hint="eastAsia" w:ascii="仿宋" w:hAnsi="仿宋" w:eastAsia="仿宋" w:cs="仿宋"/>
          <w:spacing w:val="-4"/>
          <w:sz w:val="32"/>
          <w:szCs w:val="32"/>
        </w:rPr>
        <w:t>资金安排、使用过程中的经验、做法</w:t>
      </w:r>
    </w:p>
    <w:p w14:paraId="1E7E3FBB">
      <w:pPr>
        <w:spacing w:line="560" w:lineRule="exact"/>
        <w:ind w:firstLine="579" w:firstLineChars="181"/>
        <w:rPr>
          <w:rFonts w:ascii="仿宋" w:hAnsi="仿宋" w:eastAsia="仿宋" w:cs="仿宋"/>
          <w:bCs/>
          <w:sz w:val="32"/>
          <w:szCs w:val="32"/>
        </w:rPr>
      </w:pPr>
      <w:r>
        <w:rPr>
          <w:rFonts w:hint="eastAsia" w:ascii="仿宋" w:hAnsi="仿宋" w:eastAsia="仿宋" w:cs="仿宋"/>
          <w:bCs/>
          <w:sz w:val="32"/>
          <w:szCs w:val="32"/>
        </w:rPr>
        <w:t>一是强化管理，加强组织领导。成立试点工作领导小组，相应制定《玛纳斯县扶持村级集体经济发展试点工作实施方案》，各试点村的乡镇分管领导作为该村发展壮大集体经济的第一责任人，形成整体合力。</w:t>
      </w:r>
    </w:p>
    <w:p w14:paraId="13F4758F">
      <w:pPr>
        <w:spacing w:line="560" w:lineRule="exact"/>
        <w:ind w:firstLine="579" w:firstLineChars="181"/>
        <w:rPr>
          <w:rFonts w:ascii="仿宋" w:hAnsi="仿宋" w:eastAsia="仿宋" w:cs="仿宋"/>
          <w:bCs/>
          <w:sz w:val="32"/>
          <w:szCs w:val="32"/>
        </w:rPr>
      </w:pPr>
      <w:r>
        <w:rPr>
          <w:rFonts w:hint="eastAsia" w:ascii="仿宋" w:hAnsi="仿宋" w:eastAsia="仿宋" w:cs="仿宋"/>
          <w:bCs/>
          <w:sz w:val="32"/>
          <w:szCs w:val="32"/>
        </w:rPr>
        <w:t>二是明确分工，加大扶持力度。坚持党政主要领导亲自抓，相关部门、乡镇具体抓，构建“党政主导、部门协作、村级主体、农民参与”的共建机制，切实做好扶持壮大村级集体经济发展的统筹协调工作。同时，强化政策综合支持效力，鼓励支持农业适度规模经营、农业产业发展扶持政策及资金项目向试点村倾斜。</w:t>
      </w:r>
    </w:p>
    <w:p w14:paraId="171A16DA">
      <w:pPr>
        <w:spacing w:line="560" w:lineRule="exact"/>
        <w:ind w:firstLine="579" w:firstLineChars="181"/>
        <w:rPr>
          <w:rFonts w:ascii="仿宋" w:hAnsi="仿宋" w:eastAsia="仿宋" w:cs="仿宋"/>
          <w:bCs/>
          <w:sz w:val="32"/>
          <w:szCs w:val="32"/>
        </w:rPr>
      </w:pPr>
      <w:r>
        <w:rPr>
          <w:rFonts w:hint="eastAsia" w:ascii="仿宋" w:hAnsi="仿宋" w:eastAsia="仿宋" w:cs="仿宋"/>
          <w:bCs/>
          <w:sz w:val="32"/>
          <w:szCs w:val="32"/>
        </w:rPr>
        <w:t>三是规范运行，强化资金管理。通过制订《扶持村级集体经济发展试点资金管理办法》等相关制度，明确规定资金主要用途。试点补助资金均实行项目化管理、县级报账制，确保资金专款专用，</w:t>
      </w:r>
      <w:r>
        <w:rPr>
          <w:rFonts w:hint="eastAsia" w:ascii="仿宋" w:hAnsi="仿宋" w:eastAsia="仿宋" w:cs="仿宋"/>
          <w:sz w:val="32"/>
          <w:szCs w:val="32"/>
        </w:rPr>
        <w:t>杜绝截留、挪用、滞留资金等现象的发生，</w:t>
      </w:r>
      <w:r>
        <w:rPr>
          <w:rFonts w:hint="eastAsia" w:ascii="仿宋" w:hAnsi="仿宋" w:eastAsia="仿宋" w:cs="仿宋"/>
          <w:bCs/>
          <w:sz w:val="32"/>
          <w:szCs w:val="32"/>
        </w:rPr>
        <w:t>提高了财政资金使用合力和效益。</w:t>
      </w:r>
    </w:p>
    <w:p w14:paraId="0D053BE8">
      <w:pPr>
        <w:spacing w:line="560" w:lineRule="exact"/>
        <w:ind w:firstLine="640" w:firstLineChars="200"/>
        <w:rPr>
          <w:rFonts w:ascii="仿宋" w:hAnsi="仿宋" w:eastAsia="仿宋" w:cs="仿宋"/>
          <w:color w:val="000000"/>
          <w:sz w:val="32"/>
          <w:szCs w:val="32"/>
          <w:lang w:bidi="ar"/>
        </w:rPr>
      </w:pPr>
      <w:r>
        <w:rPr>
          <w:rFonts w:hint="eastAsia" w:ascii="仿宋" w:hAnsi="仿宋" w:eastAsia="仿宋" w:cs="仿宋"/>
          <w:color w:val="000000"/>
          <w:sz w:val="32"/>
          <w:szCs w:val="32"/>
          <w:lang w:bidi="ar"/>
        </w:rPr>
        <w:t>2、存在的问题及改进措施和有关建议</w:t>
      </w:r>
    </w:p>
    <w:p w14:paraId="41699F5E">
      <w:pPr>
        <w:spacing w:line="560" w:lineRule="exact"/>
        <w:ind w:firstLine="579" w:firstLineChars="181"/>
        <w:rPr>
          <w:rFonts w:ascii="仿宋" w:hAnsi="仿宋" w:eastAsia="仿宋" w:cs="仿宋"/>
          <w:bCs/>
          <w:sz w:val="32"/>
          <w:szCs w:val="32"/>
        </w:rPr>
      </w:pPr>
      <w:r>
        <w:rPr>
          <w:rFonts w:hint="eastAsia" w:ascii="仿宋" w:hAnsi="仿宋" w:eastAsia="仿宋" w:cs="仿宋"/>
          <w:bCs/>
          <w:sz w:val="32"/>
          <w:szCs w:val="32"/>
        </w:rPr>
        <w:t>一是体制机制创新有待加强。扶持村级集体经济发展还处于探索发展阶段，在建设发展中仍有需进一步创新村级集体经济体制机制，探索村集体资产、管理等集约化、组织化、效率化实现形式，做实集体经济组织，创新统一经营形式，夯实集体经济基础、激活集体组织活力、充实集体经济功能，发挥村集体在农村治理中的稳定器作用。</w:t>
      </w:r>
    </w:p>
    <w:p w14:paraId="380E7012">
      <w:pPr>
        <w:spacing w:line="560" w:lineRule="exact"/>
        <w:ind w:firstLine="579" w:firstLineChars="181"/>
        <w:rPr>
          <w:rFonts w:ascii="仿宋" w:hAnsi="仿宋" w:eastAsia="仿宋" w:cs="仿宋"/>
          <w:bCs/>
          <w:sz w:val="32"/>
          <w:szCs w:val="32"/>
        </w:rPr>
      </w:pPr>
      <w:r>
        <w:rPr>
          <w:rFonts w:hint="eastAsia" w:ascii="仿宋" w:hAnsi="仿宋" w:eastAsia="仿宋" w:cs="仿宋"/>
          <w:bCs/>
          <w:sz w:val="32"/>
          <w:szCs w:val="32"/>
        </w:rPr>
        <w:t>二是政策综合支持效力有待强化。鼓励支持农业适度规模经营、高标准农田建设、农业产业发展扶持政策及资金项目有待于进一步向试点县、试点村倾斜。建议上级在给予政策倾斜的同时，统筹安排现代农业生产发展资金、农田水利设施建设补助资金等扶持农业生产类资金，支持试点村集体经济发展，增加农村公共服务投入，不断提高村级公共服务质量和能力。</w:t>
      </w:r>
    </w:p>
    <w:p w14:paraId="61576E7A">
      <w:pPr>
        <w:spacing w:line="560" w:lineRule="exact"/>
        <w:ind w:firstLine="64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六、项目评价工作情况</w:t>
      </w:r>
    </w:p>
    <w:p w14:paraId="199E2313">
      <w:pPr>
        <w:spacing w:line="560" w:lineRule="exact"/>
        <w:ind w:firstLine="640" w:firstLineChars="200"/>
        <w:rPr>
          <w:rFonts w:ascii="仿宋" w:hAnsi="仿宋" w:eastAsia="仿宋" w:cs="仿宋"/>
          <w:spacing w:val="-4"/>
          <w:sz w:val="32"/>
          <w:szCs w:val="32"/>
        </w:rPr>
      </w:pPr>
      <w:r>
        <w:rPr>
          <w:rFonts w:hint="eastAsia" w:ascii="仿宋" w:hAnsi="仿宋" w:eastAsia="仿宋" w:cs="仿宋"/>
          <w:color w:val="000000"/>
          <w:sz w:val="32"/>
          <w:szCs w:val="32"/>
        </w:rPr>
        <w:t>评价基础数据收集、资料来源和依据主要为</w:t>
      </w:r>
      <w:r>
        <w:rPr>
          <w:rStyle w:val="19"/>
          <w:rFonts w:hint="eastAsia" w:ascii="仿宋" w:hAnsi="仿宋" w:eastAsia="仿宋" w:cs="仿宋"/>
          <w:b w:val="0"/>
          <w:spacing w:val="-4"/>
          <w:sz w:val="32"/>
          <w:szCs w:val="32"/>
        </w:rPr>
        <w:t>《中华人民共和国招标投标法实施条例》、</w:t>
      </w:r>
      <w:r>
        <w:rPr>
          <w:rFonts w:hint="eastAsia" w:ascii="仿宋" w:hAnsi="仿宋" w:eastAsia="仿宋" w:cs="仿宋"/>
          <w:color w:val="000000"/>
          <w:sz w:val="32"/>
          <w:szCs w:val="32"/>
        </w:rPr>
        <w:t>《关于开展扶持村级集体经济发展试点工作实施方案的通知》（新财综改【2017】14号）、</w:t>
      </w:r>
      <w:r>
        <w:rPr>
          <w:rStyle w:val="19"/>
          <w:rFonts w:hint="eastAsia" w:ascii="仿宋" w:hAnsi="仿宋" w:eastAsia="仿宋" w:cs="仿宋"/>
          <w:b w:val="0"/>
          <w:spacing w:val="-4"/>
          <w:sz w:val="32"/>
          <w:szCs w:val="32"/>
        </w:rPr>
        <w:t>《新疆维吾尔自治区工程建设项目招标范围和规模标准规定》、</w:t>
      </w:r>
      <w:r>
        <w:rPr>
          <w:rFonts w:hint="eastAsia" w:ascii="仿宋" w:hAnsi="仿宋" w:eastAsia="仿宋" w:cs="仿宋"/>
          <w:color w:val="000000"/>
          <w:sz w:val="32"/>
          <w:szCs w:val="32"/>
        </w:rPr>
        <w:t>《关于对玛纳斯县2017年扶持村级集体经济发展试点工作实施方案的批复》（昌州综改【2017】28号）、</w:t>
      </w:r>
      <w:r>
        <w:rPr>
          <w:rStyle w:val="19"/>
          <w:rFonts w:hint="eastAsia" w:ascii="仿宋" w:hAnsi="仿宋" w:eastAsia="仿宋" w:cs="仿宋"/>
          <w:b w:val="0"/>
          <w:spacing w:val="-4"/>
          <w:sz w:val="32"/>
          <w:szCs w:val="32"/>
        </w:rPr>
        <w:t>《玛纳斯县扶持村级集体经济发展试点工作实施方案》、</w:t>
      </w:r>
      <w:r>
        <w:rPr>
          <w:rFonts w:hint="eastAsia" w:ascii="仿宋" w:hAnsi="仿宋" w:eastAsia="仿宋" w:cs="仿宋"/>
          <w:color w:val="000000"/>
          <w:sz w:val="32"/>
          <w:szCs w:val="32"/>
        </w:rPr>
        <w:t>《玛纳斯县扶持村级集体经济发展试点项目管理办法》、《玛纳斯县扶持村级集体经济发展试点项目资金管理办法》等。</w:t>
      </w:r>
    </w:p>
    <w:p w14:paraId="67E96068">
      <w:pPr>
        <w:spacing w:line="560" w:lineRule="exact"/>
        <w:ind w:firstLine="64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七、附表</w:t>
      </w:r>
    </w:p>
    <w:p w14:paraId="526A67B3">
      <w:pPr>
        <w:spacing w:line="560" w:lineRule="exact"/>
        <w:ind w:firstLine="567"/>
        <w:rPr>
          <w:rStyle w:val="19"/>
          <w:rFonts w:ascii="仿宋" w:hAnsi="仿宋" w:eastAsia="仿宋" w:cs="仿宋"/>
          <w:b w:val="0"/>
          <w:spacing w:val="-4"/>
          <w:sz w:val="32"/>
          <w:szCs w:val="32"/>
        </w:rPr>
      </w:pPr>
      <w:r>
        <w:rPr>
          <w:rStyle w:val="19"/>
          <w:rFonts w:hint="eastAsia" w:ascii="仿宋" w:hAnsi="仿宋" w:eastAsia="仿宋" w:cs="仿宋"/>
          <w:b w:val="0"/>
          <w:spacing w:val="-4"/>
          <w:sz w:val="32"/>
          <w:szCs w:val="32"/>
        </w:rPr>
        <w:t>《自治区财政项目支出绩效自评表》</w:t>
      </w:r>
    </w:p>
    <w:tbl>
      <w:tblPr>
        <w:tblStyle w:val="17"/>
        <w:tblW w:w="9405" w:type="dxa"/>
        <w:tblInd w:w="-174" w:type="dxa"/>
        <w:tblLayout w:type="fixed"/>
        <w:tblCellMar>
          <w:top w:w="0" w:type="dxa"/>
          <w:left w:w="108" w:type="dxa"/>
          <w:bottom w:w="0" w:type="dxa"/>
          <w:right w:w="108" w:type="dxa"/>
        </w:tblCellMar>
      </w:tblPr>
      <w:tblGrid>
        <w:gridCol w:w="720"/>
        <w:gridCol w:w="1140"/>
        <w:gridCol w:w="1360"/>
        <w:gridCol w:w="2276"/>
        <w:gridCol w:w="2041"/>
        <w:gridCol w:w="1868"/>
      </w:tblGrid>
      <w:tr w14:paraId="1FACC800">
        <w:tblPrEx>
          <w:tblCellMar>
            <w:top w:w="0" w:type="dxa"/>
            <w:left w:w="108" w:type="dxa"/>
            <w:bottom w:w="0" w:type="dxa"/>
            <w:right w:w="108" w:type="dxa"/>
          </w:tblCellMar>
        </w:tblPrEx>
        <w:trPr>
          <w:trHeight w:val="405" w:hRule="atLeast"/>
        </w:trPr>
        <w:tc>
          <w:tcPr>
            <w:tcW w:w="9405" w:type="dxa"/>
            <w:gridSpan w:val="6"/>
            <w:tcBorders>
              <w:top w:val="nil"/>
              <w:left w:val="nil"/>
              <w:bottom w:val="nil"/>
              <w:right w:val="nil"/>
            </w:tcBorders>
            <w:vAlign w:val="center"/>
          </w:tcPr>
          <w:p w14:paraId="1157A26D">
            <w:pPr>
              <w:widowControl/>
              <w:jc w:val="center"/>
              <w:rPr>
                <w:rFonts w:ascii="宋体" w:cs="宋体"/>
                <w:b/>
                <w:bCs/>
                <w:kern w:val="0"/>
                <w:sz w:val="32"/>
                <w:szCs w:val="32"/>
              </w:rPr>
            </w:pPr>
            <w:bookmarkStart w:id="2" w:name="_Hlk20304518"/>
            <w:r>
              <w:rPr>
                <w:rFonts w:hint="eastAsia" w:ascii="宋体" w:hAnsi="宋体" w:cs="宋体"/>
                <w:b/>
                <w:bCs/>
                <w:kern w:val="0"/>
                <w:sz w:val="32"/>
                <w:szCs w:val="32"/>
              </w:rPr>
              <w:t>自治区财政项目支出绩效自评表</w:t>
            </w:r>
          </w:p>
        </w:tc>
      </w:tr>
      <w:tr w14:paraId="445443AE">
        <w:tblPrEx>
          <w:tblCellMar>
            <w:top w:w="0" w:type="dxa"/>
            <w:left w:w="108" w:type="dxa"/>
            <w:bottom w:w="0" w:type="dxa"/>
            <w:right w:w="108" w:type="dxa"/>
          </w:tblCellMar>
        </w:tblPrEx>
        <w:trPr>
          <w:trHeight w:val="285" w:hRule="atLeast"/>
        </w:trPr>
        <w:tc>
          <w:tcPr>
            <w:tcW w:w="9405" w:type="dxa"/>
            <w:gridSpan w:val="6"/>
            <w:tcBorders>
              <w:top w:val="nil"/>
              <w:left w:val="nil"/>
              <w:bottom w:val="nil"/>
              <w:right w:val="nil"/>
            </w:tcBorders>
            <w:vAlign w:val="center"/>
          </w:tcPr>
          <w:p w14:paraId="6D606137">
            <w:pPr>
              <w:widowControl/>
              <w:jc w:val="center"/>
              <w:rPr>
                <w:rFonts w:ascii="宋体" w:cs="宋体"/>
                <w:kern w:val="0"/>
                <w:sz w:val="24"/>
              </w:rPr>
            </w:pPr>
            <w:r>
              <w:rPr>
                <w:rFonts w:hint="eastAsia" w:ascii="宋体" w:hAnsi="宋体" w:cs="宋体"/>
                <w:kern w:val="0"/>
                <w:sz w:val="24"/>
              </w:rPr>
              <w:t>（</w:t>
            </w:r>
            <w:r>
              <w:rPr>
                <w:kern w:val="0"/>
                <w:sz w:val="24"/>
              </w:rPr>
              <w:t xml:space="preserve">  </w:t>
            </w:r>
            <w:r>
              <w:rPr>
                <w:rFonts w:hint="eastAsia"/>
                <w:kern w:val="0"/>
                <w:sz w:val="24"/>
              </w:rPr>
              <w:t>2018</w:t>
            </w:r>
            <w:r>
              <w:rPr>
                <w:kern w:val="0"/>
                <w:sz w:val="24"/>
              </w:rPr>
              <w:t xml:space="preserve">   </w:t>
            </w:r>
            <w:r>
              <w:rPr>
                <w:rFonts w:hint="eastAsia" w:ascii="宋体" w:hAnsi="宋体" w:cs="宋体"/>
                <w:kern w:val="0"/>
                <w:sz w:val="24"/>
              </w:rPr>
              <w:t>年度）</w:t>
            </w:r>
          </w:p>
        </w:tc>
      </w:tr>
      <w:tr w14:paraId="29487FCC">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14:paraId="1E1A36F6">
            <w:pPr>
              <w:widowControl/>
              <w:jc w:val="left"/>
              <w:rPr>
                <w:rFonts w:ascii="宋体" w:cs="宋体"/>
                <w:kern w:val="0"/>
                <w:sz w:val="20"/>
                <w:szCs w:val="20"/>
              </w:rPr>
            </w:pPr>
            <w:r>
              <w:rPr>
                <w:rFonts w:hint="eastAsia" w:ascii="宋体" w:hAnsi="宋体" w:cs="宋体"/>
                <w:kern w:val="0"/>
                <w:sz w:val="20"/>
                <w:szCs w:val="20"/>
              </w:rPr>
              <w:t>项目名称</w:t>
            </w:r>
          </w:p>
        </w:tc>
        <w:tc>
          <w:tcPr>
            <w:tcW w:w="6185" w:type="dxa"/>
            <w:gridSpan w:val="3"/>
            <w:tcBorders>
              <w:top w:val="single" w:color="auto" w:sz="4" w:space="0"/>
              <w:left w:val="nil"/>
              <w:bottom w:val="single" w:color="auto" w:sz="4" w:space="0"/>
              <w:right w:val="single" w:color="auto" w:sz="4" w:space="0"/>
            </w:tcBorders>
            <w:vAlign w:val="center"/>
          </w:tcPr>
          <w:p w14:paraId="351D53D8">
            <w:pPr>
              <w:widowControl/>
              <w:jc w:val="center"/>
              <w:rPr>
                <w:rFonts w:ascii="宋体" w:cs="宋体"/>
                <w:kern w:val="0"/>
                <w:sz w:val="20"/>
                <w:szCs w:val="20"/>
              </w:rPr>
            </w:pPr>
            <w:r>
              <w:rPr>
                <w:rFonts w:hint="eastAsia" w:ascii="宋体" w:hAnsi="宋体" w:cs="宋体"/>
                <w:kern w:val="0"/>
                <w:sz w:val="20"/>
                <w:szCs w:val="20"/>
              </w:rPr>
              <w:t>扶持村级集体经济发展试点项目县级配套资金　</w:t>
            </w:r>
          </w:p>
        </w:tc>
      </w:tr>
      <w:tr w14:paraId="1B9C6294">
        <w:tblPrEx>
          <w:tblCellMar>
            <w:top w:w="0" w:type="dxa"/>
            <w:left w:w="108" w:type="dxa"/>
            <w:bottom w:w="0" w:type="dxa"/>
            <w:right w:w="108" w:type="dxa"/>
          </w:tblCellMar>
        </w:tblPrEx>
        <w:trPr>
          <w:trHeight w:val="35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14:paraId="097E07DD">
            <w:pPr>
              <w:widowControl/>
              <w:jc w:val="left"/>
              <w:rPr>
                <w:rFonts w:ascii="宋体" w:cs="宋体"/>
                <w:kern w:val="0"/>
                <w:sz w:val="20"/>
                <w:szCs w:val="20"/>
              </w:rPr>
            </w:pPr>
            <w:r>
              <w:rPr>
                <w:rFonts w:hint="eastAsia" w:ascii="宋体" w:hAnsi="宋体" w:cs="宋体"/>
                <w:kern w:val="0"/>
                <w:sz w:val="20"/>
                <w:szCs w:val="20"/>
              </w:rPr>
              <w:t>预算单位</w:t>
            </w:r>
          </w:p>
        </w:tc>
        <w:tc>
          <w:tcPr>
            <w:tcW w:w="6185" w:type="dxa"/>
            <w:gridSpan w:val="3"/>
            <w:tcBorders>
              <w:top w:val="single" w:color="auto" w:sz="4" w:space="0"/>
              <w:left w:val="nil"/>
              <w:bottom w:val="single" w:color="auto" w:sz="4" w:space="0"/>
              <w:right w:val="single" w:color="000000" w:sz="4" w:space="0"/>
            </w:tcBorders>
            <w:vAlign w:val="center"/>
          </w:tcPr>
          <w:p w14:paraId="0AED2413">
            <w:pPr>
              <w:widowControl/>
              <w:jc w:val="center"/>
              <w:rPr>
                <w:rFonts w:ascii="宋体" w:cs="宋体"/>
                <w:kern w:val="0"/>
                <w:sz w:val="20"/>
                <w:szCs w:val="20"/>
              </w:rPr>
            </w:pPr>
            <w:r>
              <w:rPr>
                <w:rFonts w:hint="eastAsia" w:ascii="宋体" w:hAnsi="宋体" w:cs="宋体"/>
                <w:kern w:val="0"/>
                <w:sz w:val="20"/>
                <w:szCs w:val="20"/>
              </w:rPr>
              <w:t>　玛纳斯县乡财局</w:t>
            </w:r>
          </w:p>
        </w:tc>
      </w:tr>
      <w:tr w14:paraId="5EADAF1D">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14:paraId="5342A661">
            <w:pPr>
              <w:widowControl/>
              <w:jc w:val="center"/>
              <w:rPr>
                <w:rFonts w:ascii="宋体" w:cs="宋体"/>
                <w:kern w:val="0"/>
                <w:sz w:val="20"/>
                <w:szCs w:val="20"/>
              </w:rPr>
            </w:pPr>
            <w:r>
              <w:rPr>
                <w:rFonts w:hint="eastAsia" w:ascii="宋体" w:hAnsi="宋体" w:cs="宋体"/>
                <w:kern w:val="0"/>
                <w:sz w:val="20"/>
                <w:szCs w:val="20"/>
              </w:rPr>
              <w:t>预算</w:t>
            </w:r>
            <w:r>
              <w:rPr>
                <w:rFonts w:ascii="宋体" w:cs="宋体"/>
                <w:kern w:val="0"/>
                <w:sz w:val="20"/>
                <w:szCs w:val="20"/>
              </w:rPr>
              <w:br w:type="textWrapping"/>
            </w:r>
            <w:r>
              <w:rPr>
                <w:rFonts w:hint="eastAsia" w:ascii="宋体" w:hAnsi="宋体" w:cs="宋体"/>
                <w:kern w:val="0"/>
                <w:sz w:val="20"/>
                <w:szCs w:val="20"/>
              </w:rPr>
              <w:t>执行</w:t>
            </w:r>
            <w:r>
              <w:rPr>
                <w:rFonts w:ascii="宋体" w:cs="宋体"/>
                <w:kern w:val="0"/>
                <w:sz w:val="20"/>
                <w:szCs w:val="20"/>
              </w:rPr>
              <w:br w:type="textWrapping"/>
            </w:r>
            <w:r>
              <w:rPr>
                <w:rFonts w:hint="eastAsia" w:ascii="宋体" w:hAnsi="宋体" w:cs="宋体"/>
                <w:kern w:val="0"/>
                <w:sz w:val="20"/>
                <w:szCs w:val="20"/>
              </w:rPr>
              <w:t>情况</w:t>
            </w:r>
            <w:r>
              <w:rPr>
                <w:rFonts w:asci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14:paraId="797046F3">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预算数：</w:t>
            </w:r>
          </w:p>
        </w:tc>
        <w:tc>
          <w:tcPr>
            <w:tcW w:w="2276" w:type="dxa"/>
            <w:tcBorders>
              <w:top w:val="single" w:color="auto" w:sz="4" w:space="0"/>
              <w:left w:val="nil"/>
              <w:bottom w:val="single" w:color="auto" w:sz="4" w:space="0"/>
              <w:right w:val="single" w:color="000000" w:sz="4" w:space="0"/>
            </w:tcBorders>
            <w:vAlign w:val="center"/>
          </w:tcPr>
          <w:p w14:paraId="00212679">
            <w:pPr>
              <w:widowControl/>
              <w:jc w:val="center"/>
              <w:rPr>
                <w:rFonts w:ascii="宋体" w:cs="宋体"/>
                <w:kern w:val="0"/>
                <w:sz w:val="20"/>
                <w:szCs w:val="20"/>
              </w:rPr>
            </w:pPr>
            <w:r>
              <w:rPr>
                <w:rFonts w:hint="eastAsia" w:ascii="宋体" w:hAnsi="宋体" w:cs="宋体"/>
                <w:kern w:val="0"/>
                <w:sz w:val="20"/>
                <w:szCs w:val="20"/>
              </w:rPr>
              <w:t>300</w:t>
            </w:r>
          </w:p>
        </w:tc>
        <w:tc>
          <w:tcPr>
            <w:tcW w:w="2041" w:type="dxa"/>
            <w:tcBorders>
              <w:top w:val="nil"/>
              <w:left w:val="nil"/>
              <w:bottom w:val="single" w:color="auto" w:sz="4" w:space="0"/>
              <w:right w:val="single" w:color="auto" w:sz="4" w:space="0"/>
            </w:tcBorders>
            <w:vAlign w:val="center"/>
          </w:tcPr>
          <w:p w14:paraId="041C289E">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执行数：</w:t>
            </w:r>
          </w:p>
        </w:tc>
        <w:tc>
          <w:tcPr>
            <w:tcW w:w="1868" w:type="dxa"/>
            <w:tcBorders>
              <w:top w:val="nil"/>
              <w:left w:val="nil"/>
              <w:bottom w:val="single" w:color="auto" w:sz="4" w:space="0"/>
              <w:right w:val="single" w:color="auto" w:sz="4" w:space="0"/>
            </w:tcBorders>
            <w:vAlign w:val="center"/>
          </w:tcPr>
          <w:p w14:paraId="7A23D60D">
            <w:pPr>
              <w:widowControl/>
              <w:jc w:val="right"/>
              <w:rPr>
                <w:rFonts w:ascii="宋体" w:cs="宋体"/>
                <w:kern w:val="0"/>
                <w:sz w:val="20"/>
                <w:szCs w:val="20"/>
              </w:rPr>
            </w:pPr>
            <w:r>
              <w:rPr>
                <w:rFonts w:hint="eastAsia" w:ascii="宋体" w:hAnsi="宋体" w:cs="宋体"/>
                <w:kern w:val="0"/>
                <w:sz w:val="20"/>
                <w:szCs w:val="20"/>
              </w:rPr>
              <w:t>300</w:t>
            </w:r>
          </w:p>
        </w:tc>
      </w:tr>
      <w:tr w14:paraId="39A3ABD6">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14:paraId="395FDCAF">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14:paraId="522DDE33">
            <w:pPr>
              <w:widowControl/>
              <w:jc w:val="right"/>
              <w:rPr>
                <w:rFonts w:ascii="宋体" w:cs="宋体"/>
                <w:kern w:val="0"/>
                <w:sz w:val="20"/>
                <w:szCs w:val="20"/>
              </w:rPr>
            </w:pPr>
            <w:r>
              <w:rPr>
                <w:rFonts w:hint="eastAsia" w:ascii="宋体" w:hAnsi="宋体" w:cs="宋体"/>
                <w:kern w:val="0"/>
                <w:sz w:val="20"/>
                <w:szCs w:val="20"/>
              </w:rPr>
              <w:t>其中：财政拨款</w:t>
            </w:r>
          </w:p>
        </w:tc>
        <w:tc>
          <w:tcPr>
            <w:tcW w:w="2276" w:type="dxa"/>
            <w:tcBorders>
              <w:top w:val="single" w:color="auto" w:sz="4" w:space="0"/>
              <w:left w:val="nil"/>
              <w:bottom w:val="single" w:color="auto" w:sz="4" w:space="0"/>
              <w:right w:val="single" w:color="000000" w:sz="4" w:space="0"/>
            </w:tcBorders>
            <w:vAlign w:val="center"/>
          </w:tcPr>
          <w:p w14:paraId="6B048AD1">
            <w:pPr>
              <w:widowControl/>
              <w:jc w:val="center"/>
              <w:rPr>
                <w:rFonts w:ascii="宋体" w:cs="宋体"/>
                <w:kern w:val="0"/>
                <w:sz w:val="20"/>
                <w:szCs w:val="20"/>
              </w:rPr>
            </w:pPr>
            <w:r>
              <w:rPr>
                <w:rFonts w:hint="eastAsia" w:ascii="宋体" w:cs="宋体"/>
                <w:kern w:val="0"/>
                <w:sz w:val="20"/>
                <w:szCs w:val="20"/>
              </w:rPr>
              <w:t>300</w:t>
            </w:r>
          </w:p>
        </w:tc>
        <w:tc>
          <w:tcPr>
            <w:tcW w:w="2041" w:type="dxa"/>
            <w:tcBorders>
              <w:top w:val="nil"/>
              <w:left w:val="nil"/>
              <w:bottom w:val="nil"/>
              <w:right w:val="single" w:color="auto" w:sz="4" w:space="0"/>
            </w:tcBorders>
            <w:vAlign w:val="center"/>
          </w:tcPr>
          <w:p w14:paraId="78D25E08">
            <w:pPr>
              <w:widowControl/>
              <w:jc w:val="right"/>
              <w:rPr>
                <w:rFonts w:ascii="宋体" w:cs="宋体"/>
                <w:kern w:val="0"/>
                <w:sz w:val="20"/>
                <w:szCs w:val="20"/>
              </w:rPr>
            </w:pPr>
            <w:r>
              <w:rPr>
                <w:rFonts w:hint="eastAsia" w:ascii="宋体" w:hAnsi="宋体" w:cs="宋体"/>
                <w:kern w:val="0"/>
                <w:sz w:val="20"/>
                <w:szCs w:val="20"/>
              </w:rPr>
              <w:t>其中：财政拨款</w:t>
            </w:r>
          </w:p>
        </w:tc>
        <w:tc>
          <w:tcPr>
            <w:tcW w:w="1868" w:type="dxa"/>
            <w:tcBorders>
              <w:top w:val="nil"/>
              <w:left w:val="nil"/>
              <w:bottom w:val="single" w:color="auto" w:sz="4" w:space="0"/>
              <w:right w:val="single" w:color="auto" w:sz="4" w:space="0"/>
            </w:tcBorders>
            <w:vAlign w:val="center"/>
          </w:tcPr>
          <w:p w14:paraId="2989DD41">
            <w:pPr>
              <w:widowControl/>
              <w:jc w:val="right"/>
              <w:rPr>
                <w:rFonts w:ascii="宋体" w:cs="宋体"/>
                <w:kern w:val="0"/>
                <w:sz w:val="20"/>
                <w:szCs w:val="20"/>
              </w:rPr>
            </w:pPr>
            <w:r>
              <w:rPr>
                <w:rFonts w:hint="eastAsia" w:ascii="宋体" w:cs="宋体"/>
                <w:kern w:val="0"/>
                <w:sz w:val="20"/>
                <w:szCs w:val="20"/>
              </w:rPr>
              <w:t>300</w:t>
            </w:r>
          </w:p>
        </w:tc>
      </w:tr>
      <w:tr w14:paraId="0CABA3A3">
        <w:tblPrEx>
          <w:tblCellMar>
            <w:top w:w="0" w:type="dxa"/>
            <w:left w:w="108" w:type="dxa"/>
            <w:bottom w:w="0" w:type="dxa"/>
            <w:right w:w="108" w:type="dxa"/>
          </w:tblCellMar>
        </w:tblPrEx>
        <w:trPr>
          <w:trHeight w:val="506" w:hRule="atLeast"/>
        </w:trPr>
        <w:tc>
          <w:tcPr>
            <w:tcW w:w="720" w:type="dxa"/>
            <w:vMerge w:val="continue"/>
            <w:tcBorders>
              <w:top w:val="nil"/>
              <w:left w:val="single" w:color="auto" w:sz="4" w:space="0"/>
              <w:bottom w:val="single" w:color="auto" w:sz="4" w:space="0"/>
              <w:right w:val="single" w:color="auto" w:sz="4" w:space="0"/>
            </w:tcBorders>
            <w:vAlign w:val="center"/>
          </w:tcPr>
          <w:p w14:paraId="2BAA46A0">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14:paraId="15B87819">
            <w:pPr>
              <w:widowControl/>
              <w:jc w:val="right"/>
              <w:rPr>
                <w:rFonts w:ascii="宋体" w:cs="宋体"/>
                <w:kern w:val="0"/>
                <w:sz w:val="20"/>
                <w:szCs w:val="20"/>
              </w:rPr>
            </w:pPr>
            <w:r>
              <w:rPr>
                <w:rFonts w:hint="eastAsia" w:ascii="宋体" w:hAnsi="宋体" w:cs="宋体"/>
                <w:kern w:val="0"/>
                <w:sz w:val="20"/>
                <w:szCs w:val="20"/>
              </w:rPr>
              <w:t>其他资金</w:t>
            </w:r>
          </w:p>
        </w:tc>
        <w:tc>
          <w:tcPr>
            <w:tcW w:w="2276" w:type="dxa"/>
            <w:tcBorders>
              <w:top w:val="single" w:color="auto" w:sz="4" w:space="0"/>
              <w:left w:val="nil"/>
              <w:bottom w:val="single" w:color="auto" w:sz="4" w:space="0"/>
              <w:right w:val="single" w:color="000000" w:sz="4" w:space="0"/>
            </w:tcBorders>
            <w:vAlign w:val="center"/>
          </w:tcPr>
          <w:p w14:paraId="5D8946E6">
            <w:pPr>
              <w:widowControl/>
              <w:rPr>
                <w:rFonts w:ascii="宋体" w:cs="宋体"/>
                <w:kern w:val="0"/>
                <w:sz w:val="20"/>
                <w:szCs w:val="20"/>
              </w:rPr>
            </w:pPr>
            <w:r>
              <w:rPr>
                <w:rFonts w:hint="eastAsia" w:ascii="宋体" w:hAnsi="宋体" w:cs="宋体"/>
                <w:kern w:val="0"/>
                <w:sz w:val="20"/>
                <w:szCs w:val="20"/>
              </w:rPr>
              <w:t>　</w:t>
            </w:r>
          </w:p>
        </w:tc>
        <w:tc>
          <w:tcPr>
            <w:tcW w:w="2041" w:type="dxa"/>
            <w:tcBorders>
              <w:top w:val="single" w:color="auto" w:sz="4" w:space="0"/>
              <w:left w:val="nil"/>
              <w:bottom w:val="nil"/>
              <w:right w:val="single" w:color="auto" w:sz="4" w:space="0"/>
            </w:tcBorders>
            <w:vAlign w:val="center"/>
          </w:tcPr>
          <w:p w14:paraId="3D35415A">
            <w:pPr>
              <w:widowControl/>
              <w:jc w:val="right"/>
              <w:rPr>
                <w:rFonts w:ascii="宋体" w:cs="宋体"/>
                <w:kern w:val="0"/>
                <w:sz w:val="20"/>
                <w:szCs w:val="20"/>
              </w:rPr>
            </w:pPr>
            <w:r>
              <w:rPr>
                <w:rFonts w:hint="eastAsia" w:ascii="宋体" w:hAnsi="宋体" w:cs="宋体"/>
                <w:kern w:val="0"/>
                <w:sz w:val="20"/>
                <w:szCs w:val="20"/>
              </w:rPr>
              <w:t>其他资金</w:t>
            </w:r>
          </w:p>
        </w:tc>
        <w:tc>
          <w:tcPr>
            <w:tcW w:w="1868" w:type="dxa"/>
            <w:tcBorders>
              <w:top w:val="nil"/>
              <w:left w:val="nil"/>
              <w:bottom w:val="single" w:color="auto" w:sz="4" w:space="0"/>
              <w:right w:val="single" w:color="auto" w:sz="4" w:space="0"/>
            </w:tcBorders>
            <w:vAlign w:val="center"/>
          </w:tcPr>
          <w:p w14:paraId="601F1575">
            <w:pPr>
              <w:widowControl/>
              <w:jc w:val="right"/>
              <w:rPr>
                <w:rFonts w:ascii="宋体" w:cs="宋体"/>
                <w:kern w:val="0"/>
                <w:sz w:val="20"/>
                <w:szCs w:val="20"/>
              </w:rPr>
            </w:pPr>
            <w:r>
              <w:rPr>
                <w:rFonts w:hint="eastAsia" w:ascii="宋体" w:hAnsi="宋体" w:cs="宋体"/>
                <w:kern w:val="0"/>
                <w:sz w:val="20"/>
                <w:szCs w:val="20"/>
              </w:rPr>
              <w:t>　</w:t>
            </w:r>
          </w:p>
        </w:tc>
      </w:tr>
      <w:tr w14:paraId="1FFBC3E7">
        <w:tblPrEx>
          <w:tblCellMar>
            <w:top w:w="0" w:type="dxa"/>
            <w:left w:w="108" w:type="dxa"/>
            <w:bottom w:w="0" w:type="dxa"/>
            <w:right w:w="108" w:type="dxa"/>
          </w:tblCellMar>
        </w:tblPrEx>
        <w:trPr>
          <w:trHeight w:val="370" w:hRule="atLeast"/>
        </w:trPr>
        <w:tc>
          <w:tcPr>
            <w:tcW w:w="720" w:type="dxa"/>
            <w:vMerge w:val="restart"/>
            <w:tcBorders>
              <w:top w:val="nil"/>
              <w:left w:val="single" w:color="auto" w:sz="4" w:space="0"/>
              <w:bottom w:val="single" w:color="auto" w:sz="4" w:space="0"/>
              <w:right w:val="single" w:color="auto" w:sz="4" w:space="0"/>
            </w:tcBorders>
            <w:vAlign w:val="center"/>
          </w:tcPr>
          <w:p w14:paraId="7892B28C">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目标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4776" w:type="dxa"/>
            <w:gridSpan w:val="3"/>
            <w:tcBorders>
              <w:top w:val="single" w:color="auto" w:sz="4" w:space="0"/>
              <w:left w:val="nil"/>
              <w:bottom w:val="single" w:color="auto" w:sz="4" w:space="0"/>
              <w:right w:val="single" w:color="auto" w:sz="4" w:space="0"/>
            </w:tcBorders>
            <w:vAlign w:val="center"/>
          </w:tcPr>
          <w:p w14:paraId="4B1D31D3">
            <w:pPr>
              <w:widowControl/>
              <w:jc w:val="center"/>
              <w:rPr>
                <w:rFonts w:ascii="宋体" w:cs="宋体"/>
                <w:kern w:val="0"/>
                <w:sz w:val="20"/>
                <w:szCs w:val="20"/>
              </w:rPr>
            </w:pPr>
            <w:r>
              <w:rPr>
                <w:rFonts w:hint="eastAsia" w:ascii="宋体" w:hAnsi="宋体" w:cs="宋体"/>
                <w:kern w:val="0"/>
                <w:sz w:val="20"/>
                <w:szCs w:val="20"/>
              </w:rPr>
              <w:t>预期目标</w:t>
            </w:r>
          </w:p>
        </w:tc>
        <w:tc>
          <w:tcPr>
            <w:tcW w:w="3909" w:type="dxa"/>
            <w:gridSpan w:val="2"/>
            <w:tcBorders>
              <w:top w:val="single" w:color="auto" w:sz="4" w:space="0"/>
              <w:left w:val="nil"/>
              <w:bottom w:val="single" w:color="auto" w:sz="4" w:space="0"/>
              <w:right w:val="single" w:color="auto" w:sz="4" w:space="0"/>
            </w:tcBorders>
            <w:vAlign w:val="center"/>
          </w:tcPr>
          <w:p w14:paraId="2AF99B4F">
            <w:pPr>
              <w:widowControl/>
              <w:jc w:val="center"/>
              <w:rPr>
                <w:rFonts w:ascii="宋体" w:cs="宋体"/>
                <w:kern w:val="0"/>
                <w:sz w:val="20"/>
                <w:szCs w:val="20"/>
              </w:rPr>
            </w:pPr>
            <w:r>
              <w:rPr>
                <w:rFonts w:hint="eastAsia" w:ascii="宋体" w:hAnsi="宋体" w:cs="宋体"/>
                <w:kern w:val="0"/>
                <w:sz w:val="20"/>
                <w:szCs w:val="20"/>
              </w:rPr>
              <w:t>实际完成目标</w:t>
            </w:r>
          </w:p>
        </w:tc>
      </w:tr>
      <w:tr w14:paraId="33C406DA">
        <w:tblPrEx>
          <w:tblCellMar>
            <w:top w:w="0" w:type="dxa"/>
            <w:left w:w="108" w:type="dxa"/>
            <w:bottom w:w="0" w:type="dxa"/>
            <w:right w:w="108" w:type="dxa"/>
          </w:tblCellMar>
        </w:tblPrEx>
        <w:trPr>
          <w:trHeight w:val="1265" w:hRule="atLeast"/>
        </w:trPr>
        <w:tc>
          <w:tcPr>
            <w:tcW w:w="720" w:type="dxa"/>
            <w:vMerge w:val="continue"/>
            <w:tcBorders>
              <w:top w:val="nil"/>
              <w:left w:val="single" w:color="auto" w:sz="4" w:space="0"/>
              <w:bottom w:val="single" w:color="auto" w:sz="4" w:space="0"/>
              <w:right w:val="single" w:color="auto" w:sz="4" w:space="0"/>
            </w:tcBorders>
            <w:vAlign w:val="center"/>
          </w:tcPr>
          <w:p w14:paraId="51B29811">
            <w:pPr>
              <w:widowControl/>
              <w:jc w:val="left"/>
              <w:rPr>
                <w:rFonts w:ascii="宋体" w:cs="宋体"/>
                <w:kern w:val="0"/>
                <w:sz w:val="20"/>
                <w:szCs w:val="20"/>
              </w:rPr>
            </w:pPr>
          </w:p>
        </w:tc>
        <w:tc>
          <w:tcPr>
            <w:tcW w:w="4776" w:type="dxa"/>
            <w:gridSpan w:val="3"/>
            <w:tcBorders>
              <w:top w:val="single" w:color="auto" w:sz="4" w:space="0"/>
              <w:left w:val="nil"/>
              <w:bottom w:val="single" w:color="auto" w:sz="4" w:space="0"/>
              <w:right w:val="single" w:color="000000" w:sz="4" w:space="0"/>
            </w:tcBorders>
          </w:tcPr>
          <w:p w14:paraId="56B304CD">
            <w:pPr>
              <w:widowControl/>
              <w:spacing w:line="280" w:lineRule="exact"/>
              <w:ind w:firstLine="400" w:firstLineChars="200"/>
              <w:jc w:val="left"/>
              <w:rPr>
                <w:rFonts w:ascii="宋体" w:cs="宋体"/>
                <w:kern w:val="0"/>
                <w:sz w:val="20"/>
                <w:szCs w:val="20"/>
              </w:rPr>
            </w:pPr>
            <w:r>
              <w:rPr>
                <w:rFonts w:hint="eastAsia" w:ascii="宋体" w:hAnsi="宋体" w:cs="宋体"/>
                <w:sz w:val="20"/>
                <w:szCs w:val="20"/>
              </w:rPr>
              <w:t>按自治区工作安排，力争通过三年试点，培育一批经济持续发展、经营特色鲜明、集体实力壮大、农民收入增加、经营制度完善、公共服务能力增强的行政村，积极探索村级集体经济有效组织形式和集体资产保值增值增收增效经营管理模式，形成成熟高效可复制、可推广经验的村级集体经济发展模式。</w:t>
            </w:r>
          </w:p>
        </w:tc>
        <w:tc>
          <w:tcPr>
            <w:tcW w:w="3909" w:type="dxa"/>
            <w:gridSpan w:val="2"/>
            <w:tcBorders>
              <w:top w:val="single" w:color="auto" w:sz="4" w:space="0"/>
              <w:left w:val="nil"/>
              <w:bottom w:val="single" w:color="auto" w:sz="4" w:space="0"/>
              <w:right w:val="single" w:color="000000" w:sz="4" w:space="0"/>
            </w:tcBorders>
          </w:tcPr>
          <w:p w14:paraId="6B87EC07">
            <w:pPr>
              <w:widowControl/>
              <w:spacing w:line="280" w:lineRule="exact"/>
              <w:ind w:firstLine="400" w:firstLineChars="200"/>
              <w:jc w:val="left"/>
              <w:rPr>
                <w:rFonts w:ascii="宋体" w:cs="宋体"/>
                <w:sz w:val="20"/>
                <w:szCs w:val="20"/>
              </w:rPr>
            </w:pPr>
            <w:r>
              <w:rPr>
                <w:rFonts w:hint="eastAsia" w:ascii="宋体" w:hAnsi="宋体" w:cs="宋体"/>
                <w:sz w:val="20"/>
                <w:szCs w:val="20"/>
              </w:rPr>
              <w:t>扶优扶强，以点带面，探索建设完成扶持村级集体经济发展试点项目10个，其中：以物业管理为主要内容的村级集体经济发展模式项目7个，以混合经营为主要内容的村集体经济发展模式项目3个。</w:t>
            </w:r>
          </w:p>
        </w:tc>
      </w:tr>
      <w:tr w14:paraId="1D7E2702">
        <w:tblPrEx>
          <w:tblCellMar>
            <w:top w:w="0" w:type="dxa"/>
            <w:left w:w="108" w:type="dxa"/>
            <w:bottom w:w="0" w:type="dxa"/>
            <w:right w:w="108" w:type="dxa"/>
          </w:tblCellMar>
        </w:tblPrEx>
        <w:trPr>
          <w:trHeight w:val="796" w:hRule="atLeast"/>
        </w:trPr>
        <w:tc>
          <w:tcPr>
            <w:tcW w:w="720" w:type="dxa"/>
            <w:vMerge w:val="restart"/>
            <w:tcBorders>
              <w:top w:val="nil"/>
              <w:left w:val="single" w:color="auto" w:sz="4" w:space="0"/>
              <w:bottom w:val="single" w:color="000000" w:sz="4" w:space="0"/>
              <w:right w:val="single" w:color="auto" w:sz="4" w:space="0"/>
            </w:tcBorders>
            <w:vAlign w:val="center"/>
          </w:tcPr>
          <w:p w14:paraId="2D7ED22E">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绩效</w:t>
            </w:r>
            <w:r>
              <w:rPr>
                <w:rFonts w:ascii="宋体" w:cs="宋体"/>
                <w:kern w:val="0"/>
                <w:sz w:val="20"/>
                <w:szCs w:val="20"/>
              </w:rPr>
              <w:br w:type="textWrapping"/>
            </w:r>
            <w:r>
              <w:rPr>
                <w:rFonts w:hint="eastAsia" w:ascii="宋体" w:hAnsi="宋体" w:cs="宋体"/>
                <w:kern w:val="0"/>
                <w:sz w:val="20"/>
                <w:szCs w:val="20"/>
              </w:rPr>
              <w:t>指标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vAlign w:val="center"/>
          </w:tcPr>
          <w:p w14:paraId="2B65070A">
            <w:pPr>
              <w:widowControl/>
              <w:jc w:val="center"/>
              <w:rPr>
                <w:rFonts w:asci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vAlign w:val="center"/>
          </w:tcPr>
          <w:p w14:paraId="00FA6361">
            <w:pPr>
              <w:widowControl/>
              <w:jc w:val="center"/>
              <w:rPr>
                <w:rFonts w:ascii="宋体" w:cs="宋体"/>
                <w:kern w:val="0"/>
                <w:sz w:val="20"/>
                <w:szCs w:val="20"/>
              </w:rPr>
            </w:pPr>
            <w:r>
              <w:rPr>
                <w:rFonts w:hint="eastAsia" w:ascii="宋体" w:hAnsi="宋体" w:cs="宋体"/>
                <w:kern w:val="0"/>
                <w:sz w:val="20"/>
                <w:szCs w:val="20"/>
              </w:rPr>
              <w:t>二级指标</w:t>
            </w:r>
          </w:p>
        </w:tc>
        <w:tc>
          <w:tcPr>
            <w:tcW w:w="2276" w:type="dxa"/>
            <w:tcBorders>
              <w:top w:val="single" w:color="auto" w:sz="4" w:space="0"/>
              <w:left w:val="nil"/>
              <w:bottom w:val="single" w:color="auto" w:sz="4" w:space="0"/>
              <w:right w:val="single" w:color="auto" w:sz="4" w:space="0"/>
            </w:tcBorders>
            <w:vAlign w:val="center"/>
          </w:tcPr>
          <w:p w14:paraId="3611F898">
            <w:pPr>
              <w:widowControl/>
              <w:jc w:val="center"/>
              <w:rPr>
                <w:rFonts w:ascii="宋体" w:cs="宋体"/>
                <w:kern w:val="0"/>
                <w:sz w:val="20"/>
                <w:szCs w:val="20"/>
              </w:rPr>
            </w:pPr>
            <w:r>
              <w:rPr>
                <w:rFonts w:hint="eastAsia" w:ascii="宋体" w:hAnsi="宋体" w:cs="宋体"/>
                <w:kern w:val="0"/>
                <w:sz w:val="20"/>
                <w:szCs w:val="20"/>
              </w:rPr>
              <w:t>三级指标</w:t>
            </w:r>
          </w:p>
        </w:tc>
        <w:tc>
          <w:tcPr>
            <w:tcW w:w="2041" w:type="dxa"/>
            <w:tcBorders>
              <w:top w:val="nil"/>
              <w:left w:val="nil"/>
              <w:bottom w:val="single" w:color="auto" w:sz="4" w:space="0"/>
              <w:right w:val="single" w:color="auto" w:sz="4" w:space="0"/>
            </w:tcBorders>
            <w:vAlign w:val="center"/>
          </w:tcPr>
          <w:p w14:paraId="550181D0">
            <w:pPr>
              <w:widowControl/>
              <w:jc w:val="center"/>
              <w:rPr>
                <w:rFonts w:ascii="宋体" w:cs="宋体"/>
                <w:kern w:val="0"/>
                <w:sz w:val="20"/>
                <w:szCs w:val="20"/>
              </w:rPr>
            </w:pPr>
            <w:r>
              <w:rPr>
                <w:rFonts w:hint="eastAsia" w:ascii="宋体" w:hAnsi="宋体" w:cs="宋体"/>
                <w:kern w:val="0"/>
                <w:sz w:val="20"/>
                <w:szCs w:val="20"/>
              </w:rPr>
              <w:t>预期指标值（包含数字及文字描述）</w:t>
            </w:r>
          </w:p>
        </w:tc>
        <w:tc>
          <w:tcPr>
            <w:tcW w:w="1868" w:type="dxa"/>
            <w:tcBorders>
              <w:top w:val="nil"/>
              <w:left w:val="nil"/>
              <w:bottom w:val="single" w:color="auto" w:sz="4" w:space="0"/>
              <w:right w:val="single" w:color="auto" w:sz="4" w:space="0"/>
            </w:tcBorders>
            <w:vAlign w:val="center"/>
          </w:tcPr>
          <w:p w14:paraId="3E89404C">
            <w:pPr>
              <w:widowControl/>
              <w:jc w:val="center"/>
              <w:rPr>
                <w:rFonts w:ascii="宋体" w:cs="宋体"/>
                <w:kern w:val="0"/>
                <w:sz w:val="20"/>
                <w:szCs w:val="20"/>
              </w:rPr>
            </w:pPr>
            <w:r>
              <w:rPr>
                <w:rFonts w:hint="eastAsia" w:ascii="宋体" w:hAnsi="宋体" w:cs="宋体"/>
                <w:kern w:val="0"/>
                <w:sz w:val="20"/>
                <w:szCs w:val="20"/>
              </w:rPr>
              <w:t>实际完成指标值（包含数字及文字描述）</w:t>
            </w:r>
          </w:p>
        </w:tc>
      </w:tr>
      <w:tr w14:paraId="3BA8B20C">
        <w:tblPrEx>
          <w:tblCellMar>
            <w:top w:w="0" w:type="dxa"/>
            <w:left w:w="108" w:type="dxa"/>
            <w:bottom w:w="0" w:type="dxa"/>
            <w:right w:w="108" w:type="dxa"/>
          </w:tblCellMar>
        </w:tblPrEx>
        <w:trPr>
          <w:trHeight w:val="510" w:hRule="atLeast"/>
        </w:trPr>
        <w:tc>
          <w:tcPr>
            <w:tcW w:w="720" w:type="dxa"/>
            <w:vMerge w:val="continue"/>
            <w:tcBorders>
              <w:top w:val="nil"/>
              <w:left w:val="single" w:color="auto" w:sz="4" w:space="0"/>
              <w:bottom w:val="single" w:color="000000" w:sz="4" w:space="0"/>
              <w:right w:val="single" w:color="auto" w:sz="4" w:space="0"/>
            </w:tcBorders>
            <w:vAlign w:val="center"/>
          </w:tcPr>
          <w:p w14:paraId="7645F0FF">
            <w:pPr>
              <w:widowControl/>
              <w:jc w:val="left"/>
              <w:rPr>
                <w:rFonts w:ascii="宋体" w:cs="宋体"/>
                <w:kern w:val="0"/>
                <w:sz w:val="20"/>
                <w:szCs w:val="20"/>
              </w:rPr>
            </w:pPr>
          </w:p>
        </w:tc>
        <w:tc>
          <w:tcPr>
            <w:tcW w:w="1140" w:type="dxa"/>
            <w:vMerge w:val="restart"/>
            <w:tcBorders>
              <w:top w:val="single" w:color="auto" w:sz="4" w:space="0"/>
              <w:left w:val="single" w:color="auto" w:sz="4" w:space="0"/>
              <w:right w:val="single" w:color="auto" w:sz="4" w:space="0"/>
            </w:tcBorders>
            <w:vAlign w:val="center"/>
          </w:tcPr>
          <w:p w14:paraId="6B0CA761">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14:paraId="19466B17">
            <w:pPr>
              <w:widowControl/>
              <w:jc w:val="center"/>
              <w:rPr>
                <w:rFonts w:ascii="宋体" w:cs="宋体"/>
                <w:kern w:val="0"/>
                <w:sz w:val="20"/>
                <w:szCs w:val="20"/>
              </w:rPr>
            </w:pPr>
            <w:r>
              <w:rPr>
                <w:rFonts w:hint="eastAsia" w:ascii="宋体" w:cs="宋体"/>
                <w:kern w:val="0"/>
                <w:sz w:val="20"/>
                <w:szCs w:val="20"/>
              </w:rPr>
              <w:t>数量指标</w:t>
            </w:r>
          </w:p>
        </w:tc>
        <w:tc>
          <w:tcPr>
            <w:tcW w:w="2276" w:type="dxa"/>
            <w:tcBorders>
              <w:top w:val="single" w:color="auto" w:sz="4" w:space="0"/>
              <w:left w:val="nil"/>
              <w:bottom w:val="single" w:color="auto" w:sz="4" w:space="0"/>
              <w:right w:val="single" w:color="auto" w:sz="4" w:space="0"/>
            </w:tcBorders>
            <w:vAlign w:val="center"/>
          </w:tcPr>
          <w:p w14:paraId="7BE8E97E">
            <w:pPr>
              <w:widowControl/>
              <w:spacing w:line="200" w:lineRule="exact"/>
              <w:jc w:val="left"/>
              <w:rPr>
                <w:rFonts w:ascii="宋体" w:cs="宋体"/>
                <w:kern w:val="0"/>
                <w:sz w:val="20"/>
                <w:szCs w:val="20"/>
              </w:rPr>
            </w:pPr>
            <w:r>
              <w:rPr>
                <w:rFonts w:ascii="宋体" w:hAnsi="宋体" w:cs="宋体"/>
                <w:kern w:val="0"/>
                <w:sz w:val="20"/>
                <w:szCs w:val="20"/>
              </w:rPr>
              <w:t>1.</w:t>
            </w:r>
            <w:r>
              <w:rPr>
                <w:rFonts w:hint="eastAsia" w:ascii="宋体" w:hAnsi="宋体" w:cs="宋体"/>
                <w:kern w:val="0"/>
                <w:sz w:val="20"/>
                <w:szCs w:val="20"/>
              </w:rPr>
              <w:t>物业管理类经济发展模式</w:t>
            </w:r>
          </w:p>
        </w:tc>
        <w:tc>
          <w:tcPr>
            <w:tcW w:w="2041" w:type="dxa"/>
            <w:tcBorders>
              <w:top w:val="nil"/>
              <w:left w:val="nil"/>
              <w:bottom w:val="single" w:color="auto" w:sz="4" w:space="0"/>
              <w:right w:val="single" w:color="auto" w:sz="4" w:space="0"/>
            </w:tcBorders>
            <w:vAlign w:val="center"/>
          </w:tcPr>
          <w:p w14:paraId="6A295334">
            <w:pPr>
              <w:widowControl/>
              <w:jc w:val="center"/>
              <w:rPr>
                <w:rFonts w:ascii="宋体" w:cs="宋体"/>
                <w:kern w:val="0"/>
                <w:sz w:val="20"/>
                <w:szCs w:val="20"/>
              </w:rPr>
            </w:pPr>
            <w:r>
              <w:rPr>
                <w:rFonts w:hint="eastAsia" w:ascii="宋体" w:hAnsi="宋体" w:cs="宋体"/>
                <w:kern w:val="0"/>
                <w:sz w:val="20"/>
                <w:szCs w:val="20"/>
              </w:rPr>
              <w:t>7个</w:t>
            </w:r>
          </w:p>
        </w:tc>
        <w:tc>
          <w:tcPr>
            <w:tcW w:w="1868" w:type="dxa"/>
            <w:tcBorders>
              <w:top w:val="nil"/>
              <w:left w:val="nil"/>
              <w:bottom w:val="single" w:color="auto" w:sz="4" w:space="0"/>
              <w:right w:val="single" w:color="auto" w:sz="4" w:space="0"/>
            </w:tcBorders>
            <w:vAlign w:val="center"/>
          </w:tcPr>
          <w:p w14:paraId="0CDD5D04">
            <w:pPr>
              <w:widowControl/>
              <w:jc w:val="center"/>
              <w:rPr>
                <w:rFonts w:ascii="宋体" w:cs="宋体"/>
                <w:kern w:val="0"/>
                <w:sz w:val="20"/>
                <w:szCs w:val="20"/>
              </w:rPr>
            </w:pPr>
            <w:r>
              <w:rPr>
                <w:rFonts w:hint="eastAsia" w:ascii="宋体" w:hAnsi="宋体" w:cs="宋体"/>
                <w:kern w:val="0"/>
                <w:sz w:val="20"/>
                <w:szCs w:val="20"/>
              </w:rPr>
              <w:t>7个</w:t>
            </w:r>
          </w:p>
        </w:tc>
      </w:tr>
      <w:tr w14:paraId="57AA56F9">
        <w:tblPrEx>
          <w:tblCellMar>
            <w:top w:w="0" w:type="dxa"/>
            <w:left w:w="108" w:type="dxa"/>
            <w:bottom w:w="0" w:type="dxa"/>
            <w:right w:w="108" w:type="dxa"/>
          </w:tblCellMar>
        </w:tblPrEx>
        <w:trPr>
          <w:trHeight w:val="545" w:hRule="atLeast"/>
        </w:trPr>
        <w:tc>
          <w:tcPr>
            <w:tcW w:w="720" w:type="dxa"/>
            <w:vMerge w:val="continue"/>
            <w:tcBorders>
              <w:top w:val="nil"/>
              <w:left w:val="single" w:color="auto" w:sz="4" w:space="0"/>
              <w:bottom w:val="single" w:color="000000" w:sz="4" w:space="0"/>
              <w:right w:val="single" w:color="auto" w:sz="4" w:space="0"/>
            </w:tcBorders>
            <w:vAlign w:val="center"/>
          </w:tcPr>
          <w:p w14:paraId="007D9669">
            <w:pPr>
              <w:widowControl/>
              <w:jc w:val="left"/>
              <w:rPr>
                <w:rFonts w:ascii="宋体" w:cs="宋体"/>
                <w:kern w:val="0"/>
                <w:sz w:val="20"/>
                <w:szCs w:val="20"/>
              </w:rPr>
            </w:pPr>
          </w:p>
        </w:tc>
        <w:tc>
          <w:tcPr>
            <w:tcW w:w="1140" w:type="dxa"/>
            <w:vMerge w:val="continue"/>
            <w:tcBorders>
              <w:left w:val="single" w:color="auto" w:sz="4" w:space="0"/>
              <w:right w:val="single" w:color="auto" w:sz="4" w:space="0"/>
            </w:tcBorders>
            <w:vAlign w:val="center"/>
          </w:tcPr>
          <w:p w14:paraId="0C3F8DE8">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14:paraId="34571710">
            <w:pPr>
              <w:widowControl/>
              <w:jc w:val="left"/>
              <w:rPr>
                <w:rFonts w:ascii="宋体" w:cs="宋体"/>
                <w:kern w:val="0"/>
                <w:sz w:val="20"/>
                <w:szCs w:val="20"/>
              </w:rPr>
            </w:pPr>
          </w:p>
        </w:tc>
        <w:tc>
          <w:tcPr>
            <w:tcW w:w="2276" w:type="dxa"/>
            <w:tcBorders>
              <w:top w:val="single" w:color="auto" w:sz="4" w:space="0"/>
              <w:left w:val="nil"/>
              <w:bottom w:val="single" w:color="auto" w:sz="4" w:space="0"/>
              <w:right w:val="single" w:color="auto" w:sz="4" w:space="0"/>
            </w:tcBorders>
            <w:vAlign w:val="center"/>
          </w:tcPr>
          <w:p w14:paraId="4FD9077B">
            <w:pPr>
              <w:widowControl/>
              <w:spacing w:line="200" w:lineRule="exact"/>
              <w:jc w:val="left"/>
              <w:rPr>
                <w:rFonts w:ascii="宋体" w:cs="宋体"/>
                <w:kern w:val="0"/>
                <w:sz w:val="20"/>
                <w:szCs w:val="20"/>
              </w:rPr>
            </w:pPr>
            <w:r>
              <w:rPr>
                <w:rFonts w:ascii="宋体" w:hAnsi="宋体" w:cs="宋体"/>
                <w:kern w:val="0"/>
                <w:sz w:val="20"/>
                <w:szCs w:val="20"/>
              </w:rPr>
              <w:t>2.</w:t>
            </w:r>
            <w:r>
              <w:rPr>
                <w:rFonts w:hint="eastAsia" w:ascii="宋体" w:hAnsi="宋体" w:cs="宋体"/>
                <w:kern w:val="0"/>
                <w:sz w:val="20"/>
                <w:szCs w:val="20"/>
              </w:rPr>
              <w:t>混合经营型经济发展模式</w:t>
            </w:r>
          </w:p>
        </w:tc>
        <w:tc>
          <w:tcPr>
            <w:tcW w:w="2041" w:type="dxa"/>
            <w:tcBorders>
              <w:top w:val="nil"/>
              <w:left w:val="nil"/>
              <w:bottom w:val="single" w:color="auto" w:sz="4" w:space="0"/>
              <w:right w:val="single" w:color="auto" w:sz="4" w:space="0"/>
            </w:tcBorders>
            <w:vAlign w:val="center"/>
          </w:tcPr>
          <w:p w14:paraId="79B78B94">
            <w:pPr>
              <w:widowControl/>
              <w:jc w:val="center"/>
              <w:rPr>
                <w:rFonts w:ascii="宋体" w:cs="宋体"/>
                <w:kern w:val="0"/>
                <w:sz w:val="20"/>
                <w:szCs w:val="20"/>
              </w:rPr>
            </w:pPr>
            <w:r>
              <w:rPr>
                <w:rFonts w:hint="eastAsia" w:ascii="宋体" w:hAnsi="宋体" w:cs="宋体"/>
                <w:kern w:val="0"/>
                <w:sz w:val="20"/>
                <w:szCs w:val="20"/>
              </w:rPr>
              <w:t>3个</w:t>
            </w:r>
          </w:p>
        </w:tc>
        <w:tc>
          <w:tcPr>
            <w:tcW w:w="1868" w:type="dxa"/>
            <w:tcBorders>
              <w:top w:val="nil"/>
              <w:left w:val="nil"/>
              <w:bottom w:val="single" w:color="auto" w:sz="4" w:space="0"/>
              <w:right w:val="single" w:color="auto" w:sz="4" w:space="0"/>
            </w:tcBorders>
            <w:vAlign w:val="center"/>
          </w:tcPr>
          <w:p w14:paraId="41F07E0D">
            <w:pPr>
              <w:widowControl/>
              <w:jc w:val="center"/>
              <w:rPr>
                <w:rFonts w:ascii="宋体" w:cs="宋体"/>
                <w:kern w:val="0"/>
                <w:sz w:val="20"/>
                <w:szCs w:val="20"/>
              </w:rPr>
            </w:pPr>
            <w:r>
              <w:rPr>
                <w:rFonts w:hint="eastAsia" w:ascii="宋体" w:hAnsi="宋体" w:cs="宋体"/>
                <w:kern w:val="0"/>
                <w:sz w:val="20"/>
                <w:szCs w:val="20"/>
              </w:rPr>
              <w:t>3个</w:t>
            </w:r>
          </w:p>
        </w:tc>
      </w:tr>
      <w:tr w14:paraId="79D53886">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14:paraId="7DDB700C">
            <w:pPr>
              <w:widowControl/>
              <w:jc w:val="left"/>
              <w:rPr>
                <w:rFonts w:ascii="宋体" w:cs="宋体"/>
                <w:kern w:val="0"/>
                <w:sz w:val="20"/>
                <w:szCs w:val="20"/>
              </w:rPr>
            </w:pPr>
          </w:p>
        </w:tc>
        <w:tc>
          <w:tcPr>
            <w:tcW w:w="1140" w:type="dxa"/>
            <w:vMerge w:val="continue"/>
            <w:tcBorders>
              <w:left w:val="single" w:color="auto" w:sz="4" w:space="0"/>
              <w:right w:val="single" w:color="auto" w:sz="4" w:space="0"/>
            </w:tcBorders>
            <w:vAlign w:val="center"/>
          </w:tcPr>
          <w:p w14:paraId="73408FE5">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14:paraId="263FD740">
            <w:pPr>
              <w:widowControl/>
              <w:jc w:val="center"/>
              <w:rPr>
                <w:rFonts w:ascii="宋体" w:cs="宋体"/>
                <w:kern w:val="0"/>
                <w:sz w:val="20"/>
                <w:szCs w:val="20"/>
              </w:rPr>
            </w:pPr>
            <w:r>
              <w:rPr>
                <w:rFonts w:hint="eastAsia" w:ascii="宋体" w:hAnsi="宋体" w:cs="宋体"/>
                <w:kern w:val="0"/>
                <w:sz w:val="20"/>
                <w:szCs w:val="20"/>
              </w:rPr>
              <w:t>质量指标</w:t>
            </w:r>
          </w:p>
        </w:tc>
        <w:tc>
          <w:tcPr>
            <w:tcW w:w="2276" w:type="dxa"/>
            <w:tcBorders>
              <w:top w:val="single" w:color="auto" w:sz="4" w:space="0"/>
              <w:left w:val="nil"/>
              <w:bottom w:val="single" w:color="auto" w:sz="4" w:space="0"/>
              <w:right w:val="single" w:color="auto" w:sz="4" w:space="0"/>
            </w:tcBorders>
            <w:vAlign w:val="center"/>
          </w:tcPr>
          <w:p w14:paraId="1603173D">
            <w:pPr>
              <w:widowControl/>
              <w:jc w:val="left"/>
              <w:rPr>
                <w:rFonts w:ascii="宋体" w:cs="宋体"/>
                <w:kern w:val="0"/>
                <w:sz w:val="20"/>
                <w:szCs w:val="20"/>
              </w:rPr>
            </w:pPr>
            <w:r>
              <w:rPr>
                <w:rFonts w:hint="eastAsia" w:ascii="宋体" w:hAnsi="宋体" w:cs="宋体"/>
                <w:kern w:val="0"/>
                <w:sz w:val="20"/>
                <w:szCs w:val="20"/>
              </w:rPr>
              <w:t>项目建设实施率</w:t>
            </w:r>
          </w:p>
        </w:tc>
        <w:tc>
          <w:tcPr>
            <w:tcW w:w="2041" w:type="dxa"/>
            <w:tcBorders>
              <w:top w:val="nil"/>
              <w:left w:val="nil"/>
              <w:bottom w:val="single" w:color="auto" w:sz="4" w:space="0"/>
              <w:right w:val="single" w:color="auto" w:sz="4" w:space="0"/>
            </w:tcBorders>
            <w:vAlign w:val="center"/>
          </w:tcPr>
          <w:p w14:paraId="7C09D550">
            <w:pPr>
              <w:widowControl/>
              <w:jc w:val="center"/>
              <w:rPr>
                <w:rFonts w:ascii="宋体" w:cs="宋体"/>
                <w:kern w:val="0"/>
                <w:sz w:val="20"/>
                <w:szCs w:val="20"/>
              </w:rPr>
            </w:pPr>
            <w:r>
              <w:rPr>
                <w:rFonts w:ascii="宋体" w:hAnsi="宋体" w:cs="宋体"/>
                <w:kern w:val="0"/>
                <w:sz w:val="20"/>
                <w:szCs w:val="20"/>
              </w:rPr>
              <w:t>90%</w:t>
            </w:r>
          </w:p>
        </w:tc>
        <w:tc>
          <w:tcPr>
            <w:tcW w:w="1868" w:type="dxa"/>
            <w:tcBorders>
              <w:top w:val="nil"/>
              <w:left w:val="nil"/>
              <w:bottom w:val="single" w:color="auto" w:sz="4" w:space="0"/>
              <w:right w:val="single" w:color="auto" w:sz="4" w:space="0"/>
            </w:tcBorders>
            <w:vAlign w:val="center"/>
          </w:tcPr>
          <w:p w14:paraId="0C479C44">
            <w:pPr>
              <w:widowControl/>
              <w:jc w:val="center"/>
              <w:rPr>
                <w:rFonts w:ascii="宋体" w:cs="宋体"/>
                <w:kern w:val="0"/>
                <w:sz w:val="20"/>
                <w:szCs w:val="20"/>
              </w:rPr>
            </w:pPr>
            <w:r>
              <w:rPr>
                <w:rFonts w:hint="eastAsia" w:ascii="宋体" w:hAnsi="宋体" w:cs="宋体"/>
                <w:kern w:val="0"/>
                <w:sz w:val="20"/>
                <w:szCs w:val="20"/>
              </w:rPr>
              <w:t>10</w:t>
            </w:r>
            <w:r>
              <w:rPr>
                <w:rFonts w:ascii="宋体" w:hAnsi="宋体" w:cs="宋体"/>
                <w:kern w:val="0"/>
                <w:sz w:val="20"/>
                <w:szCs w:val="20"/>
              </w:rPr>
              <w:t>0%</w:t>
            </w:r>
          </w:p>
        </w:tc>
      </w:tr>
      <w:tr w14:paraId="750CCDBD">
        <w:tblPrEx>
          <w:tblCellMar>
            <w:top w:w="0" w:type="dxa"/>
            <w:left w:w="108" w:type="dxa"/>
            <w:bottom w:w="0" w:type="dxa"/>
            <w:right w:w="108" w:type="dxa"/>
          </w:tblCellMar>
        </w:tblPrEx>
        <w:trPr>
          <w:trHeight w:val="390" w:hRule="atLeast"/>
        </w:trPr>
        <w:tc>
          <w:tcPr>
            <w:tcW w:w="720" w:type="dxa"/>
            <w:vMerge w:val="continue"/>
            <w:tcBorders>
              <w:top w:val="nil"/>
              <w:left w:val="single" w:color="auto" w:sz="4" w:space="0"/>
              <w:bottom w:val="single" w:color="000000" w:sz="4" w:space="0"/>
              <w:right w:val="single" w:color="auto" w:sz="4" w:space="0"/>
            </w:tcBorders>
            <w:vAlign w:val="center"/>
          </w:tcPr>
          <w:p w14:paraId="2E6ED977">
            <w:pPr>
              <w:widowControl/>
              <w:jc w:val="left"/>
              <w:rPr>
                <w:rFonts w:ascii="宋体" w:cs="宋体"/>
                <w:kern w:val="0"/>
                <w:sz w:val="20"/>
                <w:szCs w:val="20"/>
              </w:rPr>
            </w:pPr>
          </w:p>
        </w:tc>
        <w:tc>
          <w:tcPr>
            <w:tcW w:w="1140" w:type="dxa"/>
            <w:vMerge w:val="continue"/>
            <w:tcBorders>
              <w:left w:val="single" w:color="auto" w:sz="4" w:space="0"/>
              <w:right w:val="single" w:color="auto" w:sz="4" w:space="0"/>
            </w:tcBorders>
            <w:vAlign w:val="center"/>
          </w:tcPr>
          <w:p w14:paraId="431CA9FF">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14:paraId="3B95D564">
            <w:pPr>
              <w:widowControl/>
              <w:jc w:val="center"/>
              <w:rPr>
                <w:rFonts w:ascii="宋体" w:cs="宋体"/>
                <w:kern w:val="0"/>
                <w:sz w:val="20"/>
                <w:szCs w:val="20"/>
              </w:rPr>
            </w:pPr>
            <w:r>
              <w:rPr>
                <w:rFonts w:hint="eastAsia" w:ascii="宋体" w:hAnsi="宋体" w:cs="宋体"/>
                <w:kern w:val="0"/>
                <w:sz w:val="20"/>
                <w:szCs w:val="20"/>
              </w:rPr>
              <w:t>时效指标</w:t>
            </w:r>
          </w:p>
        </w:tc>
        <w:tc>
          <w:tcPr>
            <w:tcW w:w="2276" w:type="dxa"/>
            <w:tcBorders>
              <w:top w:val="single" w:color="auto" w:sz="4" w:space="0"/>
              <w:left w:val="nil"/>
              <w:bottom w:val="single" w:color="auto" w:sz="4" w:space="0"/>
              <w:right w:val="single" w:color="auto" w:sz="4" w:space="0"/>
            </w:tcBorders>
            <w:vAlign w:val="center"/>
          </w:tcPr>
          <w:p w14:paraId="11F711CB">
            <w:pPr>
              <w:widowControl/>
              <w:jc w:val="left"/>
              <w:rPr>
                <w:rFonts w:ascii="宋体" w:cs="宋体"/>
                <w:kern w:val="0"/>
                <w:sz w:val="20"/>
                <w:szCs w:val="20"/>
              </w:rPr>
            </w:pPr>
            <w:r>
              <w:rPr>
                <w:rFonts w:hint="eastAsia" w:ascii="宋体" w:hAnsi="宋体" w:cs="宋体"/>
                <w:kern w:val="0"/>
                <w:sz w:val="20"/>
                <w:szCs w:val="20"/>
              </w:rPr>
              <w:t>开工时间</w:t>
            </w:r>
          </w:p>
        </w:tc>
        <w:tc>
          <w:tcPr>
            <w:tcW w:w="2041" w:type="dxa"/>
            <w:tcBorders>
              <w:top w:val="nil"/>
              <w:left w:val="nil"/>
              <w:bottom w:val="single" w:color="auto" w:sz="4" w:space="0"/>
              <w:right w:val="single" w:color="auto" w:sz="4" w:space="0"/>
            </w:tcBorders>
            <w:vAlign w:val="center"/>
          </w:tcPr>
          <w:p w14:paraId="166458DD">
            <w:pPr>
              <w:widowControl/>
              <w:jc w:val="left"/>
              <w:rPr>
                <w:rFonts w:ascii="宋体" w:cs="宋体"/>
                <w:kern w:val="0"/>
                <w:sz w:val="20"/>
                <w:szCs w:val="20"/>
              </w:rPr>
            </w:pPr>
            <w:r>
              <w:rPr>
                <w:rFonts w:hint="eastAsia" w:ascii="宋体" w:hAnsi="宋体" w:cs="宋体"/>
                <w:kern w:val="0"/>
                <w:sz w:val="20"/>
                <w:szCs w:val="20"/>
              </w:rPr>
              <w:t>2017</w:t>
            </w:r>
            <w:r>
              <w:rPr>
                <w:rFonts w:hint="eastAsia" w:ascii="宋体" w:hAnsi="宋体" w:cs="宋体"/>
                <w:kern w:val="0"/>
                <w:sz w:val="20"/>
                <w:szCs w:val="20"/>
                <w:lang w:val="en-US" w:eastAsia="zh-CN"/>
              </w:rPr>
              <w:t>年</w:t>
            </w:r>
            <w:r>
              <w:rPr>
                <w:rFonts w:hint="eastAsia" w:ascii="宋体" w:hAnsi="宋体" w:cs="宋体"/>
                <w:kern w:val="0"/>
                <w:sz w:val="20"/>
                <w:szCs w:val="20"/>
              </w:rPr>
              <w:t>9月30日</w:t>
            </w:r>
          </w:p>
        </w:tc>
        <w:tc>
          <w:tcPr>
            <w:tcW w:w="1868" w:type="dxa"/>
            <w:tcBorders>
              <w:top w:val="nil"/>
              <w:left w:val="nil"/>
              <w:bottom w:val="single" w:color="auto" w:sz="4" w:space="0"/>
              <w:right w:val="single" w:color="auto" w:sz="4" w:space="0"/>
            </w:tcBorders>
            <w:vAlign w:val="center"/>
          </w:tcPr>
          <w:p w14:paraId="1EEFFAC7">
            <w:pPr>
              <w:widowControl/>
              <w:jc w:val="left"/>
              <w:rPr>
                <w:rFonts w:ascii="宋体" w:cs="宋体"/>
                <w:kern w:val="0"/>
                <w:sz w:val="20"/>
                <w:szCs w:val="20"/>
              </w:rPr>
            </w:pPr>
          </w:p>
        </w:tc>
      </w:tr>
      <w:tr w14:paraId="2684C85A">
        <w:tblPrEx>
          <w:tblCellMar>
            <w:top w:w="0" w:type="dxa"/>
            <w:left w:w="108" w:type="dxa"/>
            <w:bottom w:w="0" w:type="dxa"/>
            <w:right w:w="108" w:type="dxa"/>
          </w:tblCellMar>
        </w:tblPrEx>
        <w:trPr>
          <w:trHeight w:val="345" w:hRule="atLeast"/>
        </w:trPr>
        <w:tc>
          <w:tcPr>
            <w:tcW w:w="720" w:type="dxa"/>
            <w:vMerge w:val="continue"/>
            <w:tcBorders>
              <w:top w:val="nil"/>
              <w:left w:val="single" w:color="auto" w:sz="4" w:space="0"/>
              <w:bottom w:val="single" w:color="000000" w:sz="4" w:space="0"/>
              <w:right w:val="single" w:color="auto" w:sz="4" w:space="0"/>
            </w:tcBorders>
            <w:vAlign w:val="center"/>
          </w:tcPr>
          <w:p w14:paraId="3956C191">
            <w:pPr>
              <w:widowControl/>
              <w:jc w:val="left"/>
              <w:rPr>
                <w:rFonts w:ascii="宋体" w:cs="宋体"/>
                <w:kern w:val="0"/>
                <w:sz w:val="20"/>
                <w:szCs w:val="20"/>
              </w:rPr>
            </w:pPr>
          </w:p>
        </w:tc>
        <w:tc>
          <w:tcPr>
            <w:tcW w:w="1140" w:type="dxa"/>
            <w:vMerge w:val="continue"/>
            <w:tcBorders>
              <w:left w:val="single" w:color="auto" w:sz="4" w:space="0"/>
              <w:right w:val="single" w:color="auto" w:sz="4" w:space="0"/>
            </w:tcBorders>
            <w:vAlign w:val="center"/>
          </w:tcPr>
          <w:p w14:paraId="34028FB0">
            <w:pPr>
              <w:widowControl/>
              <w:jc w:val="left"/>
              <w:rPr>
                <w:rFonts w:ascii="宋体" w:cs="宋体"/>
                <w:kern w:val="0"/>
                <w:sz w:val="20"/>
                <w:szCs w:val="20"/>
              </w:rPr>
            </w:pPr>
          </w:p>
        </w:tc>
        <w:tc>
          <w:tcPr>
            <w:tcW w:w="1360" w:type="dxa"/>
            <w:vMerge w:val="continue"/>
            <w:tcBorders>
              <w:top w:val="nil"/>
              <w:left w:val="single" w:color="auto" w:sz="4" w:space="0"/>
              <w:bottom w:val="single" w:color="auto" w:sz="4" w:space="0"/>
              <w:right w:val="single" w:color="auto" w:sz="4" w:space="0"/>
            </w:tcBorders>
            <w:vAlign w:val="center"/>
          </w:tcPr>
          <w:p w14:paraId="56D44897">
            <w:pPr>
              <w:widowControl/>
              <w:jc w:val="left"/>
              <w:rPr>
                <w:rFonts w:ascii="宋体" w:cs="宋体"/>
                <w:kern w:val="0"/>
                <w:sz w:val="20"/>
                <w:szCs w:val="20"/>
              </w:rPr>
            </w:pPr>
          </w:p>
        </w:tc>
        <w:tc>
          <w:tcPr>
            <w:tcW w:w="2276" w:type="dxa"/>
            <w:tcBorders>
              <w:top w:val="single" w:color="auto" w:sz="4" w:space="0"/>
              <w:left w:val="nil"/>
              <w:bottom w:val="single" w:color="auto" w:sz="4" w:space="0"/>
              <w:right w:val="single" w:color="auto" w:sz="4" w:space="0"/>
            </w:tcBorders>
            <w:vAlign w:val="center"/>
          </w:tcPr>
          <w:p w14:paraId="72B057F4">
            <w:pPr>
              <w:widowControl/>
              <w:jc w:val="left"/>
              <w:rPr>
                <w:rFonts w:ascii="宋体" w:cs="宋体"/>
                <w:kern w:val="0"/>
                <w:sz w:val="20"/>
                <w:szCs w:val="20"/>
              </w:rPr>
            </w:pPr>
            <w:r>
              <w:rPr>
                <w:rFonts w:hint="eastAsia" w:ascii="宋体" w:hAnsi="宋体" w:cs="宋体"/>
                <w:kern w:val="0"/>
                <w:sz w:val="20"/>
                <w:szCs w:val="20"/>
              </w:rPr>
              <w:t>完工时间</w:t>
            </w:r>
          </w:p>
        </w:tc>
        <w:tc>
          <w:tcPr>
            <w:tcW w:w="2041" w:type="dxa"/>
            <w:tcBorders>
              <w:top w:val="nil"/>
              <w:left w:val="nil"/>
              <w:bottom w:val="single" w:color="auto" w:sz="4" w:space="0"/>
              <w:right w:val="single" w:color="auto" w:sz="4" w:space="0"/>
            </w:tcBorders>
            <w:vAlign w:val="center"/>
          </w:tcPr>
          <w:p w14:paraId="3DA8D34C">
            <w:pPr>
              <w:widowControl/>
              <w:jc w:val="left"/>
              <w:rPr>
                <w:rFonts w:ascii="宋体" w:cs="宋体"/>
                <w:kern w:val="0"/>
                <w:sz w:val="20"/>
                <w:szCs w:val="20"/>
              </w:rPr>
            </w:pPr>
            <w:r>
              <w:rPr>
                <w:rFonts w:hint="eastAsia" w:ascii="宋体" w:hAnsi="宋体" w:cs="宋体"/>
                <w:kern w:val="0"/>
                <w:sz w:val="20"/>
                <w:szCs w:val="20"/>
              </w:rPr>
              <w:t>2018</w:t>
            </w:r>
            <w:r>
              <w:rPr>
                <w:rFonts w:hint="eastAsia" w:ascii="宋体" w:hAnsi="宋体" w:cs="宋体"/>
                <w:kern w:val="0"/>
                <w:sz w:val="20"/>
                <w:szCs w:val="20"/>
                <w:lang w:val="en-US" w:eastAsia="zh-CN"/>
              </w:rPr>
              <w:t>年</w:t>
            </w:r>
            <w:bookmarkStart w:id="3" w:name="_GoBack"/>
            <w:bookmarkEnd w:id="3"/>
            <w:r>
              <w:rPr>
                <w:rFonts w:hint="eastAsia" w:ascii="宋体" w:hAnsi="宋体" w:cs="宋体"/>
                <w:kern w:val="0"/>
                <w:sz w:val="20"/>
                <w:szCs w:val="20"/>
              </w:rPr>
              <w:t>9月30日</w:t>
            </w:r>
          </w:p>
        </w:tc>
        <w:tc>
          <w:tcPr>
            <w:tcW w:w="1868" w:type="dxa"/>
            <w:tcBorders>
              <w:top w:val="nil"/>
              <w:left w:val="nil"/>
              <w:bottom w:val="single" w:color="auto" w:sz="4" w:space="0"/>
              <w:right w:val="single" w:color="auto" w:sz="4" w:space="0"/>
            </w:tcBorders>
            <w:vAlign w:val="center"/>
          </w:tcPr>
          <w:p w14:paraId="5D006EC1">
            <w:pPr>
              <w:widowControl/>
              <w:jc w:val="left"/>
              <w:rPr>
                <w:rFonts w:ascii="宋体" w:cs="宋体"/>
                <w:kern w:val="0"/>
                <w:sz w:val="20"/>
                <w:szCs w:val="20"/>
              </w:rPr>
            </w:pPr>
          </w:p>
        </w:tc>
      </w:tr>
      <w:tr w14:paraId="6D55554D">
        <w:tblPrEx>
          <w:tblCellMar>
            <w:top w:w="0" w:type="dxa"/>
            <w:left w:w="108" w:type="dxa"/>
            <w:bottom w:w="0" w:type="dxa"/>
            <w:right w:w="108" w:type="dxa"/>
          </w:tblCellMar>
        </w:tblPrEx>
        <w:trPr>
          <w:trHeight w:val="355" w:hRule="atLeast"/>
        </w:trPr>
        <w:tc>
          <w:tcPr>
            <w:tcW w:w="720" w:type="dxa"/>
            <w:vMerge w:val="continue"/>
            <w:tcBorders>
              <w:top w:val="nil"/>
              <w:left w:val="single" w:color="auto" w:sz="4" w:space="0"/>
              <w:bottom w:val="single" w:color="000000" w:sz="4" w:space="0"/>
              <w:right w:val="single" w:color="auto" w:sz="4" w:space="0"/>
            </w:tcBorders>
            <w:vAlign w:val="center"/>
          </w:tcPr>
          <w:p w14:paraId="40E299B9">
            <w:pPr>
              <w:widowControl/>
              <w:jc w:val="left"/>
              <w:rPr>
                <w:rFonts w:ascii="宋体" w:cs="宋体"/>
                <w:kern w:val="0"/>
                <w:sz w:val="20"/>
                <w:szCs w:val="20"/>
              </w:rPr>
            </w:pPr>
          </w:p>
        </w:tc>
        <w:tc>
          <w:tcPr>
            <w:tcW w:w="1140" w:type="dxa"/>
            <w:vMerge w:val="continue"/>
            <w:tcBorders>
              <w:left w:val="single" w:color="auto" w:sz="4" w:space="0"/>
              <w:right w:val="single" w:color="auto" w:sz="4" w:space="0"/>
            </w:tcBorders>
            <w:vAlign w:val="center"/>
          </w:tcPr>
          <w:p w14:paraId="586811AD">
            <w:pPr>
              <w:widowControl/>
              <w:jc w:val="left"/>
              <w:rPr>
                <w:rFonts w:ascii="宋体" w:cs="宋体"/>
                <w:kern w:val="0"/>
                <w:sz w:val="20"/>
                <w:szCs w:val="20"/>
              </w:rPr>
            </w:pPr>
          </w:p>
        </w:tc>
        <w:tc>
          <w:tcPr>
            <w:tcW w:w="1360" w:type="dxa"/>
            <w:tcBorders>
              <w:top w:val="single" w:color="auto" w:sz="4" w:space="0"/>
              <w:left w:val="single" w:color="auto" w:sz="4" w:space="0"/>
              <w:bottom w:val="single" w:color="auto" w:sz="4" w:space="0"/>
              <w:right w:val="single" w:color="auto" w:sz="4" w:space="0"/>
            </w:tcBorders>
            <w:vAlign w:val="center"/>
          </w:tcPr>
          <w:p w14:paraId="3BAAE648">
            <w:pPr>
              <w:widowControl/>
              <w:jc w:val="center"/>
              <w:rPr>
                <w:rFonts w:ascii="宋体" w:cs="宋体"/>
                <w:kern w:val="0"/>
                <w:sz w:val="20"/>
                <w:szCs w:val="20"/>
              </w:rPr>
            </w:pPr>
            <w:r>
              <w:rPr>
                <w:rFonts w:hint="eastAsia" w:ascii="宋体" w:hAnsi="宋体" w:cs="宋体"/>
                <w:kern w:val="0"/>
                <w:sz w:val="20"/>
                <w:szCs w:val="20"/>
              </w:rPr>
              <w:t>成本指标</w:t>
            </w:r>
          </w:p>
        </w:tc>
        <w:tc>
          <w:tcPr>
            <w:tcW w:w="2276" w:type="dxa"/>
            <w:tcBorders>
              <w:top w:val="single" w:color="auto" w:sz="4" w:space="0"/>
              <w:left w:val="nil"/>
              <w:bottom w:val="single" w:color="auto" w:sz="4" w:space="0"/>
              <w:right w:val="single" w:color="auto" w:sz="4" w:space="0"/>
            </w:tcBorders>
            <w:vAlign w:val="center"/>
          </w:tcPr>
          <w:p w14:paraId="6F02A6AE">
            <w:pPr>
              <w:widowControl/>
              <w:jc w:val="left"/>
              <w:rPr>
                <w:rFonts w:ascii="宋体" w:cs="宋体"/>
                <w:kern w:val="0"/>
                <w:sz w:val="20"/>
                <w:szCs w:val="20"/>
              </w:rPr>
            </w:pPr>
          </w:p>
        </w:tc>
        <w:tc>
          <w:tcPr>
            <w:tcW w:w="2041" w:type="dxa"/>
            <w:tcBorders>
              <w:top w:val="nil"/>
              <w:left w:val="nil"/>
              <w:bottom w:val="single" w:color="auto" w:sz="4" w:space="0"/>
              <w:right w:val="single" w:color="auto" w:sz="4" w:space="0"/>
            </w:tcBorders>
            <w:vAlign w:val="center"/>
          </w:tcPr>
          <w:p w14:paraId="0032D172">
            <w:pPr>
              <w:widowControl/>
              <w:jc w:val="center"/>
              <w:rPr>
                <w:rFonts w:ascii="宋体" w:cs="宋体"/>
                <w:kern w:val="0"/>
                <w:sz w:val="20"/>
                <w:szCs w:val="20"/>
              </w:rPr>
            </w:pPr>
          </w:p>
        </w:tc>
        <w:tc>
          <w:tcPr>
            <w:tcW w:w="1868" w:type="dxa"/>
            <w:tcBorders>
              <w:top w:val="nil"/>
              <w:left w:val="nil"/>
              <w:bottom w:val="single" w:color="auto" w:sz="4" w:space="0"/>
              <w:right w:val="single" w:color="auto" w:sz="4" w:space="0"/>
            </w:tcBorders>
            <w:vAlign w:val="center"/>
          </w:tcPr>
          <w:p w14:paraId="666BEA81">
            <w:pPr>
              <w:widowControl/>
              <w:jc w:val="center"/>
              <w:rPr>
                <w:rFonts w:ascii="宋体" w:cs="宋体"/>
                <w:kern w:val="0"/>
                <w:sz w:val="20"/>
                <w:szCs w:val="20"/>
              </w:rPr>
            </w:pPr>
          </w:p>
        </w:tc>
      </w:tr>
      <w:tr w14:paraId="54CC4A28">
        <w:tblPrEx>
          <w:tblCellMar>
            <w:top w:w="0" w:type="dxa"/>
            <w:left w:w="108" w:type="dxa"/>
            <w:bottom w:w="0" w:type="dxa"/>
            <w:right w:w="108" w:type="dxa"/>
          </w:tblCellMar>
        </w:tblPrEx>
        <w:trPr>
          <w:trHeight w:val="279" w:hRule="atLeast"/>
        </w:trPr>
        <w:tc>
          <w:tcPr>
            <w:tcW w:w="720" w:type="dxa"/>
            <w:vMerge w:val="continue"/>
            <w:tcBorders>
              <w:top w:val="nil"/>
              <w:left w:val="single" w:color="auto" w:sz="4" w:space="0"/>
              <w:bottom w:val="single" w:color="000000" w:sz="4" w:space="0"/>
              <w:right w:val="single" w:color="auto" w:sz="4" w:space="0"/>
            </w:tcBorders>
            <w:vAlign w:val="center"/>
          </w:tcPr>
          <w:p w14:paraId="2626DEBF">
            <w:pPr>
              <w:widowControl/>
              <w:jc w:val="left"/>
              <w:rPr>
                <w:rFonts w:asci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vAlign w:val="center"/>
          </w:tcPr>
          <w:p w14:paraId="7B742002">
            <w:pPr>
              <w:widowControl/>
              <w:jc w:val="center"/>
              <w:rPr>
                <w:rFonts w:ascii="宋体" w:cs="宋体"/>
                <w:kern w:val="0"/>
                <w:sz w:val="20"/>
                <w:szCs w:val="20"/>
              </w:rPr>
            </w:pPr>
            <w:r>
              <w:rPr>
                <w:rFonts w:hint="eastAsia" w:ascii="宋体" w:hAnsi="宋体" w:cs="宋体"/>
                <w:kern w:val="0"/>
                <w:sz w:val="20"/>
                <w:szCs w:val="20"/>
              </w:rPr>
              <w:t>项目效果指标</w:t>
            </w:r>
          </w:p>
        </w:tc>
        <w:tc>
          <w:tcPr>
            <w:tcW w:w="1360" w:type="dxa"/>
            <w:tcBorders>
              <w:top w:val="single" w:color="auto" w:sz="4" w:space="0"/>
              <w:left w:val="single" w:color="auto" w:sz="4" w:space="0"/>
              <w:bottom w:val="single" w:color="000000" w:sz="4" w:space="0"/>
              <w:right w:val="single" w:color="auto" w:sz="4" w:space="0"/>
            </w:tcBorders>
            <w:vAlign w:val="center"/>
          </w:tcPr>
          <w:p w14:paraId="630A10A5">
            <w:pPr>
              <w:widowControl/>
              <w:jc w:val="center"/>
              <w:rPr>
                <w:rFonts w:ascii="宋体" w:cs="宋体"/>
                <w:kern w:val="0"/>
                <w:sz w:val="20"/>
                <w:szCs w:val="20"/>
              </w:rPr>
            </w:pPr>
            <w:r>
              <w:rPr>
                <w:rFonts w:hint="eastAsia" w:ascii="宋体" w:hAnsi="宋体" w:cs="宋体"/>
                <w:kern w:val="0"/>
                <w:sz w:val="19"/>
                <w:szCs w:val="19"/>
              </w:rPr>
              <w:t>经济效益指标</w:t>
            </w:r>
          </w:p>
        </w:tc>
        <w:tc>
          <w:tcPr>
            <w:tcW w:w="2276" w:type="dxa"/>
            <w:tcBorders>
              <w:top w:val="single" w:color="auto" w:sz="4" w:space="0"/>
              <w:left w:val="nil"/>
              <w:bottom w:val="single" w:color="auto" w:sz="4" w:space="0"/>
              <w:right w:val="single" w:color="auto" w:sz="4" w:space="0"/>
            </w:tcBorders>
            <w:vAlign w:val="center"/>
          </w:tcPr>
          <w:p w14:paraId="14248411">
            <w:pPr>
              <w:widowControl/>
              <w:jc w:val="left"/>
              <w:rPr>
                <w:rFonts w:ascii="宋体" w:cs="宋体"/>
                <w:kern w:val="0"/>
                <w:sz w:val="20"/>
                <w:szCs w:val="20"/>
              </w:rPr>
            </w:pPr>
          </w:p>
        </w:tc>
        <w:tc>
          <w:tcPr>
            <w:tcW w:w="2041" w:type="dxa"/>
            <w:tcBorders>
              <w:top w:val="nil"/>
              <w:left w:val="nil"/>
              <w:bottom w:val="single" w:color="auto" w:sz="4" w:space="0"/>
              <w:right w:val="single" w:color="auto" w:sz="4" w:space="0"/>
            </w:tcBorders>
            <w:vAlign w:val="center"/>
          </w:tcPr>
          <w:p w14:paraId="7C1F1A78">
            <w:pPr>
              <w:widowControl/>
              <w:jc w:val="center"/>
              <w:rPr>
                <w:rFonts w:ascii="宋体" w:cs="宋体"/>
                <w:kern w:val="0"/>
                <w:sz w:val="20"/>
                <w:szCs w:val="20"/>
              </w:rPr>
            </w:pPr>
          </w:p>
        </w:tc>
        <w:tc>
          <w:tcPr>
            <w:tcW w:w="1868" w:type="dxa"/>
            <w:tcBorders>
              <w:top w:val="nil"/>
              <w:left w:val="nil"/>
              <w:bottom w:val="single" w:color="auto" w:sz="4" w:space="0"/>
              <w:right w:val="single" w:color="auto" w:sz="4" w:space="0"/>
            </w:tcBorders>
            <w:vAlign w:val="center"/>
          </w:tcPr>
          <w:p w14:paraId="42867D84">
            <w:pPr>
              <w:widowControl/>
              <w:jc w:val="center"/>
              <w:rPr>
                <w:rFonts w:ascii="宋体" w:cs="宋体"/>
                <w:kern w:val="0"/>
                <w:sz w:val="20"/>
                <w:szCs w:val="20"/>
              </w:rPr>
            </w:pPr>
          </w:p>
        </w:tc>
      </w:tr>
      <w:tr w14:paraId="55A84E54">
        <w:tblPrEx>
          <w:tblCellMar>
            <w:top w:w="0" w:type="dxa"/>
            <w:left w:w="108" w:type="dxa"/>
            <w:bottom w:w="0" w:type="dxa"/>
            <w:right w:w="108" w:type="dxa"/>
          </w:tblCellMar>
        </w:tblPrEx>
        <w:trPr>
          <w:trHeight w:val="390" w:hRule="atLeast"/>
        </w:trPr>
        <w:tc>
          <w:tcPr>
            <w:tcW w:w="720" w:type="dxa"/>
            <w:vMerge w:val="continue"/>
            <w:tcBorders>
              <w:top w:val="nil"/>
              <w:left w:val="single" w:color="auto" w:sz="4" w:space="0"/>
              <w:bottom w:val="single" w:color="000000" w:sz="4" w:space="0"/>
              <w:right w:val="single" w:color="auto" w:sz="4" w:space="0"/>
            </w:tcBorders>
            <w:vAlign w:val="center"/>
          </w:tcPr>
          <w:p w14:paraId="622C43E8">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14:paraId="1C919D96">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14:paraId="1EADF2C6">
            <w:pPr>
              <w:widowControl/>
              <w:jc w:val="center"/>
              <w:rPr>
                <w:rFonts w:ascii="宋体" w:cs="宋体"/>
                <w:kern w:val="0"/>
                <w:sz w:val="20"/>
                <w:szCs w:val="20"/>
              </w:rPr>
            </w:pPr>
            <w:r>
              <w:rPr>
                <w:rFonts w:hint="eastAsia" w:ascii="宋体" w:hAnsi="宋体" w:cs="宋体"/>
                <w:kern w:val="0"/>
                <w:sz w:val="20"/>
                <w:szCs w:val="20"/>
              </w:rPr>
              <w:t>社会效益</w:t>
            </w:r>
            <w:r>
              <w:rPr>
                <w:rFonts w:ascii="宋体" w:cs="宋体"/>
                <w:kern w:val="0"/>
                <w:sz w:val="20"/>
                <w:szCs w:val="20"/>
              </w:rPr>
              <w:br w:type="textWrapping"/>
            </w:r>
            <w:r>
              <w:rPr>
                <w:rFonts w:hint="eastAsia" w:ascii="宋体" w:hAnsi="宋体" w:cs="宋体"/>
                <w:kern w:val="0"/>
                <w:sz w:val="20"/>
                <w:szCs w:val="20"/>
              </w:rPr>
              <w:t>指标</w:t>
            </w:r>
          </w:p>
        </w:tc>
        <w:tc>
          <w:tcPr>
            <w:tcW w:w="2276" w:type="dxa"/>
            <w:tcBorders>
              <w:top w:val="single" w:color="auto" w:sz="4" w:space="0"/>
              <w:left w:val="nil"/>
              <w:bottom w:val="single" w:color="auto" w:sz="4" w:space="0"/>
              <w:right w:val="single" w:color="auto" w:sz="4" w:space="0"/>
            </w:tcBorders>
            <w:vAlign w:val="center"/>
          </w:tcPr>
          <w:p w14:paraId="288256FE">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受益行政村数</w:t>
            </w:r>
          </w:p>
        </w:tc>
        <w:tc>
          <w:tcPr>
            <w:tcW w:w="2041" w:type="dxa"/>
            <w:tcBorders>
              <w:top w:val="nil"/>
              <w:left w:val="nil"/>
              <w:bottom w:val="single" w:color="auto" w:sz="4" w:space="0"/>
              <w:right w:val="single" w:color="auto" w:sz="4" w:space="0"/>
            </w:tcBorders>
            <w:vAlign w:val="center"/>
          </w:tcPr>
          <w:p w14:paraId="6D40C752">
            <w:pPr>
              <w:widowControl/>
              <w:jc w:val="center"/>
              <w:rPr>
                <w:rFonts w:ascii="宋体" w:cs="宋体"/>
                <w:kern w:val="0"/>
                <w:sz w:val="20"/>
                <w:szCs w:val="20"/>
              </w:rPr>
            </w:pPr>
            <w:r>
              <w:rPr>
                <w:rFonts w:hint="eastAsia" w:ascii="宋体" w:hAnsi="宋体" w:cs="宋体"/>
                <w:kern w:val="0"/>
                <w:sz w:val="20"/>
                <w:szCs w:val="20"/>
              </w:rPr>
              <w:t>10个</w:t>
            </w:r>
          </w:p>
        </w:tc>
        <w:tc>
          <w:tcPr>
            <w:tcW w:w="1868" w:type="dxa"/>
            <w:tcBorders>
              <w:top w:val="nil"/>
              <w:left w:val="nil"/>
              <w:bottom w:val="single" w:color="auto" w:sz="4" w:space="0"/>
              <w:right w:val="single" w:color="auto" w:sz="4" w:space="0"/>
            </w:tcBorders>
            <w:vAlign w:val="center"/>
          </w:tcPr>
          <w:p w14:paraId="793AA1A3">
            <w:pPr>
              <w:widowControl/>
              <w:jc w:val="center"/>
              <w:rPr>
                <w:rFonts w:ascii="宋体" w:cs="宋体"/>
                <w:kern w:val="0"/>
                <w:sz w:val="20"/>
                <w:szCs w:val="20"/>
              </w:rPr>
            </w:pPr>
            <w:r>
              <w:rPr>
                <w:rFonts w:hint="eastAsia" w:ascii="宋体" w:hAnsi="宋体" w:cs="宋体"/>
                <w:kern w:val="0"/>
                <w:sz w:val="20"/>
                <w:szCs w:val="20"/>
              </w:rPr>
              <w:t>10个</w:t>
            </w:r>
          </w:p>
        </w:tc>
      </w:tr>
      <w:tr w14:paraId="0E97ACCA">
        <w:tblPrEx>
          <w:tblCellMar>
            <w:top w:w="0" w:type="dxa"/>
            <w:left w:w="108" w:type="dxa"/>
            <w:bottom w:w="0" w:type="dxa"/>
            <w:right w:w="108" w:type="dxa"/>
          </w:tblCellMar>
        </w:tblPrEx>
        <w:trPr>
          <w:trHeight w:val="90" w:hRule="atLeast"/>
        </w:trPr>
        <w:tc>
          <w:tcPr>
            <w:tcW w:w="720" w:type="dxa"/>
            <w:vMerge w:val="continue"/>
            <w:tcBorders>
              <w:top w:val="nil"/>
              <w:left w:val="single" w:color="auto" w:sz="4" w:space="0"/>
              <w:bottom w:val="single" w:color="000000" w:sz="4" w:space="0"/>
              <w:right w:val="single" w:color="auto" w:sz="4" w:space="0"/>
            </w:tcBorders>
            <w:vAlign w:val="center"/>
          </w:tcPr>
          <w:p w14:paraId="6A596BD6">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14:paraId="3C8E270E">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14:paraId="233F7E75">
            <w:pPr>
              <w:widowControl/>
              <w:jc w:val="left"/>
              <w:rPr>
                <w:rFonts w:ascii="宋体" w:cs="宋体"/>
                <w:kern w:val="0"/>
                <w:sz w:val="20"/>
                <w:szCs w:val="20"/>
              </w:rPr>
            </w:pPr>
          </w:p>
        </w:tc>
        <w:tc>
          <w:tcPr>
            <w:tcW w:w="2276" w:type="dxa"/>
            <w:tcBorders>
              <w:top w:val="single" w:color="auto" w:sz="4" w:space="0"/>
              <w:left w:val="nil"/>
              <w:bottom w:val="single" w:color="auto" w:sz="4" w:space="0"/>
              <w:right w:val="single" w:color="auto" w:sz="4" w:space="0"/>
            </w:tcBorders>
            <w:vAlign w:val="center"/>
          </w:tcPr>
          <w:p w14:paraId="7BCD13CE">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受益村人口数</w:t>
            </w:r>
          </w:p>
        </w:tc>
        <w:tc>
          <w:tcPr>
            <w:tcW w:w="2041" w:type="dxa"/>
            <w:tcBorders>
              <w:top w:val="nil"/>
              <w:left w:val="nil"/>
              <w:bottom w:val="single" w:color="auto" w:sz="4" w:space="0"/>
              <w:right w:val="single" w:color="auto" w:sz="4" w:space="0"/>
            </w:tcBorders>
            <w:vAlign w:val="center"/>
          </w:tcPr>
          <w:p w14:paraId="01789892">
            <w:pPr>
              <w:widowControl/>
              <w:jc w:val="center"/>
              <w:rPr>
                <w:rFonts w:ascii="宋体" w:cs="宋体"/>
                <w:color w:val="000000"/>
                <w:kern w:val="0"/>
                <w:sz w:val="20"/>
                <w:szCs w:val="20"/>
              </w:rPr>
            </w:pPr>
            <w:r>
              <w:rPr>
                <w:rFonts w:hint="eastAsia" w:ascii="宋体" w:hAnsi="宋体" w:cs="宋体"/>
                <w:color w:val="000000"/>
                <w:kern w:val="0"/>
                <w:sz w:val="20"/>
                <w:szCs w:val="20"/>
              </w:rPr>
              <w:t>7858人</w:t>
            </w:r>
          </w:p>
        </w:tc>
        <w:tc>
          <w:tcPr>
            <w:tcW w:w="1868" w:type="dxa"/>
            <w:tcBorders>
              <w:top w:val="nil"/>
              <w:left w:val="nil"/>
              <w:bottom w:val="single" w:color="auto" w:sz="4" w:space="0"/>
              <w:right w:val="single" w:color="auto" w:sz="4" w:space="0"/>
            </w:tcBorders>
            <w:vAlign w:val="center"/>
          </w:tcPr>
          <w:p w14:paraId="050BDDD5">
            <w:pPr>
              <w:widowControl/>
              <w:jc w:val="center"/>
              <w:rPr>
                <w:rFonts w:ascii="宋体" w:cs="宋体"/>
                <w:color w:val="000000"/>
                <w:kern w:val="0"/>
                <w:sz w:val="20"/>
                <w:szCs w:val="20"/>
              </w:rPr>
            </w:pPr>
            <w:r>
              <w:rPr>
                <w:rFonts w:hint="eastAsia" w:ascii="宋体" w:hAnsi="宋体" w:cs="宋体"/>
                <w:color w:val="000000"/>
                <w:kern w:val="0"/>
                <w:sz w:val="20"/>
                <w:szCs w:val="20"/>
              </w:rPr>
              <w:t>7858人</w:t>
            </w:r>
          </w:p>
        </w:tc>
      </w:tr>
      <w:tr w14:paraId="36267932">
        <w:tblPrEx>
          <w:tblCellMar>
            <w:top w:w="0" w:type="dxa"/>
            <w:left w:w="108" w:type="dxa"/>
            <w:bottom w:w="0" w:type="dxa"/>
            <w:right w:w="108" w:type="dxa"/>
          </w:tblCellMar>
        </w:tblPrEx>
        <w:trPr>
          <w:trHeight w:val="504" w:hRule="atLeast"/>
        </w:trPr>
        <w:tc>
          <w:tcPr>
            <w:tcW w:w="720" w:type="dxa"/>
            <w:vMerge w:val="continue"/>
            <w:tcBorders>
              <w:top w:val="nil"/>
              <w:left w:val="single" w:color="auto" w:sz="4" w:space="0"/>
              <w:bottom w:val="single" w:color="000000" w:sz="4" w:space="0"/>
              <w:right w:val="single" w:color="auto" w:sz="4" w:space="0"/>
            </w:tcBorders>
            <w:vAlign w:val="center"/>
          </w:tcPr>
          <w:p w14:paraId="35BF565A">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14:paraId="284EB609">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14:paraId="5DDC45B4">
            <w:pPr>
              <w:widowControl/>
              <w:jc w:val="center"/>
              <w:rPr>
                <w:rFonts w:ascii="宋体" w:hAnsi="宋体" w:cs="宋体"/>
                <w:kern w:val="0"/>
                <w:sz w:val="20"/>
                <w:szCs w:val="20"/>
              </w:rPr>
            </w:pPr>
            <w:r>
              <w:rPr>
                <w:rFonts w:hint="eastAsia" w:ascii="宋体" w:hAnsi="宋体" w:cs="宋体"/>
                <w:kern w:val="0"/>
                <w:sz w:val="20"/>
                <w:szCs w:val="20"/>
              </w:rPr>
              <w:t>生态效益</w:t>
            </w:r>
          </w:p>
          <w:p w14:paraId="1C92B8E0">
            <w:pPr>
              <w:widowControl/>
              <w:jc w:val="center"/>
              <w:rPr>
                <w:rFonts w:ascii="宋体" w:cs="宋体"/>
                <w:kern w:val="0"/>
                <w:sz w:val="20"/>
                <w:szCs w:val="20"/>
              </w:rPr>
            </w:pPr>
            <w:r>
              <w:rPr>
                <w:rFonts w:hint="eastAsia" w:ascii="宋体" w:hAnsi="宋体" w:cs="宋体"/>
                <w:kern w:val="0"/>
                <w:sz w:val="20"/>
                <w:szCs w:val="20"/>
              </w:rPr>
              <w:t>指标</w:t>
            </w:r>
          </w:p>
        </w:tc>
        <w:tc>
          <w:tcPr>
            <w:tcW w:w="2276" w:type="dxa"/>
            <w:tcBorders>
              <w:top w:val="single" w:color="auto" w:sz="4" w:space="0"/>
              <w:left w:val="nil"/>
              <w:bottom w:val="single" w:color="auto" w:sz="4" w:space="0"/>
              <w:right w:val="single" w:color="auto" w:sz="4" w:space="0"/>
            </w:tcBorders>
            <w:vAlign w:val="center"/>
          </w:tcPr>
          <w:p w14:paraId="295B65A6">
            <w:pPr>
              <w:widowControl/>
              <w:jc w:val="left"/>
              <w:rPr>
                <w:rFonts w:ascii="宋体" w:cs="宋体"/>
                <w:kern w:val="0"/>
                <w:sz w:val="20"/>
                <w:szCs w:val="20"/>
              </w:rPr>
            </w:pPr>
          </w:p>
        </w:tc>
        <w:tc>
          <w:tcPr>
            <w:tcW w:w="2041" w:type="dxa"/>
            <w:tcBorders>
              <w:top w:val="nil"/>
              <w:left w:val="nil"/>
              <w:bottom w:val="single" w:color="auto" w:sz="4" w:space="0"/>
              <w:right w:val="single" w:color="auto" w:sz="4" w:space="0"/>
            </w:tcBorders>
            <w:vAlign w:val="center"/>
          </w:tcPr>
          <w:p w14:paraId="3DCDD628">
            <w:pPr>
              <w:widowControl/>
              <w:jc w:val="center"/>
              <w:rPr>
                <w:rFonts w:ascii="宋体" w:cs="宋体"/>
                <w:kern w:val="0"/>
                <w:sz w:val="20"/>
                <w:szCs w:val="20"/>
              </w:rPr>
            </w:pPr>
          </w:p>
        </w:tc>
        <w:tc>
          <w:tcPr>
            <w:tcW w:w="1868" w:type="dxa"/>
            <w:tcBorders>
              <w:top w:val="nil"/>
              <w:left w:val="nil"/>
              <w:bottom w:val="single" w:color="auto" w:sz="4" w:space="0"/>
              <w:right w:val="single" w:color="auto" w:sz="4" w:space="0"/>
            </w:tcBorders>
            <w:vAlign w:val="center"/>
          </w:tcPr>
          <w:p w14:paraId="5A5F2713">
            <w:pPr>
              <w:widowControl/>
              <w:jc w:val="center"/>
              <w:rPr>
                <w:rFonts w:ascii="宋体" w:cs="宋体"/>
                <w:kern w:val="0"/>
                <w:sz w:val="20"/>
                <w:szCs w:val="20"/>
              </w:rPr>
            </w:pPr>
          </w:p>
        </w:tc>
      </w:tr>
      <w:tr w14:paraId="458F90C7">
        <w:tblPrEx>
          <w:tblCellMar>
            <w:top w:w="0" w:type="dxa"/>
            <w:left w:w="108" w:type="dxa"/>
            <w:bottom w:w="0" w:type="dxa"/>
            <w:right w:w="108" w:type="dxa"/>
          </w:tblCellMar>
        </w:tblPrEx>
        <w:trPr>
          <w:trHeight w:val="444" w:hRule="atLeast"/>
        </w:trPr>
        <w:tc>
          <w:tcPr>
            <w:tcW w:w="720" w:type="dxa"/>
            <w:vMerge w:val="continue"/>
            <w:tcBorders>
              <w:top w:val="nil"/>
              <w:left w:val="single" w:color="auto" w:sz="4" w:space="0"/>
              <w:bottom w:val="single" w:color="000000" w:sz="4" w:space="0"/>
              <w:right w:val="single" w:color="auto" w:sz="4" w:space="0"/>
            </w:tcBorders>
            <w:vAlign w:val="center"/>
          </w:tcPr>
          <w:p w14:paraId="63AC737F">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14:paraId="370514B4">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14:paraId="32D0F317">
            <w:pPr>
              <w:widowControl/>
              <w:jc w:val="center"/>
              <w:rPr>
                <w:rFonts w:ascii="宋体" w:cs="宋体"/>
                <w:kern w:val="0"/>
                <w:sz w:val="20"/>
                <w:szCs w:val="20"/>
              </w:rPr>
            </w:pPr>
            <w:r>
              <w:rPr>
                <w:rFonts w:hint="eastAsia" w:ascii="宋体" w:hAnsi="宋体" w:cs="宋体"/>
                <w:kern w:val="0"/>
                <w:sz w:val="20"/>
                <w:szCs w:val="20"/>
              </w:rPr>
              <w:t>可持续影响</w:t>
            </w:r>
            <w:r>
              <w:rPr>
                <w:rFonts w:ascii="宋体" w:cs="宋体"/>
                <w:kern w:val="0"/>
                <w:sz w:val="20"/>
                <w:szCs w:val="20"/>
              </w:rPr>
              <w:br w:type="textWrapping"/>
            </w:r>
            <w:r>
              <w:rPr>
                <w:rFonts w:hint="eastAsia" w:ascii="宋体" w:hAnsi="宋体" w:cs="宋体"/>
                <w:kern w:val="0"/>
                <w:sz w:val="20"/>
                <w:szCs w:val="20"/>
              </w:rPr>
              <w:t>指标</w:t>
            </w:r>
          </w:p>
        </w:tc>
        <w:tc>
          <w:tcPr>
            <w:tcW w:w="2276" w:type="dxa"/>
            <w:tcBorders>
              <w:top w:val="single" w:color="auto" w:sz="4" w:space="0"/>
              <w:left w:val="nil"/>
              <w:bottom w:val="single" w:color="auto" w:sz="4" w:space="0"/>
              <w:right w:val="single" w:color="auto" w:sz="4" w:space="0"/>
            </w:tcBorders>
            <w:vAlign w:val="center"/>
          </w:tcPr>
          <w:p w14:paraId="56F68B61">
            <w:pPr>
              <w:widowControl/>
              <w:jc w:val="left"/>
              <w:rPr>
                <w:rFonts w:ascii="宋体" w:cs="宋体"/>
                <w:kern w:val="0"/>
                <w:sz w:val="20"/>
                <w:szCs w:val="20"/>
              </w:rPr>
            </w:pPr>
            <w:r>
              <w:rPr>
                <w:rFonts w:hint="eastAsia" w:ascii="宋体" w:hAnsi="宋体" w:cs="宋体"/>
                <w:kern w:val="0"/>
                <w:sz w:val="20"/>
                <w:szCs w:val="20"/>
              </w:rPr>
              <w:t>项目预期受益延伸年限</w:t>
            </w:r>
          </w:p>
        </w:tc>
        <w:tc>
          <w:tcPr>
            <w:tcW w:w="2041" w:type="dxa"/>
            <w:tcBorders>
              <w:top w:val="nil"/>
              <w:left w:val="nil"/>
              <w:bottom w:val="single" w:color="auto" w:sz="4" w:space="0"/>
              <w:right w:val="single" w:color="auto" w:sz="4" w:space="0"/>
            </w:tcBorders>
            <w:vAlign w:val="center"/>
          </w:tcPr>
          <w:p w14:paraId="2884438F">
            <w:pPr>
              <w:widowControl/>
              <w:jc w:val="center"/>
              <w:rPr>
                <w:rFonts w:ascii="宋体" w:cs="宋体"/>
                <w:kern w:val="0"/>
                <w:sz w:val="20"/>
                <w:szCs w:val="20"/>
              </w:rPr>
            </w:pPr>
            <w:r>
              <w:rPr>
                <w:rFonts w:hint="eastAsia" w:ascii="宋体" w:hAnsi="宋体" w:cs="宋体"/>
                <w:kern w:val="0"/>
                <w:sz w:val="20"/>
                <w:szCs w:val="20"/>
              </w:rPr>
              <w:t>≥2年</w:t>
            </w:r>
          </w:p>
        </w:tc>
        <w:tc>
          <w:tcPr>
            <w:tcW w:w="1868" w:type="dxa"/>
            <w:tcBorders>
              <w:top w:val="nil"/>
              <w:left w:val="nil"/>
              <w:bottom w:val="single" w:color="auto" w:sz="4" w:space="0"/>
              <w:right w:val="single" w:color="auto" w:sz="4" w:space="0"/>
            </w:tcBorders>
            <w:vAlign w:val="center"/>
          </w:tcPr>
          <w:p w14:paraId="537BC291">
            <w:pPr>
              <w:widowControl/>
              <w:jc w:val="center"/>
              <w:rPr>
                <w:rFonts w:ascii="宋体" w:cs="宋体"/>
                <w:kern w:val="0"/>
                <w:sz w:val="20"/>
                <w:szCs w:val="20"/>
              </w:rPr>
            </w:pPr>
            <w:r>
              <w:rPr>
                <w:rFonts w:hint="eastAsia" w:ascii="宋体" w:hAnsi="宋体" w:cs="宋体"/>
                <w:kern w:val="0"/>
                <w:sz w:val="20"/>
                <w:szCs w:val="20"/>
              </w:rPr>
              <w:t>≥3年</w:t>
            </w:r>
          </w:p>
        </w:tc>
      </w:tr>
      <w:tr w14:paraId="3A79151F">
        <w:tblPrEx>
          <w:tblCellMar>
            <w:top w:w="0" w:type="dxa"/>
            <w:left w:w="108" w:type="dxa"/>
            <w:bottom w:w="0" w:type="dxa"/>
            <w:right w:w="108" w:type="dxa"/>
          </w:tblCellMar>
        </w:tblPrEx>
        <w:trPr>
          <w:trHeight w:val="499" w:hRule="atLeast"/>
        </w:trPr>
        <w:tc>
          <w:tcPr>
            <w:tcW w:w="720" w:type="dxa"/>
            <w:vMerge w:val="continue"/>
            <w:tcBorders>
              <w:top w:val="nil"/>
              <w:left w:val="single" w:color="auto" w:sz="4" w:space="0"/>
              <w:bottom w:val="single" w:color="000000" w:sz="4" w:space="0"/>
              <w:right w:val="single" w:color="auto" w:sz="4" w:space="0"/>
            </w:tcBorders>
            <w:vAlign w:val="center"/>
          </w:tcPr>
          <w:p w14:paraId="1ECDC3BE">
            <w:pPr>
              <w:widowControl/>
              <w:jc w:val="left"/>
              <w:rPr>
                <w:rFonts w:ascii="宋体" w:cs="宋体"/>
                <w:kern w:val="0"/>
                <w:sz w:val="20"/>
                <w:szCs w:val="20"/>
              </w:rPr>
            </w:pPr>
          </w:p>
        </w:tc>
        <w:tc>
          <w:tcPr>
            <w:tcW w:w="1140" w:type="dxa"/>
            <w:tcBorders>
              <w:top w:val="nil"/>
              <w:left w:val="single" w:color="auto" w:sz="4" w:space="0"/>
              <w:bottom w:val="single" w:color="000000" w:sz="4" w:space="0"/>
              <w:right w:val="single" w:color="auto" w:sz="4" w:space="0"/>
            </w:tcBorders>
            <w:vAlign w:val="center"/>
          </w:tcPr>
          <w:p w14:paraId="3ADFEB7A">
            <w:pPr>
              <w:widowControl/>
              <w:jc w:val="center"/>
              <w:rPr>
                <w:rFonts w:ascii="宋体" w:cs="宋体"/>
                <w:kern w:val="0"/>
                <w:sz w:val="20"/>
                <w:szCs w:val="20"/>
              </w:rPr>
            </w:pPr>
            <w:r>
              <w:rPr>
                <w:rFonts w:hint="eastAsia" w:ascii="宋体" w:hAnsi="宋体" w:cs="宋体"/>
                <w:kern w:val="0"/>
                <w:sz w:val="20"/>
                <w:szCs w:val="20"/>
              </w:rPr>
              <w:t>满意度</w:t>
            </w:r>
            <w:r>
              <w:rPr>
                <w:rFonts w:asci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vAlign w:val="center"/>
          </w:tcPr>
          <w:p w14:paraId="272528DF">
            <w:pPr>
              <w:widowControl/>
              <w:jc w:val="center"/>
              <w:rPr>
                <w:rFonts w:ascii="宋体" w:cs="宋体"/>
                <w:kern w:val="0"/>
                <w:sz w:val="20"/>
                <w:szCs w:val="20"/>
              </w:rPr>
            </w:pPr>
            <w:r>
              <w:rPr>
                <w:rFonts w:hint="eastAsia" w:ascii="宋体" w:hAnsi="宋体" w:cs="宋体"/>
                <w:kern w:val="0"/>
                <w:sz w:val="20"/>
                <w:szCs w:val="20"/>
              </w:rPr>
              <w:t>满意度指标</w:t>
            </w:r>
          </w:p>
        </w:tc>
        <w:tc>
          <w:tcPr>
            <w:tcW w:w="2276" w:type="dxa"/>
            <w:tcBorders>
              <w:top w:val="single" w:color="auto" w:sz="4" w:space="0"/>
              <w:left w:val="nil"/>
              <w:bottom w:val="single" w:color="auto" w:sz="4" w:space="0"/>
              <w:right w:val="single" w:color="auto" w:sz="4" w:space="0"/>
            </w:tcBorders>
            <w:vAlign w:val="center"/>
          </w:tcPr>
          <w:p w14:paraId="49BFC6F7">
            <w:pPr>
              <w:widowControl/>
              <w:jc w:val="left"/>
              <w:rPr>
                <w:rFonts w:ascii="宋体" w:cs="宋体"/>
                <w:kern w:val="0"/>
                <w:sz w:val="20"/>
                <w:szCs w:val="20"/>
              </w:rPr>
            </w:pPr>
            <w:r>
              <w:rPr>
                <w:rFonts w:hint="eastAsia" w:ascii="宋体" w:hAnsi="宋体" w:cs="宋体"/>
                <w:kern w:val="0"/>
                <w:sz w:val="20"/>
                <w:szCs w:val="20"/>
              </w:rPr>
              <w:t>受益群众满意度</w:t>
            </w:r>
          </w:p>
        </w:tc>
        <w:tc>
          <w:tcPr>
            <w:tcW w:w="2041" w:type="dxa"/>
            <w:tcBorders>
              <w:top w:val="nil"/>
              <w:left w:val="nil"/>
              <w:bottom w:val="single" w:color="auto" w:sz="4" w:space="0"/>
              <w:right w:val="single" w:color="auto" w:sz="4" w:space="0"/>
            </w:tcBorders>
            <w:vAlign w:val="center"/>
          </w:tcPr>
          <w:p w14:paraId="4BAA22A1">
            <w:pPr>
              <w:widowControl/>
              <w:jc w:val="center"/>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80%</w:t>
            </w:r>
            <w:r>
              <w:rPr>
                <w:rFonts w:hint="eastAsia" w:ascii="宋体" w:hAnsi="宋体" w:cs="宋体"/>
                <w:kern w:val="0"/>
                <w:sz w:val="20"/>
                <w:szCs w:val="20"/>
              </w:rPr>
              <w:t>　</w:t>
            </w:r>
          </w:p>
        </w:tc>
        <w:tc>
          <w:tcPr>
            <w:tcW w:w="1868" w:type="dxa"/>
            <w:tcBorders>
              <w:top w:val="nil"/>
              <w:left w:val="nil"/>
              <w:bottom w:val="single" w:color="auto" w:sz="4" w:space="0"/>
              <w:right w:val="single" w:color="auto" w:sz="4" w:space="0"/>
            </w:tcBorders>
            <w:vAlign w:val="center"/>
          </w:tcPr>
          <w:p w14:paraId="5ED27BBC">
            <w:pPr>
              <w:widowControl/>
              <w:jc w:val="center"/>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80%</w:t>
            </w:r>
          </w:p>
        </w:tc>
      </w:tr>
      <w:bookmarkEnd w:id="2"/>
    </w:tbl>
    <w:p w14:paraId="02D0B972">
      <w:pPr>
        <w:spacing w:line="540" w:lineRule="exact"/>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C3359">
    <w:pPr>
      <w:pStyle w:val="12"/>
      <w:jc w:val="center"/>
    </w:pPr>
    <w:r>
      <w:fldChar w:fldCharType="begin"/>
    </w:r>
    <w:r>
      <w:instrText xml:space="preserve">PAGE   \* MERGEFORMAT</w:instrText>
    </w:r>
    <w:r>
      <w:fldChar w:fldCharType="separate"/>
    </w:r>
    <w:r>
      <w:rPr>
        <w:lang w:val="zh-CN"/>
      </w:rPr>
      <w:t>9</w:t>
    </w:r>
    <w:r>
      <w:rPr>
        <w:lang w:val="zh-CN"/>
      </w:rPr>
      <w:fldChar w:fldCharType="end"/>
    </w:r>
  </w:p>
  <w:p w14:paraId="5D4A2480">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56465"/>
    <w:rsid w:val="00121AE4"/>
    <w:rsid w:val="00146AAD"/>
    <w:rsid w:val="001B3A40"/>
    <w:rsid w:val="002B34B2"/>
    <w:rsid w:val="002D5B5D"/>
    <w:rsid w:val="00305C34"/>
    <w:rsid w:val="00353F48"/>
    <w:rsid w:val="0042100C"/>
    <w:rsid w:val="004366A8"/>
    <w:rsid w:val="00492BFF"/>
    <w:rsid w:val="00495941"/>
    <w:rsid w:val="004A57B1"/>
    <w:rsid w:val="00502BA7"/>
    <w:rsid w:val="005162F1"/>
    <w:rsid w:val="00535153"/>
    <w:rsid w:val="00554F82"/>
    <w:rsid w:val="0056390D"/>
    <w:rsid w:val="005719B0"/>
    <w:rsid w:val="005B0B11"/>
    <w:rsid w:val="005D10D6"/>
    <w:rsid w:val="006019AF"/>
    <w:rsid w:val="00637EC4"/>
    <w:rsid w:val="00700986"/>
    <w:rsid w:val="007267BE"/>
    <w:rsid w:val="007F42D3"/>
    <w:rsid w:val="00855E3A"/>
    <w:rsid w:val="00922CB9"/>
    <w:rsid w:val="00997D22"/>
    <w:rsid w:val="009A4C02"/>
    <w:rsid w:val="009E5CD9"/>
    <w:rsid w:val="009F4607"/>
    <w:rsid w:val="00A26421"/>
    <w:rsid w:val="00A4293B"/>
    <w:rsid w:val="00A67D50"/>
    <w:rsid w:val="00A85DFD"/>
    <w:rsid w:val="00A8691A"/>
    <w:rsid w:val="00AC1946"/>
    <w:rsid w:val="00B1696D"/>
    <w:rsid w:val="00B40063"/>
    <w:rsid w:val="00B41F61"/>
    <w:rsid w:val="00B55B38"/>
    <w:rsid w:val="00BA46E6"/>
    <w:rsid w:val="00C56C72"/>
    <w:rsid w:val="00CA6457"/>
    <w:rsid w:val="00CE7EBC"/>
    <w:rsid w:val="00D17F2E"/>
    <w:rsid w:val="00D30354"/>
    <w:rsid w:val="00DF42A0"/>
    <w:rsid w:val="00E51B10"/>
    <w:rsid w:val="00E769FE"/>
    <w:rsid w:val="00E90452"/>
    <w:rsid w:val="00EA2CBE"/>
    <w:rsid w:val="00F32FEE"/>
    <w:rsid w:val="00FB10BB"/>
    <w:rsid w:val="01436929"/>
    <w:rsid w:val="03966F82"/>
    <w:rsid w:val="058A778E"/>
    <w:rsid w:val="0EC87492"/>
    <w:rsid w:val="0F7C6E30"/>
    <w:rsid w:val="1323458E"/>
    <w:rsid w:val="143A382B"/>
    <w:rsid w:val="16565967"/>
    <w:rsid w:val="1B610D69"/>
    <w:rsid w:val="1C1F5555"/>
    <w:rsid w:val="1EE16CE0"/>
    <w:rsid w:val="1F3137A7"/>
    <w:rsid w:val="293D7711"/>
    <w:rsid w:val="2A81694A"/>
    <w:rsid w:val="30661CD5"/>
    <w:rsid w:val="31535AFF"/>
    <w:rsid w:val="33847286"/>
    <w:rsid w:val="33F1182D"/>
    <w:rsid w:val="35F32648"/>
    <w:rsid w:val="374D1ED9"/>
    <w:rsid w:val="3BDD6422"/>
    <w:rsid w:val="3DDD6B1E"/>
    <w:rsid w:val="402749C3"/>
    <w:rsid w:val="426D2640"/>
    <w:rsid w:val="48365A0F"/>
    <w:rsid w:val="497B4567"/>
    <w:rsid w:val="4BF80416"/>
    <w:rsid w:val="4C623B2F"/>
    <w:rsid w:val="4E9E0C86"/>
    <w:rsid w:val="5CED2993"/>
    <w:rsid w:val="5D261162"/>
    <w:rsid w:val="661D2979"/>
    <w:rsid w:val="6647589C"/>
    <w:rsid w:val="67AB5DB2"/>
    <w:rsid w:val="69D16635"/>
    <w:rsid w:val="6CBB6E72"/>
    <w:rsid w:val="71742131"/>
    <w:rsid w:val="73F5015B"/>
    <w:rsid w:val="77F3693D"/>
    <w:rsid w:val="7BD56064"/>
    <w:rsid w:val="7CE001DF"/>
    <w:rsid w:val="7F3F3047"/>
    <w:rsid w:val="7F8649E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2"/>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3"/>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4"/>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5"/>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6"/>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7"/>
    <w:qFormat/>
    <w:uiPriority w:val="99"/>
    <w:pPr>
      <w:widowControl/>
      <w:spacing w:before="240" w:after="60"/>
      <w:jc w:val="left"/>
      <w:outlineLvl w:val="6"/>
    </w:pPr>
    <w:rPr>
      <w:rFonts w:ascii="Calibri" w:hAnsi="Calibri"/>
      <w:kern w:val="0"/>
      <w:sz w:val="24"/>
    </w:rPr>
  </w:style>
  <w:style w:type="paragraph" w:styleId="9">
    <w:name w:val="heading 8"/>
    <w:basedOn w:val="1"/>
    <w:next w:val="1"/>
    <w:link w:val="28"/>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9"/>
    <w:qFormat/>
    <w:uiPriority w:val="99"/>
    <w:pPr>
      <w:widowControl/>
      <w:spacing w:before="240" w:after="60"/>
      <w:jc w:val="left"/>
      <w:outlineLvl w:val="8"/>
    </w:pPr>
    <w:rPr>
      <w:rFonts w:ascii="Cambria" w:hAnsi="Cambria"/>
      <w:kern w:val="0"/>
      <w:sz w:val="22"/>
      <w:szCs w:val="22"/>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Balloon Text"/>
    <w:basedOn w:val="1"/>
    <w:link w:val="30"/>
    <w:semiHidden/>
    <w:qFormat/>
    <w:uiPriority w:val="99"/>
    <w:rPr>
      <w:sz w:val="18"/>
      <w:szCs w:val="18"/>
    </w:rPr>
  </w:style>
  <w:style w:type="paragraph" w:styleId="12">
    <w:name w:val="footer"/>
    <w:basedOn w:val="1"/>
    <w:link w:val="31"/>
    <w:uiPriority w:val="99"/>
    <w:pPr>
      <w:tabs>
        <w:tab w:val="center" w:pos="4153"/>
        <w:tab w:val="right" w:pos="8306"/>
      </w:tabs>
      <w:snapToGrid w:val="0"/>
      <w:jc w:val="left"/>
    </w:pPr>
    <w:rPr>
      <w:rFonts w:ascii="Calibri" w:hAnsi="Calibri"/>
      <w:sz w:val="18"/>
      <w:szCs w:val="18"/>
    </w:rPr>
  </w:style>
  <w:style w:type="paragraph" w:styleId="13">
    <w:name w:val="header"/>
    <w:basedOn w:val="1"/>
    <w:link w:val="32"/>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3"/>
    <w:qFormat/>
    <w:uiPriority w:val="99"/>
    <w:pPr>
      <w:widowControl/>
      <w:spacing w:after="60"/>
      <w:jc w:val="center"/>
      <w:outlineLvl w:val="1"/>
    </w:pPr>
    <w:rPr>
      <w:rFonts w:ascii="Cambria" w:hAnsi="Cambria"/>
      <w:kern w:val="0"/>
      <w:sz w:val="24"/>
    </w:rPr>
  </w:style>
  <w:style w:type="paragraph" w:styleId="15">
    <w:name w:val="Normal (Web)"/>
    <w:basedOn w:val="1"/>
    <w:qFormat/>
    <w:uiPriority w:val="0"/>
    <w:rPr>
      <w:sz w:val="24"/>
      <w:szCs w:val="22"/>
    </w:rPr>
  </w:style>
  <w:style w:type="paragraph" w:styleId="16">
    <w:name w:val="Title"/>
    <w:basedOn w:val="1"/>
    <w:next w:val="1"/>
    <w:link w:val="34"/>
    <w:qFormat/>
    <w:uiPriority w:val="99"/>
    <w:pPr>
      <w:widowControl/>
      <w:spacing w:before="240" w:after="60"/>
      <w:jc w:val="center"/>
      <w:outlineLvl w:val="0"/>
    </w:pPr>
    <w:rPr>
      <w:rFonts w:ascii="Cambria" w:hAnsi="Cambria"/>
      <w:b/>
      <w:bCs/>
      <w:kern w:val="28"/>
      <w:sz w:val="32"/>
      <w:szCs w:val="32"/>
    </w:rPr>
  </w:style>
  <w:style w:type="character" w:styleId="19">
    <w:name w:val="Strong"/>
    <w:qFormat/>
    <w:uiPriority w:val="99"/>
    <w:rPr>
      <w:rFonts w:cs="Times New Roman"/>
      <w:b/>
      <w:bCs/>
    </w:rPr>
  </w:style>
  <w:style w:type="character" w:styleId="20">
    <w:name w:val="Emphasis"/>
    <w:qFormat/>
    <w:uiPriority w:val="99"/>
    <w:rPr>
      <w:rFonts w:ascii="Calibri" w:hAnsi="Calibri" w:cs="Times New Roman"/>
      <w:b/>
      <w:i/>
      <w:iCs/>
    </w:rPr>
  </w:style>
  <w:style w:type="character" w:customStyle="1" w:styleId="21">
    <w:name w:val="标题 1 字符"/>
    <w:link w:val="2"/>
    <w:qFormat/>
    <w:locked/>
    <w:uiPriority w:val="99"/>
    <w:rPr>
      <w:rFonts w:ascii="Cambria" w:hAnsi="Cambria" w:eastAsia="宋体" w:cs="Times New Roman"/>
      <w:b/>
      <w:bCs/>
      <w:kern w:val="32"/>
      <w:sz w:val="32"/>
      <w:szCs w:val="32"/>
    </w:rPr>
  </w:style>
  <w:style w:type="character" w:customStyle="1" w:styleId="22">
    <w:name w:val="标题 2 字符"/>
    <w:link w:val="3"/>
    <w:semiHidden/>
    <w:qFormat/>
    <w:locked/>
    <w:uiPriority w:val="99"/>
    <w:rPr>
      <w:rFonts w:ascii="Cambria" w:hAnsi="Cambria" w:eastAsia="宋体" w:cs="Times New Roman"/>
      <w:b/>
      <w:bCs/>
      <w:i/>
      <w:iCs/>
      <w:sz w:val="28"/>
      <w:szCs w:val="28"/>
    </w:rPr>
  </w:style>
  <w:style w:type="character" w:customStyle="1" w:styleId="23">
    <w:name w:val="标题 3 字符"/>
    <w:link w:val="4"/>
    <w:semiHidden/>
    <w:qFormat/>
    <w:locked/>
    <w:uiPriority w:val="99"/>
    <w:rPr>
      <w:rFonts w:ascii="Cambria" w:hAnsi="Cambria" w:eastAsia="宋体" w:cs="Times New Roman"/>
      <w:b/>
      <w:bCs/>
      <w:sz w:val="26"/>
      <w:szCs w:val="26"/>
    </w:rPr>
  </w:style>
  <w:style w:type="character" w:customStyle="1" w:styleId="24">
    <w:name w:val="标题 4 字符"/>
    <w:link w:val="5"/>
    <w:semiHidden/>
    <w:qFormat/>
    <w:locked/>
    <w:uiPriority w:val="99"/>
    <w:rPr>
      <w:rFonts w:cs="Times New Roman"/>
      <w:b/>
      <w:bCs/>
      <w:sz w:val="28"/>
      <w:szCs w:val="28"/>
    </w:rPr>
  </w:style>
  <w:style w:type="character" w:customStyle="1" w:styleId="25">
    <w:name w:val="标题 5 字符"/>
    <w:link w:val="6"/>
    <w:semiHidden/>
    <w:qFormat/>
    <w:locked/>
    <w:uiPriority w:val="99"/>
    <w:rPr>
      <w:rFonts w:cs="Times New Roman"/>
      <w:b/>
      <w:bCs/>
      <w:i/>
      <w:iCs/>
      <w:sz w:val="26"/>
      <w:szCs w:val="26"/>
    </w:rPr>
  </w:style>
  <w:style w:type="character" w:customStyle="1" w:styleId="26">
    <w:name w:val="标题 6 字符"/>
    <w:link w:val="7"/>
    <w:semiHidden/>
    <w:qFormat/>
    <w:locked/>
    <w:uiPriority w:val="99"/>
    <w:rPr>
      <w:rFonts w:cs="Times New Roman"/>
      <w:b/>
      <w:bCs/>
    </w:rPr>
  </w:style>
  <w:style w:type="character" w:customStyle="1" w:styleId="27">
    <w:name w:val="标题 7 字符"/>
    <w:link w:val="8"/>
    <w:semiHidden/>
    <w:qFormat/>
    <w:locked/>
    <w:uiPriority w:val="99"/>
    <w:rPr>
      <w:rFonts w:cs="Times New Roman"/>
      <w:sz w:val="24"/>
      <w:szCs w:val="24"/>
    </w:rPr>
  </w:style>
  <w:style w:type="character" w:customStyle="1" w:styleId="28">
    <w:name w:val="标题 8 字符"/>
    <w:link w:val="9"/>
    <w:semiHidden/>
    <w:qFormat/>
    <w:locked/>
    <w:uiPriority w:val="99"/>
    <w:rPr>
      <w:rFonts w:cs="Times New Roman"/>
      <w:i/>
      <w:iCs/>
      <w:sz w:val="24"/>
      <w:szCs w:val="24"/>
    </w:rPr>
  </w:style>
  <w:style w:type="character" w:customStyle="1" w:styleId="29">
    <w:name w:val="标题 9 字符"/>
    <w:link w:val="10"/>
    <w:semiHidden/>
    <w:qFormat/>
    <w:locked/>
    <w:uiPriority w:val="99"/>
    <w:rPr>
      <w:rFonts w:ascii="Cambria" w:hAnsi="Cambria" w:eastAsia="宋体" w:cs="Times New Roman"/>
    </w:rPr>
  </w:style>
  <w:style w:type="character" w:customStyle="1" w:styleId="30">
    <w:name w:val="批注框文本 字符"/>
    <w:link w:val="11"/>
    <w:semiHidden/>
    <w:qFormat/>
    <w:locked/>
    <w:uiPriority w:val="99"/>
    <w:rPr>
      <w:rFonts w:ascii="Times New Roman" w:hAnsi="Times New Roman" w:eastAsia="宋体" w:cs="Times New Roman"/>
      <w:kern w:val="2"/>
      <w:sz w:val="18"/>
      <w:szCs w:val="18"/>
    </w:rPr>
  </w:style>
  <w:style w:type="character" w:customStyle="1" w:styleId="31">
    <w:name w:val="页脚 字符"/>
    <w:link w:val="12"/>
    <w:qFormat/>
    <w:locked/>
    <w:uiPriority w:val="99"/>
    <w:rPr>
      <w:rFonts w:ascii="Calibri" w:hAnsi="Calibri" w:eastAsia="宋体" w:cs="Times New Roman"/>
      <w:kern w:val="2"/>
      <w:sz w:val="18"/>
      <w:szCs w:val="18"/>
    </w:rPr>
  </w:style>
  <w:style w:type="character" w:customStyle="1" w:styleId="32">
    <w:name w:val="页眉 字符"/>
    <w:link w:val="13"/>
    <w:qFormat/>
    <w:locked/>
    <w:uiPriority w:val="99"/>
    <w:rPr>
      <w:rFonts w:ascii="Calibri" w:hAnsi="Calibri" w:eastAsia="宋体" w:cs="Times New Roman"/>
      <w:kern w:val="2"/>
      <w:sz w:val="18"/>
      <w:szCs w:val="18"/>
    </w:rPr>
  </w:style>
  <w:style w:type="character" w:customStyle="1" w:styleId="33">
    <w:name w:val="副标题 字符"/>
    <w:link w:val="14"/>
    <w:qFormat/>
    <w:locked/>
    <w:uiPriority w:val="99"/>
    <w:rPr>
      <w:rFonts w:ascii="Cambria" w:hAnsi="Cambria" w:eastAsia="宋体" w:cs="Times New Roman"/>
      <w:sz w:val="24"/>
      <w:szCs w:val="24"/>
    </w:rPr>
  </w:style>
  <w:style w:type="character" w:customStyle="1" w:styleId="34">
    <w:name w:val="标题 字符"/>
    <w:link w:val="16"/>
    <w:qFormat/>
    <w:locked/>
    <w:uiPriority w:val="99"/>
    <w:rPr>
      <w:rFonts w:ascii="Cambria" w:hAnsi="Cambria" w:eastAsia="宋体" w:cs="Times New Roman"/>
      <w:b/>
      <w:bCs/>
      <w:kern w:val="28"/>
      <w:sz w:val="32"/>
      <w:szCs w:val="32"/>
    </w:rPr>
  </w:style>
  <w:style w:type="paragraph" w:styleId="35">
    <w:name w:val="No Spacing"/>
    <w:basedOn w:val="1"/>
    <w:qFormat/>
    <w:uiPriority w:val="99"/>
    <w:pPr>
      <w:widowControl/>
      <w:jc w:val="left"/>
    </w:pPr>
    <w:rPr>
      <w:rFonts w:ascii="Calibri" w:hAnsi="Calibri"/>
      <w:kern w:val="0"/>
      <w:sz w:val="24"/>
      <w:szCs w:val="32"/>
      <w:lang w:eastAsia="en-US"/>
    </w:rPr>
  </w:style>
  <w:style w:type="paragraph" w:styleId="36">
    <w:name w:val="List Paragraph"/>
    <w:basedOn w:val="1"/>
    <w:qFormat/>
    <w:uiPriority w:val="99"/>
    <w:pPr>
      <w:widowControl/>
      <w:ind w:left="720"/>
      <w:contextualSpacing/>
      <w:jc w:val="left"/>
    </w:pPr>
    <w:rPr>
      <w:rFonts w:ascii="Calibri" w:hAnsi="Calibri"/>
      <w:kern w:val="0"/>
      <w:sz w:val="24"/>
      <w:lang w:eastAsia="en-US"/>
    </w:rPr>
  </w:style>
  <w:style w:type="paragraph" w:styleId="37">
    <w:name w:val="Quote"/>
    <w:basedOn w:val="1"/>
    <w:next w:val="1"/>
    <w:link w:val="38"/>
    <w:qFormat/>
    <w:uiPriority w:val="99"/>
    <w:pPr>
      <w:widowControl/>
      <w:jc w:val="left"/>
    </w:pPr>
    <w:rPr>
      <w:rFonts w:ascii="Calibri" w:hAnsi="Calibri"/>
      <w:i/>
      <w:kern w:val="0"/>
      <w:sz w:val="24"/>
    </w:rPr>
  </w:style>
  <w:style w:type="character" w:customStyle="1" w:styleId="38">
    <w:name w:val="引用 字符"/>
    <w:link w:val="37"/>
    <w:qFormat/>
    <w:locked/>
    <w:uiPriority w:val="99"/>
    <w:rPr>
      <w:rFonts w:cs="Times New Roman"/>
      <w:i/>
      <w:sz w:val="24"/>
      <w:szCs w:val="24"/>
    </w:rPr>
  </w:style>
  <w:style w:type="paragraph" w:styleId="39">
    <w:name w:val="Intense Quote"/>
    <w:basedOn w:val="1"/>
    <w:next w:val="1"/>
    <w:link w:val="40"/>
    <w:qFormat/>
    <w:uiPriority w:val="99"/>
    <w:pPr>
      <w:widowControl/>
      <w:ind w:left="720" w:right="720"/>
      <w:jc w:val="left"/>
    </w:pPr>
    <w:rPr>
      <w:rFonts w:ascii="Calibri" w:hAnsi="Calibri"/>
      <w:b/>
      <w:i/>
      <w:kern w:val="0"/>
      <w:sz w:val="24"/>
      <w:szCs w:val="22"/>
    </w:rPr>
  </w:style>
  <w:style w:type="character" w:customStyle="1" w:styleId="40">
    <w:name w:val="明显引用 字符"/>
    <w:link w:val="39"/>
    <w:qFormat/>
    <w:locked/>
    <w:uiPriority w:val="99"/>
    <w:rPr>
      <w:rFonts w:cs="Times New Roman"/>
      <w:b/>
      <w:i/>
      <w:sz w:val="24"/>
    </w:rPr>
  </w:style>
  <w:style w:type="character" w:customStyle="1" w:styleId="41">
    <w:name w:val="Subtle Emphasis1"/>
    <w:qFormat/>
    <w:uiPriority w:val="99"/>
    <w:rPr>
      <w:i/>
      <w:color w:val="595959"/>
    </w:rPr>
  </w:style>
  <w:style w:type="character" w:customStyle="1" w:styleId="42">
    <w:name w:val="Intense Emphasis1"/>
    <w:qFormat/>
    <w:uiPriority w:val="99"/>
    <w:rPr>
      <w:rFonts w:cs="Times New Roman"/>
      <w:b/>
      <w:i/>
      <w:sz w:val="24"/>
      <w:szCs w:val="24"/>
      <w:u w:val="single"/>
    </w:rPr>
  </w:style>
  <w:style w:type="character" w:customStyle="1" w:styleId="43">
    <w:name w:val="Subtle Reference1"/>
    <w:qFormat/>
    <w:uiPriority w:val="99"/>
    <w:rPr>
      <w:rFonts w:cs="Times New Roman"/>
      <w:sz w:val="24"/>
      <w:szCs w:val="24"/>
      <w:u w:val="single"/>
    </w:rPr>
  </w:style>
  <w:style w:type="character" w:customStyle="1" w:styleId="44">
    <w:name w:val="Intense Reference1"/>
    <w:qFormat/>
    <w:uiPriority w:val="99"/>
    <w:rPr>
      <w:rFonts w:cs="Times New Roman"/>
      <w:b/>
      <w:sz w:val="24"/>
      <w:u w:val="single"/>
    </w:rPr>
  </w:style>
  <w:style w:type="character" w:customStyle="1" w:styleId="45">
    <w:name w:val="Book Title1"/>
    <w:qFormat/>
    <w:uiPriority w:val="99"/>
    <w:rPr>
      <w:rFonts w:ascii="Cambria" w:hAnsi="Cambria" w:eastAsia="宋体" w:cs="Times New Roman"/>
      <w:b/>
      <w:i/>
      <w:sz w:val="24"/>
      <w:szCs w:val="24"/>
    </w:rPr>
  </w:style>
  <w:style w:type="paragraph" w:customStyle="1" w:styleId="46">
    <w:name w:val="TOC Heading1"/>
    <w:basedOn w:val="2"/>
    <w:next w:val="1"/>
    <w:semiHidden/>
    <w:qFormat/>
    <w:uiPriority w:val="99"/>
    <w:pPr>
      <w:outlineLvl w:val="9"/>
    </w:pPr>
    <w:rPr>
      <w:lang w:eastAsia="en-US"/>
    </w:rPr>
  </w:style>
  <w:style w:type="character" w:customStyle="1" w:styleId="47">
    <w:name w:val="apple-converted-space"/>
    <w:qFormat/>
    <w:uiPriority w:val="99"/>
    <w:rPr>
      <w:rFonts w:cs="Times New Roman"/>
    </w:rPr>
  </w:style>
  <w:style w:type="character" w:customStyle="1" w:styleId="48">
    <w:name w:val="15"/>
    <w:qFormat/>
    <w:uiPriority w:val="99"/>
    <w:rPr>
      <w:rFonts w:ascii="Times New Roman" w:hAnsi="Times New Roman" w:cs="Times New Roman"/>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748</Words>
  <Characters>4269</Characters>
  <Lines>35</Lines>
  <Paragraphs>10</Paragraphs>
  <TotalTime>2</TotalTime>
  <ScaleCrop>false</ScaleCrop>
  <LinksUpToDate>false</LinksUpToDate>
  <CharactersWithSpaces>5007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财政局</cp:lastModifiedBy>
  <cp:lastPrinted>2019-01-16T08:24:00Z</cp:lastPrinted>
  <dcterms:modified xsi:type="dcterms:W3CDTF">2026-03-17T10:31:19Z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56BAE4121FC14A9195A26B06A5EE2F86_12</vt:lpwstr>
  </property>
</Properties>
</file>