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7A" w:rsidRDefault="00C2620D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C2620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11237A" w:rsidRDefault="0011237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1237A" w:rsidRDefault="00C2620D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</w:t>
      </w:r>
      <w:r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1237A" w:rsidRDefault="0011237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1237A" w:rsidRDefault="0011237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1237A" w:rsidRDefault="0011237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1237A" w:rsidRDefault="0011237A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1237A" w:rsidRPr="00727783" w:rsidRDefault="00C2620D" w:rsidP="0072778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项目名称：法律援助项目资金</w:t>
      </w:r>
    </w:p>
    <w:p w:rsidR="0011237A" w:rsidRDefault="00C2620D" w:rsidP="0072778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实施单位（公章）：玛纳斯县司法局</w:t>
      </w:r>
    </w:p>
    <w:p w:rsidR="0011237A" w:rsidRDefault="00C2620D" w:rsidP="0072778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</w:p>
    <w:p w:rsidR="0011237A" w:rsidRDefault="00C2620D" w:rsidP="0072778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项目负责人（签章）：李兆曾</w:t>
      </w:r>
    </w:p>
    <w:p w:rsidR="0011237A" w:rsidRDefault="00C2620D" w:rsidP="0072778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   2018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12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31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11237A" w:rsidRDefault="0011237A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1237A" w:rsidRDefault="0011237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11237A" w:rsidRDefault="00C2620D" w:rsidP="00191E7A">
      <w:pPr>
        <w:spacing w:line="540" w:lineRule="exact"/>
        <w:ind w:firstLine="64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玛纳斯县司法局成立于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1986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月，政法专项编制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人，实有在编人员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人，事业编制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5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人，实有事业在编管理岗人员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人，退休人员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17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</w:t>
      </w:r>
    </w:p>
    <w:p w:rsidR="0011237A" w:rsidRDefault="00C2620D">
      <w:pPr>
        <w:spacing w:line="540" w:lineRule="exact"/>
        <w:ind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、社会效益总目标：围绕县委和政府的中心任务开展工作，促进社会和谐、经济发展、社会文明进步，为维护改革发展稳定的大局服务。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、保障法律援助正常运转、完成法律援助活动和其他日常工作任务等方面的支出，该经费的具体开支范围是：支付接受法律援助机构指派办理案件的律师、基层法律服务工作者和接受安排办理案件的社会组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织人员，法律援助志愿者的办案补贴，包括差旅费、交通通讯费、文印费、调查取证费；法律援助机构办理法律援助案件的直接费用；受援人败诉后因经济困难无力缴纳的检定费和仲裁费。</w:t>
      </w: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11237A" w:rsidRDefault="00C2620D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根据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201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年我局实际，本年度本法律援助项目资金财政拨款资金安排为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8.26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万元，全部拨付到位。</w:t>
      </w:r>
    </w:p>
    <w:p w:rsidR="0011237A" w:rsidRDefault="00C2620D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201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年法律援助项目资金主要用于支付法律援助中心办公费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0.5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万元、水费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0.2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万元，电费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0.9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万元、培训费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2.26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 xml:space="preserve"> 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、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劳务费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0.4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万元、支付法律援助补贴款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4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11237A" w:rsidRDefault="00C2620D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我局根据上级及财政部门要求，根据相关法律规章制度，制定了我局法律援助项目资金相关制度规定。如，财务管理规定，“三重一大”管理规定，资产管理制度，财务公示制度，财务人员职责等。单位项目资金的使用严格按照各项规章制度执行运转。</w:t>
      </w: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11237A" w:rsidRDefault="00C2620D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我局资金使用严格执行司法局各项规章制度，资金落实到位，不拖欠，不做项目外的其他支出。</w:t>
      </w:r>
    </w:p>
    <w:p w:rsidR="0011237A" w:rsidRDefault="00C2620D">
      <w:pPr>
        <w:spacing w:line="540" w:lineRule="exact"/>
        <w:ind w:firstLineChars="181" w:firstLine="567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司法局法律援助项目资金使用严格执行“三重一大”管理制度，对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单位重大支出上党组会讨论严格执行一把手不直接分管财务、由办公室审核把关，分管机关的的副局长签字，保证了财务核算的独立严谨。</w:t>
      </w: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11237A" w:rsidRDefault="00C2620D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11237A" w:rsidRDefault="00C2620D" w:rsidP="00727783">
      <w:pPr>
        <w:spacing w:line="540" w:lineRule="exact"/>
        <w:ind w:firstLineChars="181" w:firstLine="565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/>
          <w:b w:val="0"/>
          <w:spacing w:val="-4"/>
          <w:sz w:val="32"/>
          <w:szCs w:val="32"/>
        </w:rPr>
        <w:t>201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年我局法律援助项目资金收入支出平衡，无负债，无结余。全部用于我局</w:t>
      </w:r>
      <w:r>
        <w:rPr>
          <w:rFonts w:ascii="仿宋" w:eastAsia="仿宋" w:hAnsi="仿宋" w:hint="eastAsia"/>
          <w:sz w:val="32"/>
          <w:szCs w:val="32"/>
        </w:rPr>
        <w:t>正常运转、完成司法行政活动和其他日常工作任务。</w:t>
      </w:r>
    </w:p>
    <w:p w:rsidR="0011237A" w:rsidRDefault="00C2620D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11237A" w:rsidRDefault="00C2620D" w:rsidP="0072778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（如项目绩效目标已完成，可不用填写该部分。）</w:t>
      </w:r>
    </w:p>
    <w:p w:rsidR="0011237A" w:rsidRDefault="00C2620D" w:rsidP="00727783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lastRenderedPageBreak/>
        <w:t>无</w:t>
      </w: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主要经验及做法、存在问题和建议</w:t>
      </w:r>
    </w:p>
    <w:p w:rsidR="0011237A" w:rsidRDefault="00C2620D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11237A" w:rsidRDefault="00C2620D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加强资金管理，提高资金使用效率。</w:t>
      </w:r>
    </w:p>
    <w:p w:rsidR="0011237A" w:rsidRDefault="00C2620D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11237A" w:rsidRDefault="00C2620D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（包括资金安排、使用过程中的经验、做法、存在问题、改进措施和有关建议等）</w:t>
      </w:r>
    </w:p>
    <w:p w:rsidR="0011237A" w:rsidRDefault="00C2620D">
      <w:pPr>
        <w:spacing w:line="540" w:lineRule="exact"/>
        <w:ind w:firstLineChars="200" w:firstLine="640"/>
        <w:rPr>
          <w:rFonts w:ascii="微软雅黑" w:eastAsia="微软雅黑" w:hAnsi="微软雅黑" w:cs="微软雅黑"/>
          <w:color w:val="000000"/>
          <w:sz w:val="22"/>
          <w:szCs w:val="2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  <w:lang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  <w:lang/>
        </w:rPr>
        <w:t>、</w:t>
      </w:r>
      <w:r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  <w:lang/>
        </w:rPr>
        <w:t>严格控制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  <w:lang/>
        </w:rPr>
        <w:t>法律援助</w:t>
      </w:r>
      <w:r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  <w:lang/>
        </w:rPr>
        <w:t>经费的支出范围，规范支出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财务管理规定，“三重一大”管理规定，资产管理制度，财务公示制度，财务人员职责等。单位项目资金的使用严格按照各项规章制度执行运转。</w:t>
      </w:r>
    </w:p>
    <w:p w:rsidR="0011237A" w:rsidRDefault="00C2620D">
      <w:pPr>
        <w:widowControl/>
        <w:shd w:val="clear" w:color="auto" w:fill="FFFFFF"/>
        <w:spacing w:line="580" w:lineRule="atLeast"/>
        <w:ind w:firstLine="640"/>
        <w:jc w:val="left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  <w:lang/>
        </w:rPr>
        <w:t>2</w:t>
      </w:r>
      <w:r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  <w:lang/>
        </w:rPr>
        <w:t>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  <w:lang/>
        </w:rPr>
        <w:t>法律援助经费</w:t>
      </w:r>
      <w:r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  <w:lang/>
        </w:rPr>
        <w:t>的支出有待进一步完善。</w:t>
      </w:r>
    </w:p>
    <w:p w:rsidR="0011237A" w:rsidRDefault="00C2620D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无</w:t>
      </w:r>
    </w:p>
    <w:p w:rsidR="0011237A" w:rsidRDefault="00C2620D">
      <w:p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11237A" w:rsidRDefault="00C2620D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11237A" w:rsidRDefault="00C2620D">
      <w:pPr>
        <w:spacing w:line="540" w:lineRule="exact"/>
        <w:ind w:firstLine="640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根据《昌州财行【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】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号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年度中央转移支付法律援助专款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》文件要求，严格执行文件精神，专款专用。按照单位会计管理办法，严格执行审批程序。</w:t>
      </w:r>
    </w:p>
    <w:p w:rsidR="0011237A" w:rsidRDefault="00C2620D">
      <w:pPr>
        <w:numPr>
          <w:ilvl w:val="0"/>
          <w:numId w:val="1"/>
        </w:numPr>
        <w:spacing w:line="540" w:lineRule="exact"/>
        <w:ind w:firstLine="640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11237A" w:rsidRDefault="00C2620D">
      <w:pPr>
        <w:spacing w:line="540" w:lineRule="exact"/>
        <w:ind w:firstLineChars="200" w:firstLine="624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bookmarkStart w:id="0" w:name="_GoBack"/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《玛纳斯县财政项目支</w:t>
      </w:r>
      <w:bookmarkEnd w:id="0"/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出绩效自评表》</w:t>
      </w:r>
    </w:p>
    <w:p w:rsidR="0011237A" w:rsidRDefault="0011237A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11237A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玛纳斯县财政项目支出绩效自评表</w:t>
            </w:r>
          </w:p>
        </w:tc>
      </w:tr>
      <w:tr w:rsidR="0011237A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11237A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11237A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法律援助项目资金</w:t>
            </w:r>
          </w:p>
        </w:tc>
      </w:tr>
      <w:tr w:rsidR="0011237A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玛纳斯县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司法局</w:t>
            </w:r>
          </w:p>
        </w:tc>
      </w:tr>
      <w:tr w:rsidR="0011237A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</w:tr>
      <w:tr w:rsidR="0011237A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8.26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1237A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237A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1237A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11237A" w:rsidRDefault="00C2620D">
            <w:pPr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全面实施《佳律援助条例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)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，以实现“应援尽援”为目标。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负责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全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县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的法律援助工作，受理法律援助申请对全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县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特定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弱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势群体和特殊案件当事人提供法律援助，承力或组织承办在全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县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有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重大影响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的法律援动案件和全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县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公益性法律援助事项。负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责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“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法律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服务专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线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工作。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解答法律咨询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。宣传法律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法规和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政策。</w:t>
            </w:r>
          </w:p>
          <w:p w:rsidR="0011237A" w:rsidRDefault="0011237A">
            <w:pPr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1237A" w:rsidRDefault="00C2620D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法律援助中心正常运转、完成司法行政活动和其他日常工作任务等方面的支出，该经费的具体开支范围是：保障法律援助正常运转、完成法律援助活动和其他日常工作任务等方面的支出，该经费的具体开支范围是：支付接受法律援助机构指派办理案件的律师</w:t>
            </w:r>
            <w:r>
              <w:rPr>
                <w:rFonts w:hint="eastAsia"/>
                <w:sz w:val="20"/>
                <w:szCs w:val="20"/>
              </w:rPr>
              <w:t>、基层法律服务工作者和接受安排办理案件的社会组织人员，法律援助志愿者的办案补贴，包括差旅费、交通通讯费、文印费、调查取证费；法律援助机构办理法律援助案件的直接费用；受援人败诉后因经济困难无力缴纳的检定费和仲裁费。</w:t>
            </w:r>
          </w:p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11237A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  <w:p w:rsidR="0011237A" w:rsidRDefault="0011237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法律援助中心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中心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中心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法律援助中心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  <w:r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法律援助中心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cs="宋体" w:hint="eastAsia"/>
                <w:sz w:val="20"/>
                <w:szCs w:val="20"/>
              </w:rPr>
              <w:t>受援人员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≧</w:t>
            </w: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ind w:firstLineChars="150" w:firstLine="3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cs="宋体" w:hint="eastAsia"/>
                <w:sz w:val="20"/>
                <w:szCs w:val="20"/>
              </w:rPr>
              <w:t>困难人员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≦</w:t>
            </w:r>
            <w:r>
              <w:rPr>
                <w:sz w:val="20"/>
                <w:szCs w:val="20"/>
              </w:rPr>
              <w:t>0.5%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ind w:firstLineChars="300" w:firstLine="6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100%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法律援助案件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件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>
              <w:rPr>
                <w:rFonts w:hint="eastAsia"/>
                <w:sz w:val="20"/>
                <w:szCs w:val="20"/>
              </w:rPr>
              <w:t>元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件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37A" w:rsidRDefault="00C2620D">
            <w:r>
              <w:rPr>
                <w:rFonts w:hint="eastAsia"/>
                <w:sz w:val="20"/>
                <w:szCs w:val="20"/>
              </w:rPr>
              <w:t>法律援助案件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保障民生改变，司法公正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98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37A" w:rsidRDefault="00C2620D">
            <w:r>
              <w:rPr>
                <w:rFonts w:hint="eastAsia"/>
                <w:sz w:val="20"/>
                <w:szCs w:val="20"/>
              </w:rPr>
              <w:t>法律援助案件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让更多需要法律援助的弱势群体得到了帮助，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有力地提升了法律援助工作的社会认知度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spacing w:line="360" w:lineRule="auto"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37A" w:rsidRDefault="00C2620D">
            <w:r>
              <w:rPr>
                <w:rFonts w:hint="eastAsia"/>
                <w:sz w:val="20"/>
                <w:szCs w:val="20"/>
              </w:rPr>
              <w:t>法律援助案件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在推进依法治</w:t>
            </w: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县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进程、维护社会和谐稳定中发挥重要作用。</w:t>
            </w: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ind w:firstLineChars="200" w:firstLine="4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  <w:tr w:rsidR="0011237A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1123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237A" w:rsidRDefault="00C2620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37A" w:rsidRDefault="00C2620D">
            <w:r>
              <w:rPr>
                <w:rFonts w:hint="eastAsia"/>
                <w:sz w:val="20"/>
                <w:szCs w:val="20"/>
              </w:rPr>
              <w:t>法律援助案件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37A" w:rsidRDefault="00C2620D"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>%</w:t>
            </w:r>
          </w:p>
        </w:tc>
      </w:tr>
    </w:tbl>
    <w:p w:rsidR="0011237A" w:rsidRDefault="0011237A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11237A" w:rsidRDefault="0011237A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sectPr w:rsidR="0011237A" w:rsidSect="0011237A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20D" w:rsidRDefault="00C2620D" w:rsidP="0011237A">
      <w:r>
        <w:separator/>
      </w:r>
    </w:p>
  </w:endnote>
  <w:endnote w:type="continuationSeparator" w:id="0">
    <w:p w:rsidR="00C2620D" w:rsidRDefault="00C2620D" w:rsidP="00112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37A" w:rsidRDefault="0011237A">
    <w:pPr>
      <w:pStyle w:val="a4"/>
      <w:jc w:val="center"/>
    </w:pPr>
    <w:r w:rsidRPr="0011237A">
      <w:fldChar w:fldCharType="begin"/>
    </w:r>
    <w:r w:rsidR="00C2620D">
      <w:instrText>PAGE   \* MERGEFORMAT</w:instrText>
    </w:r>
    <w:r w:rsidRPr="0011237A">
      <w:fldChar w:fldCharType="separate"/>
    </w:r>
    <w:r w:rsidR="00115756" w:rsidRPr="00115756">
      <w:rPr>
        <w:noProof/>
        <w:lang w:val="zh-CN"/>
      </w:rPr>
      <w:t>3</w:t>
    </w:r>
    <w:r>
      <w:rPr>
        <w:lang w:val="zh-CN"/>
      </w:rPr>
      <w:fldChar w:fldCharType="end"/>
    </w:r>
  </w:p>
  <w:p w:rsidR="0011237A" w:rsidRDefault="0011237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20D" w:rsidRDefault="00C2620D" w:rsidP="0011237A">
      <w:r>
        <w:separator/>
      </w:r>
    </w:p>
  </w:footnote>
  <w:footnote w:type="continuationSeparator" w:id="0">
    <w:p w:rsidR="00C2620D" w:rsidRDefault="00C2620D" w:rsidP="00112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58D23D"/>
    <w:multiLevelType w:val="singleLevel"/>
    <w:tmpl w:val="B558D23D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26351"/>
    <w:rsid w:val="00056465"/>
    <w:rsid w:val="000B693B"/>
    <w:rsid w:val="000E443C"/>
    <w:rsid w:val="001029BE"/>
    <w:rsid w:val="0011237A"/>
    <w:rsid w:val="00115756"/>
    <w:rsid w:val="00121AE4"/>
    <w:rsid w:val="00135BA7"/>
    <w:rsid w:val="00144BA9"/>
    <w:rsid w:val="00146AAD"/>
    <w:rsid w:val="001551F1"/>
    <w:rsid w:val="00161CA4"/>
    <w:rsid w:val="00191E7A"/>
    <w:rsid w:val="001B1B66"/>
    <w:rsid w:val="001B3A40"/>
    <w:rsid w:val="001D0E90"/>
    <w:rsid w:val="002E63F8"/>
    <w:rsid w:val="003309BE"/>
    <w:rsid w:val="0035749A"/>
    <w:rsid w:val="00357F6A"/>
    <w:rsid w:val="003717F2"/>
    <w:rsid w:val="003C18BC"/>
    <w:rsid w:val="004366A8"/>
    <w:rsid w:val="00464900"/>
    <w:rsid w:val="00477FAA"/>
    <w:rsid w:val="00502BA7"/>
    <w:rsid w:val="005162F1"/>
    <w:rsid w:val="00525DD9"/>
    <w:rsid w:val="00535153"/>
    <w:rsid w:val="00542434"/>
    <w:rsid w:val="00554F82"/>
    <w:rsid w:val="005575A3"/>
    <w:rsid w:val="0056390D"/>
    <w:rsid w:val="005719B0"/>
    <w:rsid w:val="005D10D6"/>
    <w:rsid w:val="00677944"/>
    <w:rsid w:val="006E4897"/>
    <w:rsid w:val="00727783"/>
    <w:rsid w:val="0076317B"/>
    <w:rsid w:val="007806A5"/>
    <w:rsid w:val="007D1D4C"/>
    <w:rsid w:val="00820C84"/>
    <w:rsid w:val="00855E3A"/>
    <w:rsid w:val="00922CB9"/>
    <w:rsid w:val="009263C2"/>
    <w:rsid w:val="009B1EC9"/>
    <w:rsid w:val="009B44B0"/>
    <w:rsid w:val="009C4359"/>
    <w:rsid w:val="009E5CD9"/>
    <w:rsid w:val="009E7634"/>
    <w:rsid w:val="00A26421"/>
    <w:rsid w:val="00A337BA"/>
    <w:rsid w:val="00A4293B"/>
    <w:rsid w:val="00A65F0B"/>
    <w:rsid w:val="00A67D50"/>
    <w:rsid w:val="00A8691A"/>
    <w:rsid w:val="00AC1946"/>
    <w:rsid w:val="00B40063"/>
    <w:rsid w:val="00B41F61"/>
    <w:rsid w:val="00B605FA"/>
    <w:rsid w:val="00B93E27"/>
    <w:rsid w:val="00BA46E6"/>
    <w:rsid w:val="00C2620D"/>
    <w:rsid w:val="00C363EB"/>
    <w:rsid w:val="00C56C72"/>
    <w:rsid w:val="00CA6457"/>
    <w:rsid w:val="00D17F2E"/>
    <w:rsid w:val="00D30354"/>
    <w:rsid w:val="00D37A4C"/>
    <w:rsid w:val="00DF42A0"/>
    <w:rsid w:val="00E160F1"/>
    <w:rsid w:val="00E46C51"/>
    <w:rsid w:val="00E536C8"/>
    <w:rsid w:val="00E57AAC"/>
    <w:rsid w:val="00E769FE"/>
    <w:rsid w:val="00EA2CBE"/>
    <w:rsid w:val="00ED0D99"/>
    <w:rsid w:val="00F32FEE"/>
    <w:rsid w:val="00F61471"/>
    <w:rsid w:val="00F64C4E"/>
    <w:rsid w:val="00FB10BB"/>
    <w:rsid w:val="0C914A9D"/>
    <w:rsid w:val="10161D8C"/>
    <w:rsid w:val="1EC37CCF"/>
    <w:rsid w:val="2D242321"/>
    <w:rsid w:val="340A6278"/>
    <w:rsid w:val="3CC51859"/>
    <w:rsid w:val="46D452D2"/>
    <w:rsid w:val="4E2D0AB7"/>
    <w:rsid w:val="553C40C4"/>
    <w:rsid w:val="55726208"/>
    <w:rsid w:val="63C42FF6"/>
    <w:rsid w:val="666B0A1B"/>
    <w:rsid w:val="6A086461"/>
    <w:rsid w:val="70C1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37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11237A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11237A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11237A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11237A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11237A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11237A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11237A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11237A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11237A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11237A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1237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112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99"/>
    <w:qFormat/>
    <w:rsid w:val="0011237A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7">
    <w:name w:val="Normal (Web)"/>
    <w:basedOn w:val="a"/>
    <w:uiPriority w:val="99"/>
    <w:unhideWhenUsed/>
    <w:qFormat/>
    <w:rsid w:val="001123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3"/>
    <w:uiPriority w:val="99"/>
    <w:qFormat/>
    <w:rsid w:val="0011237A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9">
    <w:name w:val="Strong"/>
    <w:basedOn w:val="a0"/>
    <w:uiPriority w:val="99"/>
    <w:qFormat/>
    <w:rsid w:val="0011237A"/>
    <w:rPr>
      <w:rFonts w:cs="Times New Roman"/>
      <w:b/>
      <w:bCs/>
    </w:rPr>
  </w:style>
  <w:style w:type="character" w:styleId="aa">
    <w:name w:val="FollowedHyperlink"/>
    <w:basedOn w:val="a0"/>
    <w:uiPriority w:val="99"/>
    <w:semiHidden/>
    <w:unhideWhenUsed/>
    <w:rsid w:val="0011237A"/>
    <w:rPr>
      <w:color w:val="000000"/>
      <w:u w:val="none"/>
    </w:rPr>
  </w:style>
  <w:style w:type="character" w:styleId="ab">
    <w:name w:val="Emphasis"/>
    <w:basedOn w:val="a0"/>
    <w:uiPriority w:val="99"/>
    <w:qFormat/>
    <w:rsid w:val="0011237A"/>
    <w:rPr>
      <w:rFonts w:ascii="Calibri" w:hAnsi="Calibri" w:cs="Times New Roman"/>
      <w:b/>
      <w:i/>
      <w:iCs/>
    </w:rPr>
  </w:style>
  <w:style w:type="character" w:styleId="ac">
    <w:name w:val="Hyperlink"/>
    <w:basedOn w:val="a0"/>
    <w:uiPriority w:val="99"/>
    <w:semiHidden/>
    <w:unhideWhenUsed/>
    <w:qFormat/>
    <w:rsid w:val="0011237A"/>
    <w:rPr>
      <w:color w:val="000000"/>
      <w:u w:val="none"/>
    </w:rPr>
  </w:style>
  <w:style w:type="character" w:customStyle="1" w:styleId="1Char">
    <w:name w:val="标题 1 Char"/>
    <w:basedOn w:val="a0"/>
    <w:link w:val="1"/>
    <w:uiPriority w:val="99"/>
    <w:locked/>
    <w:rsid w:val="0011237A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11237A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qFormat/>
    <w:locked/>
    <w:rsid w:val="0011237A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qFormat/>
    <w:locked/>
    <w:rsid w:val="0011237A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qFormat/>
    <w:locked/>
    <w:rsid w:val="0011237A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11237A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qFormat/>
    <w:locked/>
    <w:rsid w:val="0011237A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qFormat/>
    <w:locked/>
    <w:rsid w:val="0011237A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qFormat/>
    <w:locked/>
    <w:rsid w:val="0011237A"/>
    <w:rPr>
      <w:rFonts w:ascii="Cambria" w:eastAsia="宋体" w:hAnsi="Cambria" w:cs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11237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1237A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11237A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副标题 Char"/>
    <w:basedOn w:val="a0"/>
    <w:link w:val="a6"/>
    <w:uiPriority w:val="99"/>
    <w:qFormat/>
    <w:locked/>
    <w:rsid w:val="0011237A"/>
    <w:rPr>
      <w:rFonts w:ascii="Cambria" w:eastAsia="宋体" w:hAnsi="Cambria" w:cs="Times New Roman"/>
      <w:sz w:val="24"/>
      <w:szCs w:val="24"/>
    </w:rPr>
  </w:style>
  <w:style w:type="character" w:customStyle="1" w:styleId="Char3">
    <w:name w:val="标题 Char"/>
    <w:basedOn w:val="a0"/>
    <w:link w:val="a8"/>
    <w:uiPriority w:val="99"/>
    <w:qFormat/>
    <w:locked/>
    <w:rsid w:val="0011237A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d">
    <w:name w:val="No Spacing"/>
    <w:basedOn w:val="a"/>
    <w:uiPriority w:val="99"/>
    <w:qFormat/>
    <w:rsid w:val="0011237A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e">
    <w:name w:val="List Paragraph"/>
    <w:basedOn w:val="a"/>
    <w:uiPriority w:val="99"/>
    <w:qFormat/>
    <w:rsid w:val="0011237A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f">
    <w:name w:val="Quote"/>
    <w:basedOn w:val="a"/>
    <w:next w:val="a"/>
    <w:link w:val="Char4"/>
    <w:uiPriority w:val="99"/>
    <w:qFormat/>
    <w:rsid w:val="0011237A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4">
    <w:name w:val="引用 Char"/>
    <w:basedOn w:val="a0"/>
    <w:link w:val="af"/>
    <w:uiPriority w:val="99"/>
    <w:qFormat/>
    <w:locked/>
    <w:rsid w:val="0011237A"/>
    <w:rPr>
      <w:rFonts w:cs="Times New Roman"/>
      <w:i/>
      <w:sz w:val="24"/>
      <w:szCs w:val="24"/>
    </w:rPr>
  </w:style>
  <w:style w:type="paragraph" w:styleId="af0">
    <w:name w:val="Intense Quote"/>
    <w:basedOn w:val="a"/>
    <w:next w:val="a"/>
    <w:link w:val="Char5"/>
    <w:uiPriority w:val="99"/>
    <w:qFormat/>
    <w:rsid w:val="0011237A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f0"/>
    <w:uiPriority w:val="99"/>
    <w:qFormat/>
    <w:locked/>
    <w:rsid w:val="0011237A"/>
    <w:rPr>
      <w:rFonts w:cs="Times New Roman"/>
      <w:b/>
      <w:i/>
      <w:sz w:val="24"/>
    </w:rPr>
  </w:style>
  <w:style w:type="character" w:customStyle="1" w:styleId="10">
    <w:name w:val="不明显强调1"/>
    <w:uiPriority w:val="99"/>
    <w:qFormat/>
    <w:rsid w:val="0011237A"/>
    <w:rPr>
      <w:i/>
      <w:color w:val="595959"/>
    </w:rPr>
  </w:style>
  <w:style w:type="character" w:customStyle="1" w:styleId="11">
    <w:name w:val="明显强调1"/>
    <w:basedOn w:val="a0"/>
    <w:uiPriority w:val="99"/>
    <w:rsid w:val="0011237A"/>
    <w:rPr>
      <w:rFonts w:cs="Times New Roman"/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99"/>
    <w:qFormat/>
    <w:rsid w:val="0011237A"/>
    <w:rPr>
      <w:rFonts w:cs="Times New Roman"/>
      <w:sz w:val="24"/>
      <w:szCs w:val="24"/>
      <w:u w:val="single"/>
    </w:rPr>
  </w:style>
  <w:style w:type="character" w:customStyle="1" w:styleId="13">
    <w:name w:val="明显参考1"/>
    <w:basedOn w:val="a0"/>
    <w:uiPriority w:val="99"/>
    <w:rsid w:val="0011237A"/>
    <w:rPr>
      <w:rFonts w:cs="Times New Roman"/>
      <w:b/>
      <w:sz w:val="24"/>
      <w:u w:val="single"/>
    </w:rPr>
  </w:style>
  <w:style w:type="character" w:customStyle="1" w:styleId="14">
    <w:name w:val="书籍标题1"/>
    <w:basedOn w:val="a0"/>
    <w:uiPriority w:val="99"/>
    <w:rsid w:val="0011237A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semiHidden/>
    <w:rsid w:val="0011237A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379</Words>
  <Characters>2162</Characters>
  <Application>Microsoft Office Word</Application>
  <DocSecurity>0</DocSecurity>
  <Lines>18</Lines>
  <Paragraphs>5</Paragraphs>
  <ScaleCrop>false</ScaleCrop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Administrator</cp:lastModifiedBy>
  <cp:revision>37</cp:revision>
  <cp:lastPrinted>2019-01-13T12:20:00Z</cp:lastPrinted>
  <dcterms:created xsi:type="dcterms:W3CDTF">2018-08-15T02:06:00Z</dcterms:created>
  <dcterms:modified xsi:type="dcterms:W3CDTF">2019-02-21T07:48:00Z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