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F27" w:rsidRDefault="004655AA">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4B1F27" w:rsidRDefault="004B1F27">
      <w:pPr>
        <w:spacing w:line="540" w:lineRule="exact"/>
        <w:jc w:val="center"/>
        <w:rPr>
          <w:rFonts w:ascii="华文中宋" w:eastAsia="华文中宋" w:hAnsi="华文中宋" w:cs="宋体"/>
          <w:b/>
          <w:kern w:val="0"/>
          <w:sz w:val="52"/>
          <w:szCs w:val="52"/>
        </w:rPr>
      </w:pPr>
    </w:p>
    <w:p w:rsidR="004B1F27" w:rsidRDefault="004B1F27">
      <w:pPr>
        <w:spacing w:line="540" w:lineRule="exact"/>
        <w:jc w:val="center"/>
        <w:rPr>
          <w:rFonts w:ascii="华文中宋" w:eastAsia="华文中宋" w:hAnsi="华文中宋" w:cs="宋体"/>
          <w:b/>
          <w:kern w:val="0"/>
          <w:sz w:val="52"/>
          <w:szCs w:val="52"/>
        </w:rPr>
      </w:pPr>
    </w:p>
    <w:p w:rsidR="004B1F27" w:rsidRDefault="004B1F27">
      <w:pPr>
        <w:spacing w:line="540" w:lineRule="exact"/>
        <w:jc w:val="center"/>
        <w:rPr>
          <w:rFonts w:ascii="华文中宋" w:eastAsia="华文中宋" w:hAnsi="华文中宋" w:cs="宋体"/>
          <w:b/>
          <w:kern w:val="0"/>
          <w:sz w:val="52"/>
          <w:szCs w:val="52"/>
        </w:rPr>
      </w:pPr>
    </w:p>
    <w:p w:rsidR="004B1F27" w:rsidRDefault="004B1F27">
      <w:pPr>
        <w:spacing w:line="540" w:lineRule="exact"/>
        <w:jc w:val="center"/>
        <w:rPr>
          <w:rFonts w:ascii="华文中宋" w:eastAsia="华文中宋" w:hAnsi="华文中宋" w:cs="宋体"/>
          <w:b/>
          <w:kern w:val="0"/>
          <w:sz w:val="52"/>
          <w:szCs w:val="52"/>
        </w:rPr>
      </w:pPr>
    </w:p>
    <w:p w:rsidR="004B1F27" w:rsidRDefault="004B1F27">
      <w:pPr>
        <w:spacing w:line="540" w:lineRule="exact"/>
        <w:jc w:val="center"/>
        <w:rPr>
          <w:rFonts w:ascii="华文中宋" w:eastAsia="华文中宋" w:hAnsi="华文中宋" w:cs="宋体"/>
          <w:b/>
          <w:kern w:val="0"/>
          <w:sz w:val="52"/>
          <w:szCs w:val="52"/>
        </w:rPr>
      </w:pPr>
    </w:p>
    <w:p w:rsidR="004B1F27" w:rsidRDefault="004655AA">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玛纳斯县财政项目支出绩效自评报告</w:t>
      </w:r>
    </w:p>
    <w:p w:rsidR="004B1F27" w:rsidRDefault="004B1F27">
      <w:pPr>
        <w:spacing w:line="540" w:lineRule="exact"/>
        <w:jc w:val="center"/>
        <w:rPr>
          <w:rFonts w:ascii="华文中宋" w:eastAsia="华文中宋" w:hAnsi="华文中宋" w:cs="宋体"/>
          <w:b/>
          <w:kern w:val="0"/>
          <w:sz w:val="52"/>
          <w:szCs w:val="52"/>
        </w:rPr>
      </w:pPr>
    </w:p>
    <w:p w:rsidR="004B1F27" w:rsidRDefault="004655AA">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4B1F27" w:rsidRDefault="004B1F27">
      <w:pPr>
        <w:spacing w:line="540" w:lineRule="exact"/>
        <w:jc w:val="center"/>
        <w:rPr>
          <w:rFonts w:eastAsia="仿宋_GB2312" w:hAnsi="宋体" w:cs="宋体"/>
          <w:kern w:val="0"/>
          <w:sz w:val="30"/>
          <w:szCs w:val="30"/>
        </w:rPr>
      </w:pPr>
    </w:p>
    <w:p w:rsidR="004B1F27" w:rsidRDefault="004B1F27">
      <w:pPr>
        <w:spacing w:line="540" w:lineRule="exact"/>
        <w:rPr>
          <w:rFonts w:eastAsia="仿宋_GB2312" w:hAnsi="宋体" w:cs="宋体"/>
          <w:kern w:val="0"/>
          <w:sz w:val="30"/>
          <w:szCs w:val="30"/>
        </w:rPr>
      </w:pPr>
    </w:p>
    <w:p w:rsidR="004B1F27" w:rsidRDefault="004B1F27">
      <w:pPr>
        <w:spacing w:line="540" w:lineRule="exact"/>
        <w:jc w:val="center"/>
        <w:rPr>
          <w:rFonts w:eastAsia="仿宋_GB2312" w:hAnsi="宋体" w:cs="宋体"/>
          <w:kern w:val="0"/>
          <w:sz w:val="30"/>
          <w:szCs w:val="30"/>
        </w:rPr>
      </w:pPr>
    </w:p>
    <w:p w:rsidR="004B1F27" w:rsidRDefault="004B1F27">
      <w:pPr>
        <w:spacing w:line="540" w:lineRule="exact"/>
        <w:jc w:val="center"/>
        <w:rPr>
          <w:rFonts w:eastAsia="仿宋_GB2312" w:hAnsi="宋体" w:cs="宋体"/>
          <w:kern w:val="0"/>
          <w:sz w:val="30"/>
          <w:szCs w:val="30"/>
        </w:rPr>
      </w:pPr>
    </w:p>
    <w:p w:rsidR="004B1F27" w:rsidRDefault="004B1F27">
      <w:pPr>
        <w:spacing w:line="540" w:lineRule="exact"/>
        <w:jc w:val="center"/>
        <w:rPr>
          <w:rFonts w:eastAsia="仿宋_GB2312" w:hAnsi="宋体" w:cs="宋体"/>
          <w:kern w:val="0"/>
          <w:sz w:val="30"/>
          <w:szCs w:val="30"/>
        </w:rPr>
      </w:pPr>
    </w:p>
    <w:p w:rsidR="004B1F27" w:rsidRDefault="004B1F27">
      <w:pPr>
        <w:spacing w:line="540" w:lineRule="exact"/>
        <w:jc w:val="center"/>
        <w:rPr>
          <w:rFonts w:eastAsia="仿宋_GB2312" w:hAnsi="宋体" w:cs="宋体"/>
          <w:kern w:val="0"/>
          <w:sz w:val="30"/>
          <w:szCs w:val="30"/>
        </w:rPr>
      </w:pPr>
    </w:p>
    <w:p w:rsidR="004B1F27" w:rsidRDefault="004B1F27">
      <w:pPr>
        <w:spacing w:line="540" w:lineRule="exact"/>
        <w:jc w:val="center"/>
        <w:rPr>
          <w:rFonts w:eastAsia="仿宋_GB2312" w:hAnsi="宋体" w:cs="宋体"/>
          <w:kern w:val="0"/>
          <w:sz w:val="30"/>
          <w:szCs w:val="30"/>
        </w:rPr>
      </w:pPr>
    </w:p>
    <w:p w:rsidR="004B1F27" w:rsidRDefault="004B1F27">
      <w:pPr>
        <w:spacing w:line="540" w:lineRule="exact"/>
        <w:rPr>
          <w:rFonts w:eastAsia="仿宋_GB2312" w:hAnsi="宋体" w:cs="宋体"/>
          <w:kern w:val="0"/>
          <w:sz w:val="30"/>
          <w:szCs w:val="30"/>
        </w:rPr>
      </w:pPr>
    </w:p>
    <w:p w:rsidR="004B1F27" w:rsidRDefault="004655AA">
      <w:pPr>
        <w:spacing w:line="700" w:lineRule="exact"/>
        <w:jc w:val="left"/>
        <w:rPr>
          <w:rFonts w:eastAsia="仿宋_GB2312" w:hAnsi="宋体" w:cs="宋体"/>
          <w:kern w:val="0"/>
          <w:sz w:val="36"/>
          <w:szCs w:val="36"/>
        </w:rPr>
      </w:pPr>
      <w:r>
        <w:rPr>
          <w:rFonts w:eastAsia="仿宋_GB2312" w:hAnsi="宋体" w:cs="宋体" w:hint="eastAsia"/>
          <w:kern w:val="0"/>
          <w:sz w:val="36"/>
          <w:szCs w:val="36"/>
        </w:rPr>
        <w:t>项目名称：</w:t>
      </w:r>
      <w:r>
        <w:rPr>
          <w:rFonts w:ascii="仿宋_GB2312" w:eastAsia="仿宋_GB2312" w:hAnsi="仿宋_GB2312" w:cs="仿宋_GB2312" w:hint="eastAsia"/>
          <w:kern w:val="0"/>
          <w:sz w:val="36"/>
          <w:szCs w:val="36"/>
          <w:lang w:val="zh-TW" w:eastAsia="zh-TW"/>
        </w:rPr>
        <w:t>中央政法</w:t>
      </w:r>
      <w:r>
        <w:rPr>
          <w:rFonts w:ascii="仿宋_GB2312" w:eastAsia="仿宋_GB2312" w:hAnsi="仿宋_GB2312" w:cs="仿宋_GB2312" w:hint="eastAsia"/>
          <w:kern w:val="0"/>
          <w:sz w:val="36"/>
          <w:szCs w:val="36"/>
          <w:lang w:val="zh-TW"/>
        </w:rPr>
        <w:t>转移办案（业务</w:t>
      </w:r>
      <w:r>
        <w:rPr>
          <w:rFonts w:ascii="仿宋_GB2312" w:eastAsia="仿宋_GB2312" w:hAnsi="仿宋_GB2312" w:cs="仿宋_GB2312"/>
          <w:kern w:val="0"/>
          <w:sz w:val="36"/>
          <w:szCs w:val="36"/>
          <w:lang w:val="zh-TW"/>
        </w:rPr>
        <w:t>）</w:t>
      </w:r>
      <w:r>
        <w:rPr>
          <w:rFonts w:ascii="仿宋_GB2312" w:eastAsia="仿宋_GB2312" w:hAnsi="仿宋_GB2312" w:cs="仿宋_GB2312" w:hint="eastAsia"/>
          <w:kern w:val="0"/>
          <w:sz w:val="36"/>
          <w:szCs w:val="36"/>
          <w:lang w:val="zh-TW"/>
        </w:rPr>
        <w:t>经费及（业务）装备</w:t>
      </w:r>
      <w:r>
        <w:rPr>
          <w:rFonts w:ascii="仿宋_GB2312" w:eastAsia="仿宋_GB2312" w:hAnsi="仿宋_GB2312" w:cs="仿宋_GB2312" w:hint="eastAsia"/>
          <w:kern w:val="0"/>
          <w:sz w:val="36"/>
          <w:szCs w:val="36"/>
          <w:lang w:val="zh-TW" w:eastAsia="zh-TW"/>
        </w:rPr>
        <w:t>经费</w:t>
      </w:r>
    </w:p>
    <w:p w:rsidR="004B1F27" w:rsidRDefault="004655AA">
      <w:pPr>
        <w:spacing w:line="700" w:lineRule="exact"/>
        <w:jc w:val="left"/>
        <w:rPr>
          <w:rFonts w:eastAsia="仿宋_GB2312" w:hAnsi="宋体" w:cs="宋体"/>
          <w:kern w:val="0"/>
          <w:sz w:val="36"/>
          <w:szCs w:val="36"/>
        </w:rPr>
      </w:pPr>
      <w:r>
        <w:rPr>
          <w:rFonts w:eastAsia="仿宋_GB2312" w:hAnsi="宋体" w:cs="宋体" w:hint="eastAsia"/>
          <w:kern w:val="0"/>
          <w:sz w:val="36"/>
          <w:szCs w:val="36"/>
        </w:rPr>
        <w:t>实施单位（公章）：玛纳斯县人民法院</w:t>
      </w:r>
    </w:p>
    <w:p w:rsidR="004B1F27" w:rsidRDefault="004655A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p>
    <w:p w:rsidR="004B1F27" w:rsidRDefault="004655A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p>
    <w:p w:rsidR="004B1F27" w:rsidRDefault="004655AA">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20</w:t>
      </w:r>
      <w:r>
        <w:rPr>
          <w:rFonts w:eastAsia="仿宋_GB2312" w:hAnsi="宋体" w:cs="宋体" w:hint="eastAsia"/>
          <w:kern w:val="0"/>
          <w:sz w:val="36"/>
          <w:szCs w:val="36"/>
        </w:rPr>
        <w:t>日</w:t>
      </w:r>
    </w:p>
    <w:p w:rsidR="004B1F27" w:rsidRDefault="004B1F27">
      <w:pPr>
        <w:spacing w:line="540" w:lineRule="exact"/>
        <w:jc w:val="center"/>
        <w:rPr>
          <w:rFonts w:eastAsia="仿宋_GB2312" w:hAnsi="宋体" w:cs="宋体"/>
          <w:kern w:val="0"/>
          <w:sz w:val="30"/>
          <w:szCs w:val="30"/>
        </w:rPr>
      </w:pPr>
    </w:p>
    <w:p w:rsidR="004B1F27" w:rsidRDefault="004655AA">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一、项目概况</w:t>
      </w:r>
    </w:p>
    <w:p w:rsidR="004B1F27" w:rsidRDefault="004655AA">
      <w:pPr>
        <w:spacing w:line="540" w:lineRule="exact"/>
        <w:ind w:firstLine="567"/>
        <w:rPr>
          <w:rStyle w:val="ae"/>
          <w:rFonts w:ascii="楷体" w:eastAsia="楷体" w:hAnsi="楷体"/>
          <w:spacing w:val="-4"/>
          <w:sz w:val="32"/>
          <w:szCs w:val="32"/>
        </w:rPr>
      </w:pPr>
      <w:r>
        <w:rPr>
          <w:rStyle w:val="ae"/>
          <w:rFonts w:ascii="楷体" w:eastAsia="楷体" w:hAnsi="楷体" w:hint="eastAsia"/>
          <w:spacing w:val="-4"/>
          <w:sz w:val="32"/>
          <w:szCs w:val="32"/>
        </w:rPr>
        <w:t>（一）项目单位基本情况</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、主要职能：</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）、受理单位和个人的报案、控告、申诉、举报以及犯罪嫌疑人的自首；。</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）、依法对刑事诉讼、民事审判和行政诉讼实行法律监督工作；</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）、依法对执行机关执行罪罚的活动是否合法实行监督；</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4</w:t>
      </w:r>
      <w:r>
        <w:rPr>
          <w:rStyle w:val="ae"/>
          <w:rFonts w:ascii="仿宋" w:eastAsia="仿宋" w:hAnsi="仿宋" w:hint="eastAsia"/>
          <w:b w:val="0"/>
          <w:spacing w:val="-4"/>
          <w:sz w:val="32"/>
          <w:szCs w:val="32"/>
        </w:rPr>
        <w:t>）、对法院已经发生法律效力、确有错误的判决和裁定，依法提请抗诉。</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、机构情况：</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从决算单位构成看，检察院决算是部门本级决算，无下属单位。检察院内设</w:t>
      </w:r>
      <w:r>
        <w:rPr>
          <w:rStyle w:val="ae"/>
          <w:rFonts w:ascii="仿宋" w:eastAsia="仿宋" w:hAnsi="仿宋" w:hint="eastAsia"/>
          <w:b w:val="0"/>
          <w:spacing w:val="-4"/>
          <w:sz w:val="32"/>
          <w:szCs w:val="32"/>
        </w:rPr>
        <w:t>11</w:t>
      </w:r>
      <w:r>
        <w:rPr>
          <w:rStyle w:val="ae"/>
          <w:rFonts w:ascii="仿宋" w:eastAsia="仿宋" w:hAnsi="仿宋" w:hint="eastAsia"/>
          <w:b w:val="0"/>
          <w:spacing w:val="-4"/>
          <w:sz w:val="32"/>
          <w:szCs w:val="32"/>
        </w:rPr>
        <w:t>个局科室，包括：检务保障科、政工科、公诉科、侦查监督科、纪检督查室、案管办、控告申诉科、民行科、研究室、监所科、法警队。</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、人员及车辆情况：</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玛纳斯县人民检察院政法编制</w:t>
      </w:r>
      <w:r>
        <w:rPr>
          <w:rStyle w:val="ae"/>
          <w:rFonts w:ascii="仿宋" w:eastAsia="仿宋" w:hAnsi="仿宋" w:hint="eastAsia"/>
          <w:b w:val="0"/>
          <w:spacing w:val="-4"/>
          <w:sz w:val="32"/>
          <w:szCs w:val="32"/>
        </w:rPr>
        <w:t>37</w:t>
      </w:r>
      <w:r>
        <w:rPr>
          <w:rStyle w:val="ae"/>
          <w:rFonts w:ascii="仿宋" w:eastAsia="仿宋" w:hAnsi="仿宋" w:hint="eastAsia"/>
          <w:b w:val="0"/>
          <w:spacing w:val="-4"/>
          <w:sz w:val="32"/>
          <w:szCs w:val="32"/>
        </w:rPr>
        <w:t>名，其中：行政政法编制</w:t>
      </w:r>
      <w:r>
        <w:rPr>
          <w:rStyle w:val="ae"/>
          <w:rFonts w:ascii="仿宋" w:eastAsia="仿宋" w:hAnsi="仿宋" w:hint="eastAsia"/>
          <w:b w:val="0"/>
          <w:spacing w:val="-4"/>
          <w:sz w:val="32"/>
          <w:szCs w:val="32"/>
        </w:rPr>
        <w:t>35</w:t>
      </w:r>
      <w:r>
        <w:rPr>
          <w:rStyle w:val="ae"/>
          <w:rFonts w:ascii="仿宋" w:eastAsia="仿宋" w:hAnsi="仿宋" w:hint="eastAsia"/>
          <w:b w:val="0"/>
          <w:spacing w:val="-4"/>
          <w:sz w:val="32"/>
          <w:szCs w:val="32"/>
        </w:rPr>
        <w:t>个，工勤编制</w:t>
      </w: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个。</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年末实有在职干警</w:t>
      </w:r>
      <w:r>
        <w:rPr>
          <w:rStyle w:val="ae"/>
          <w:rFonts w:ascii="仿宋" w:eastAsia="仿宋" w:hAnsi="仿宋" w:hint="eastAsia"/>
          <w:b w:val="0"/>
          <w:spacing w:val="-4"/>
          <w:sz w:val="32"/>
          <w:szCs w:val="32"/>
        </w:rPr>
        <w:t>40</w:t>
      </w:r>
      <w:r>
        <w:rPr>
          <w:rStyle w:val="ae"/>
          <w:rFonts w:ascii="仿宋" w:eastAsia="仿宋" w:hAnsi="仿宋" w:hint="eastAsia"/>
          <w:b w:val="0"/>
          <w:spacing w:val="-4"/>
          <w:sz w:val="32"/>
          <w:szCs w:val="32"/>
        </w:rPr>
        <w:t>名（其中：行政在职人员</w:t>
      </w:r>
      <w:r>
        <w:rPr>
          <w:rStyle w:val="ae"/>
          <w:rFonts w:ascii="仿宋" w:eastAsia="仿宋" w:hAnsi="仿宋" w:hint="eastAsia"/>
          <w:b w:val="0"/>
          <w:spacing w:val="-4"/>
          <w:sz w:val="32"/>
          <w:szCs w:val="32"/>
        </w:rPr>
        <w:t>37</w:t>
      </w:r>
      <w:r>
        <w:rPr>
          <w:rStyle w:val="ae"/>
          <w:rFonts w:ascii="仿宋" w:eastAsia="仿宋" w:hAnsi="仿宋" w:hint="eastAsia"/>
          <w:b w:val="0"/>
          <w:spacing w:val="-4"/>
          <w:sz w:val="32"/>
          <w:szCs w:val="32"/>
        </w:rPr>
        <w:t>人，工勤人员</w:t>
      </w: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人），临时聘用人员</w:t>
      </w:r>
      <w:r>
        <w:rPr>
          <w:rStyle w:val="ae"/>
          <w:rFonts w:ascii="仿宋" w:eastAsia="仿宋" w:hAnsi="仿宋" w:hint="eastAsia"/>
          <w:b w:val="0"/>
          <w:spacing w:val="-4"/>
          <w:sz w:val="32"/>
          <w:szCs w:val="32"/>
        </w:rPr>
        <w:t>12</w:t>
      </w:r>
      <w:r>
        <w:rPr>
          <w:rStyle w:val="ae"/>
          <w:rFonts w:ascii="仿宋" w:eastAsia="仿宋" w:hAnsi="仿宋" w:hint="eastAsia"/>
          <w:b w:val="0"/>
          <w:spacing w:val="-4"/>
          <w:sz w:val="32"/>
          <w:szCs w:val="32"/>
        </w:rPr>
        <w:t>人。实有车辆编制</w:t>
      </w:r>
      <w:r>
        <w:rPr>
          <w:rStyle w:val="ae"/>
          <w:rFonts w:ascii="仿宋" w:eastAsia="仿宋" w:hAnsi="仿宋" w:hint="eastAsia"/>
          <w:b w:val="0"/>
          <w:spacing w:val="-4"/>
          <w:sz w:val="32"/>
          <w:szCs w:val="32"/>
        </w:rPr>
        <w:t>11</w:t>
      </w:r>
      <w:r>
        <w:rPr>
          <w:rStyle w:val="ae"/>
          <w:rFonts w:ascii="仿宋" w:eastAsia="仿宋" w:hAnsi="仿宋" w:hint="eastAsia"/>
          <w:b w:val="0"/>
          <w:spacing w:val="-4"/>
          <w:sz w:val="32"/>
          <w:szCs w:val="32"/>
        </w:rPr>
        <w:t>个，在编实有车辆</w:t>
      </w:r>
      <w:r>
        <w:rPr>
          <w:rStyle w:val="ae"/>
          <w:rFonts w:ascii="仿宋" w:eastAsia="仿宋" w:hAnsi="仿宋" w:hint="eastAsia"/>
          <w:b w:val="0"/>
          <w:spacing w:val="-4"/>
          <w:sz w:val="32"/>
          <w:szCs w:val="32"/>
        </w:rPr>
        <w:t>9</w:t>
      </w:r>
      <w:r>
        <w:rPr>
          <w:rStyle w:val="ae"/>
          <w:rFonts w:ascii="仿宋" w:eastAsia="仿宋" w:hAnsi="仿宋" w:hint="eastAsia"/>
          <w:b w:val="0"/>
          <w:spacing w:val="-4"/>
          <w:sz w:val="32"/>
          <w:szCs w:val="32"/>
        </w:rPr>
        <w:t>辆。</w:t>
      </w:r>
    </w:p>
    <w:p w:rsidR="004B1F27" w:rsidRDefault="004655AA">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w:t>
      </w:r>
      <w:r>
        <w:rPr>
          <w:rStyle w:val="ae"/>
          <w:rFonts w:ascii="楷体" w:eastAsia="楷体" w:hAnsi="楷体" w:hint="eastAsia"/>
          <w:spacing w:val="-4"/>
          <w:sz w:val="32"/>
          <w:szCs w:val="32"/>
        </w:rPr>
        <w:t>项目预算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rsidR="004B1F27" w:rsidRDefault="004655AA">
      <w:pPr>
        <w:adjustRightInd w:val="0"/>
        <w:snapToGrid w:val="0"/>
        <w:spacing w:line="54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1</w:t>
      </w:r>
      <w:r>
        <w:rPr>
          <w:rFonts w:ascii="仿宋" w:eastAsia="仿宋" w:hAnsi="仿宋" w:hint="eastAsia"/>
          <w:b/>
          <w:bCs/>
          <w:spacing w:val="-4"/>
          <w:sz w:val="32"/>
          <w:szCs w:val="32"/>
        </w:rPr>
        <w:t>、项目预期目标及阶段性目标</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我院业务办案经费的项目起止时间为</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w:t>
      </w: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月</w:t>
      </w: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日—</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w:t>
      </w:r>
      <w:r>
        <w:rPr>
          <w:rStyle w:val="ae"/>
          <w:rFonts w:ascii="仿宋" w:eastAsia="仿宋" w:hAnsi="仿宋" w:hint="eastAsia"/>
          <w:b w:val="0"/>
          <w:spacing w:val="-4"/>
          <w:sz w:val="32"/>
          <w:szCs w:val="32"/>
        </w:rPr>
        <w:t>12</w:t>
      </w:r>
      <w:r>
        <w:rPr>
          <w:rStyle w:val="ae"/>
          <w:rFonts w:ascii="仿宋" w:eastAsia="仿宋" w:hAnsi="仿宋" w:hint="eastAsia"/>
          <w:b w:val="0"/>
          <w:spacing w:val="-4"/>
          <w:sz w:val="32"/>
          <w:szCs w:val="32"/>
        </w:rPr>
        <w:t>月</w:t>
      </w:r>
      <w:r>
        <w:rPr>
          <w:rStyle w:val="ae"/>
          <w:rFonts w:ascii="仿宋" w:eastAsia="仿宋" w:hAnsi="仿宋" w:hint="eastAsia"/>
          <w:b w:val="0"/>
          <w:spacing w:val="-4"/>
          <w:sz w:val="32"/>
          <w:szCs w:val="32"/>
        </w:rPr>
        <w:t>31</w:t>
      </w:r>
      <w:r>
        <w:rPr>
          <w:rStyle w:val="ae"/>
          <w:rFonts w:ascii="仿宋" w:eastAsia="仿宋" w:hAnsi="仿宋" w:hint="eastAsia"/>
          <w:b w:val="0"/>
          <w:spacing w:val="-4"/>
          <w:sz w:val="32"/>
          <w:szCs w:val="32"/>
        </w:rPr>
        <w:t>日；项目具体实施单位为玛纳斯县人民检察院；项目内容为业务办案经费及装备经费。</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lastRenderedPageBreak/>
        <w:t>依法对职务犯罪进行侦查，对刑事案件审查批准逮捕、决定逮捕、提起公诉，依法对刑事诉讼、民事审判和行政诉讼实行监督，依法对执行机关执行刑罚的活动是否合法实行监督，服务全县中心工作，维护全县经济运行的良好环境。</w:t>
      </w:r>
    </w:p>
    <w:p w:rsidR="004B1F27" w:rsidRDefault="004655AA">
      <w:pPr>
        <w:adjustRightInd w:val="0"/>
        <w:snapToGrid w:val="0"/>
        <w:spacing w:line="54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2</w:t>
      </w:r>
      <w:r>
        <w:rPr>
          <w:rFonts w:ascii="仿宋" w:eastAsia="仿宋" w:hAnsi="仿宋" w:hint="eastAsia"/>
          <w:b/>
          <w:bCs/>
          <w:spacing w:val="-4"/>
          <w:sz w:val="32"/>
          <w:szCs w:val="32"/>
        </w:rPr>
        <w:t>、项目基本性质</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我院项目资金来源为中央及自治区转移支付专项经费和县级配套资金，经费支出范围为院内开</w:t>
      </w:r>
      <w:r>
        <w:rPr>
          <w:rStyle w:val="ae"/>
          <w:rFonts w:ascii="仿宋" w:eastAsia="仿宋" w:hAnsi="仿宋" w:hint="eastAsia"/>
          <w:b w:val="0"/>
          <w:spacing w:val="-4"/>
          <w:sz w:val="32"/>
          <w:szCs w:val="32"/>
        </w:rPr>
        <w:t>展办案业务及相关工作，为持续性、常年性项目。</w:t>
      </w:r>
    </w:p>
    <w:p w:rsidR="004B1F27" w:rsidRDefault="004655AA">
      <w:pPr>
        <w:adjustRightInd w:val="0"/>
        <w:snapToGrid w:val="0"/>
        <w:spacing w:line="540" w:lineRule="exact"/>
        <w:ind w:firstLineChars="200" w:firstLine="627"/>
        <w:rPr>
          <w:rFonts w:ascii="仿宋" w:eastAsia="仿宋" w:hAnsi="仿宋"/>
          <w:b/>
          <w:bCs/>
          <w:spacing w:val="-4"/>
          <w:sz w:val="32"/>
          <w:szCs w:val="32"/>
        </w:rPr>
      </w:pPr>
      <w:r>
        <w:rPr>
          <w:rFonts w:ascii="仿宋" w:eastAsia="仿宋" w:hAnsi="仿宋" w:hint="eastAsia"/>
          <w:b/>
          <w:bCs/>
          <w:spacing w:val="-4"/>
          <w:sz w:val="32"/>
          <w:szCs w:val="32"/>
        </w:rPr>
        <w:t>3</w:t>
      </w:r>
      <w:r>
        <w:rPr>
          <w:rFonts w:ascii="仿宋" w:eastAsia="仿宋" w:hAnsi="仿宋" w:hint="eastAsia"/>
          <w:b/>
          <w:bCs/>
          <w:spacing w:val="-4"/>
          <w:sz w:val="32"/>
          <w:szCs w:val="32"/>
        </w:rPr>
        <w:t>、项目用途及范围</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人民检察院办案业务经费项目用途主要用于办公费、差旅费、维修维护费、邮寄费、劳务费、被装购置费、其他交通费、培训费、印刷费、咨询费、其他车辆运行维护费等支出；装备经费项目用途主要用于办公设备购置费、专用设备购置费、大型修缮费、信息网络及软件购置更新费等。</w:t>
      </w:r>
    </w:p>
    <w:p w:rsidR="004B1F27" w:rsidRDefault="004655AA">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二、项目资金使用及管理情况</w:t>
      </w:r>
    </w:p>
    <w:p w:rsidR="004B1F27" w:rsidRDefault="004655AA">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（一）项目资金安排落实、总投入等情况分析</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玛纳斯县人民检察院项目</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w:t>
      </w:r>
      <w:r>
        <w:rPr>
          <w:rStyle w:val="ae"/>
          <w:rFonts w:ascii="仿宋" w:eastAsia="仿宋" w:hAnsi="仿宋" w:hint="eastAsia"/>
          <w:b w:val="0"/>
          <w:spacing w:val="-4"/>
          <w:sz w:val="32"/>
          <w:szCs w:val="32"/>
        </w:rPr>
        <w:t>安排总金额为</w:t>
      </w:r>
      <w:r>
        <w:rPr>
          <w:rStyle w:val="ae"/>
          <w:rFonts w:ascii="仿宋" w:eastAsia="仿宋" w:hAnsi="仿宋" w:hint="eastAsia"/>
          <w:b w:val="0"/>
          <w:spacing w:val="-4"/>
          <w:sz w:val="32"/>
          <w:szCs w:val="32"/>
        </w:rPr>
        <w:t>159</w:t>
      </w:r>
      <w:r>
        <w:rPr>
          <w:rStyle w:val="ae"/>
          <w:rFonts w:ascii="仿宋" w:eastAsia="仿宋" w:hAnsi="仿宋" w:hint="eastAsia"/>
          <w:b w:val="0"/>
          <w:spacing w:val="-4"/>
          <w:sz w:val="32"/>
          <w:szCs w:val="32"/>
        </w:rPr>
        <w:t>元。</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办案业务经费项目安排</w:t>
      </w:r>
      <w:r>
        <w:rPr>
          <w:rStyle w:val="ae"/>
          <w:rFonts w:ascii="仿宋" w:eastAsia="仿宋" w:hAnsi="仿宋" w:hint="eastAsia"/>
          <w:b w:val="0"/>
          <w:spacing w:val="-4"/>
          <w:sz w:val="32"/>
          <w:szCs w:val="32"/>
        </w:rPr>
        <w:t>113</w:t>
      </w:r>
      <w:r>
        <w:rPr>
          <w:rStyle w:val="ae"/>
          <w:rFonts w:ascii="仿宋" w:eastAsia="仿宋" w:hAnsi="仿宋" w:hint="eastAsia"/>
          <w:b w:val="0"/>
          <w:spacing w:val="-4"/>
          <w:sz w:val="32"/>
          <w:szCs w:val="32"/>
        </w:rPr>
        <w:t>万元，其中：财政资金</w:t>
      </w:r>
      <w:r>
        <w:rPr>
          <w:rStyle w:val="ae"/>
          <w:rFonts w:ascii="仿宋" w:eastAsia="仿宋" w:hAnsi="仿宋" w:hint="eastAsia"/>
          <w:b w:val="0"/>
          <w:spacing w:val="-4"/>
          <w:sz w:val="32"/>
          <w:szCs w:val="32"/>
        </w:rPr>
        <w:t>:113</w:t>
      </w:r>
      <w:r>
        <w:rPr>
          <w:rStyle w:val="ae"/>
          <w:rFonts w:ascii="仿宋" w:eastAsia="仿宋" w:hAnsi="仿宋" w:hint="eastAsia"/>
          <w:b w:val="0"/>
          <w:spacing w:val="-4"/>
          <w:sz w:val="32"/>
          <w:szCs w:val="32"/>
        </w:rPr>
        <w:t>万元，</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年实际收到办案经费</w:t>
      </w:r>
      <w:r>
        <w:rPr>
          <w:rStyle w:val="ae"/>
          <w:rFonts w:ascii="仿宋" w:eastAsia="仿宋" w:hAnsi="仿宋" w:hint="eastAsia"/>
          <w:b w:val="0"/>
          <w:spacing w:val="-4"/>
          <w:sz w:val="32"/>
          <w:szCs w:val="32"/>
        </w:rPr>
        <w:t>113</w:t>
      </w:r>
      <w:r>
        <w:rPr>
          <w:rStyle w:val="ae"/>
          <w:rFonts w:ascii="仿宋" w:eastAsia="仿宋" w:hAnsi="仿宋" w:hint="eastAsia"/>
          <w:b w:val="0"/>
          <w:spacing w:val="-4"/>
          <w:sz w:val="32"/>
          <w:szCs w:val="32"/>
        </w:rPr>
        <w:t>万元；装备经费项目安排</w:t>
      </w:r>
      <w:r>
        <w:rPr>
          <w:rStyle w:val="ae"/>
          <w:rFonts w:ascii="仿宋" w:eastAsia="仿宋" w:hAnsi="仿宋" w:hint="eastAsia"/>
          <w:b w:val="0"/>
          <w:spacing w:val="-4"/>
          <w:sz w:val="32"/>
          <w:szCs w:val="32"/>
        </w:rPr>
        <w:t>46</w:t>
      </w:r>
      <w:r>
        <w:rPr>
          <w:rStyle w:val="ae"/>
          <w:rFonts w:ascii="仿宋" w:eastAsia="仿宋" w:hAnsi="仿宋" w:hint="eastAsia"/>
          <w:b w:val="0"/>
          <w:spacing w:val="-4"/>
          <w:sz w:val="32"/>
          <w:szCs w:val="32"/>
        </w:rPr>
        <w:t>万元，其中：财政资金</w:t>
      </w:r>
      <w:r>
        <w:rPr>
          <w:rStyle w:val="ae"/>
          <w:rFonts w:ascii="仿宋" w:eastAsia="仿宋" w:hAnsi="仿宋" w:hint="eastAsia"/>
          <w:b w:val="0"/>
          <w:spacing w:val="-4"/>
          <w:sz w:val="32"/>
          <w:szCs w:val="32"/>
        </w:rPr>
        <w:t>:46</w:t>
      </w:r>
      <w:r>
        <w:rPr>
          <w:rStyle w:val="ae"/>
          <w:rFonts w:ascii="仿宋" w:eastAsia="仿宋" w:hAnsi="仿宋" w:hint="eastAsia"/>
          <w:b w:val="0"/>
          <w:spacing w:val="-4"/>
          <w:sz w:val="32"/>
          <w:szCs w:val="32"/>
        </w:rPr>
        <w:t>万元，</w:t>
      </w:r>
      <w:r>
        <w:rPr>
          <w:rStyle w:val="ae"/>
          <w:rFonts w:ascii="仿宋" w:eastAsia="仿宋" w:hAnsi="仿宋" w:hint="eastAsia"/>
          <w:b w:val="0"/>
          <w:spacing w:val="-4"/>
          <w:sz w:val="32"/>
          <w:szCs w:val="32"/>
        </w:rPr>
        <w:t>201</w:t>
      </w:r>
      <w:r>
        <w:rPr>
          <w:rStyle w:val="ae"/>
          <w:rFonts w:ascii="仿宋" w:eastAsia="仿宋" w:hAnsi="仿宋" w:hint="eastAsia"/>
          <w:b w:val="0"/>
          <w:spacing w:val="-4"/>
          <w:sz w:val="32"/>
          <w:szCs w:val="32"/>
        </w:rPr>
        <w:t>8</w:t>
      </w:r>
      <w:r>
        <w:rPr>
          <w:rStyle w:val="ae"/>
          <w:rFonts w:ascii="仿宋" w:eastAsia="仿宋" w:hAnsi="仿宋" w:hint="eastAsia"/>
          <w:b w:val="0"/>
          <w:spacing w:val="-4"/>
          <w:sz w:val="32"/>
          <w:szCs w:val="32"/>
        </w:rPr>
        <w:t>年实际收到装备经费</w:t>
      </w:r>
      <w:r>
        <w:rPr>
          <w:rStyle w:val="ae"/>
          <w:rFonts w:ascii="仿宋" w:eastAsia="仿宋" w:hAnsi="仿宋" w:hint="eastAsia"/>
          <w:b w:val="0"/>
          <w:spacing w:val="-4"/>
          <w:sz w:val="32"/>
          <w:szCs w:val="32"/>
        </w:rPr>
        <w:t>46</w:t>
      </w:r>
      <w:r>
        <w:rPr>
          <w:rStyle w:val="ae"/>
          <w:rFonts w:ascii="仿宋" w:eastAsia="仿宋" w:hAnsi="仿宋" w:hint="eastAsia"/>
          <w:b w:val="0"/>
          <w:spacing w:val="-4"/>
          <w:sz w:val="32"/>
          <w:szCs w:val="32"/>
        </w:rPr>
        <w:t>万元。</w:t>
      </w:r>
    </w:p>
    <w:p w:rsidR="004B1F27" w:rsidRDefault="004655AA">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（二）项目资金实际使用情况分析</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本项目实际支付资金</w:t>
      </w:r>
      <w:r>
        <w:rPr>
          <w:rStyle w:val="ae"/>
          <w:rFonts w:ascii="仿宋" w:eastAsia="仿宋" w:hAnsi="仿宋" w:hint="eastAsia"/>
          <w:b w:val="0"/>
          <w:spacing w:val="-4"/>
          <w:sz w:val="32"/>
          <w:szCs w:val="32"/>
        </w:rPr>
        <w:t>219.52</w:t>
      </w:r>
      <w:r>
        <w:rPr>
          <w:rStyle w:val="ae"/>
          <w:rFonts w:ascii="仿宋" w:eastAsia="仿宋" w:hAnsi="仿宋" w:hint="eastAsia"/>
          <w:b w:val="0"/>
          <w:spacing w:val="-4"/>
          <w:sz w:val="32"/>
          <w:szCs w:val="32"/>
        </w:rPr>
        <w:t>万元，预算执行率</w:t>
      </w:r>
      <w:r>
        <w:rPr>
          <w:rStyle w:val="ae"/>
          <w:rFonts w:ascii="仿宋" w:eastAsia="仿宋" w:hAnsi="仿宋" w:hint="eastAsia"/>
          <w:b w:val="0"/>
          <w:spacing w:val="-4"/>
          <w:sz w:val="32"/>
          <w:szCs w:val="32"/>
        </w:rPr>
        <w:t>138%</w:t>
      </w:r>
      <w:r>
        <w:rPr>
          <w:rStyle w:val="ae"/>
          <w:rFonts w:ascii="仿宋" w:eastAsia="仿宋" w:hAnsi="仿宋" w:hint="eastAsia"/>
          <w:b w:val="0"/>
          <w:spacing w:val="-4"/>
          <w:sz w:val="32"/>
          <w:szCs w:val="32"/>
        </w:rPr>
        <w:t>，项目资金主要用于支付办公费</w:t>
      </w:r>
      <w:r>
        <w:rPr>
          <w:rStyle w:val="ae"/>
          <w:rFonts w:ascii="仿宋" w:eastAsia="仿宋" w:hAnsi="仿宋" w:hint="eastAsia"/>
          <w:b w:val="0"/>
          <w:spacing w:val="-4"/>
          <w:sz w:val="32"/>
          <w:szCs w:val="32"/>
        </w:rPr>
        <w:t>20.36</w:t>
      </w:r>
      <w:r>
        <w:rPr>
          <w:rStyle w:val="ae"/>
          <w:rFonts w:ascii="仿宋" w:eastAsia="仿宋" w:hAnsi="仿宋" w:hint="eastAsia"/>
          <w:b w:val="0"/>
          <w:spacing w:val="-4"/>
          <w:sz w:val="32"/>
          <w:szCs w:val="32"/>
        </w:rPr>
        <w:t>万元</w:t>
      </w:r>
      <w:r>
        <w:rPr>
          <w:rStyle w:val="ae"/>
          <w:rFonts w:ascii="仿宋" w:eastAsia="仿宋" w:hAnsi="仿宋" w:hint="eastAsia"/>
          <w:b w:val="0"/>
          <w:spacing w:val="-4"/>
          <w:sz w:val="32"/>
          <w:szCs w:val="32"/>
        </w:rPr>
        <w:t>；手续费</w:t>
      </w:r>
      <w:r>
        <w:rPr>
          <w:rStyle w:val="ae"/>
          <w:rFonts w:ascii="仿宋" w:eastAsia="仿宋" w:hAnsi="仿宋" w:hint="eastAsia"/>
          <w:b w:val="0"/>
          <w:spacing w:val="-4"/>
          <w:sz w:val="32"/>
          <w:szCs w:val="32"/>
        </w:rPr>
        <w:t>0.05</w:t>
      </w:r>
      <w:r>
        <w:rPr>
          <w:rStyle w:val="ae"/>
          <w:rFonts w:ascii="仿宋" w:eastAsia="仿宋" w:hAnsi="仿宋" w:hint="eastAsia"/>
          <w:b w:val="0"/>
          <w:spacing w:val="-4"/>
          <w:sz w:val="32"/>
          <w:szCs w:val="32"/>
        </w:rPr>
        <w:t>万元；印刷费</w:t>
      </w:r>
      <w:r>
        <w:rPr>
          <w:rStyle w:val="ae"/>
          <w:rFonts w:ascii="仿宋" w:eastAsia="仿宋" w:hAnsi="仿宋" w:hint="eastAsia"/>
          <w:b w:val="0"/>
          <w:spacing w:val="-4"/>
          <w:sz w:val="32"/>
          <w:szCs w:val="32"/>
        </w:rPr>
        <w:t>0.48</w:t>
      </w:r>
      <w:r>
        <w:rPr>
          <w:rStyle w:val="ae"/>
          <w:rFonts w:ascii="仿宋" w:eastAsia="仿宋" w:hAnsi="仿宋" w:hint="eastAsia"/>
          <w:b w:val="0"/>
          <w:spacing w:val="-4"/>
          <w:sz w:val="32"/>
          <w:szCs w:val="32"/>
        </w:rPr>
        <w:t>万元；水费</w:t>
      </w:r>
      <w:r>
        <w:rPr>
          <w:rStyle w:val="ae"/>
          <w:rFonts w:ascii="仿宋" w:eastAsia="仿宋" w:hAnsi="仿宋" w:hint="eastAsia"/>
          <w:b w:val="0"/>
          <w:spacing w:val="-4"/>
          <w:sz w:val="32"/>
          <w:szCs w:val="32"/>
        </w:rPr>
        <w:t>2.72</w:t>
      </w:r>
      <w:r>
        <w:rPr>
          <w:rStyle w:val="ae"/>
          <w:rFonts w:ascii="仿宋" w:eastAsia="仿宋" w:hAnsi="仿宋" w:hint="eastAsia"/>
          <w:b w:val="0"/>
          <w:spacing w:val="-4"/>
          <w:sz w:val="32"/>
          <w:szCs w:val="32"/>
        </w:rPr>
        <w:t>万元；电费</w:t>
      </w:r>
      <w:r>
        <w:rPr>
          <w:rStyle w:val="ae"/>
          <w:rFonts w:ascii="仿宋" w:eastAsia="仿宋" w:hAnsi="仿宋" w:hint="eastAsia"/>
          <w:b w:val="0"/>
          <w:spacing w:val="-4"/>
          <w:sz w:val="32"/>
          <w:szCs w:val="32"/>
        </w:rPr>
        <w:t>5.40</w:t>
      </w:r>
      <w:r>
        <w:rPr>
          <w:rStyle w:val="ae"/>
          <w:rFonts w:ascii="仿宋" w:eastAsia="仿宋" w:hAnsi="仿宋" w:hint="eastAsia"/>
          <w:b w:val="0"/>
          <w:spacing w:val="-4"/>
          <w:sz w:val="32"/>
          <w:szCs w:val="32"/>
        </w:rPr>
        <w:t>万元；邮电费</w:t>
      </w:r>
      <w:r>
        <w:rPr>
          <w:rStyle w:val="ae"/>
          <w:rFonts w:ascii="仿宋" w:eastAsia="仿宋" w:hAnsi="仿宋" w:hint="eastAsia"/>
          <w:b w:val="0"/>
          <w:spacing w:val="-4"/>
          <w:sz w:val="32"/>
          <w:szCs w:val="32"/>
        </w:rPr>
        <w:t>6.43</w:t>
      </w:r>
      <w:r>
        <w:rPr>
          <w:rStyle w:val="ae"/>
          <w:rFonts w:ascii="仿宋" w:eastAsia="仿宋" w:hAnsi="仿宋" w:hint="eastAsia"/>
          <w:b w:val="0"/>
          <w:spacing w:val="-4"/>
          <w:sz w:val="32"/>
          <w:szCs w:val="32"/>
        </w:rPr>
        <w:lastRenderedPageBreak/>
        <w:t>万元；取暖费</w:t>
      </w:r>
      <w:r>
        <w:rPr>
          <w:rStyle w:val="ae"/>
          <w:rFonts w:ascii="仿宋" w:eastAsia="仿宋" w:hAnsi="仿宋" w:hint="eastAsia"/>
          <w:b w:val="0"/>
          <w:spacing w:val="-4"/>
          <w:sz w:val="32"/>
          <w:szCs w:val="32"/>
        </w:rPr>
        <w:t>13.90</w:t>
      </w:r>
      <w:r>
        <w:rPr>
          <w:rStyle w:val="ae"/>
          <w:rFonts w:ascii="仿宋" w:eastAsia="仿宋" w:hAnsi="仿宋" w:hint="eastAsia"/>
          <w:b w:val="0"/>
          <w:spacing w:val="-4"/>
          <w:sz w:val="32"/>
          <w:szCs w:val="32"/>
        </w:rPr>
        <w:t>万元；差旅费</w:t>
      </w:r>
      <w:r>
        <w:rPr>
          <w:rStyle w:val="ae"/>
          <w:rFonts w:ascii="仿宋" w:eastAsia="仿宋" w:hAnsi="仿宋" w:hint="eastAsia"/>
          <w:b w:val="0"/>
          <w:spacing w:val="-4"/>
          <w:sz w:val="32"/>
          <w:szCs w:val="32"/>
        </w:rPr>
        <w:t>7.63</w:t>
      </w:r>
      <w:r>
        <w:rPr>
          <w:rStyle w:val="ae"/>
          <w:rFonts w:ascii="仿宋" w:eastAsia="仿宋" w:hAnsi="仿宋" w:hint="eastAsia"/>
          <w:b w:val="0"/>
          <w:spacing w:val="-4"/>
          <w:sz w:val="32"/>
          <w:szCs w:val="32"/>
        </w:rPr>
        <w:t>万元；维修费</w:t>
      </w:r>
      <w:r>
        <w:rPr>
          <w:rStyle w:val="ae"/>
          <w:rFonts w:ascii="仿宋" w:eastAsia="仿宋" w:hAnsi="仿宋" w:hint="eastAsia"/>
          <w:b w:val="0"/>
          <w:spacing w:val="-4"/>
          <w:sz w:val="32"/>
          <w:szCs w:val="32"/>
        </w:rPr>
        <w:t>4.97</w:t>
      </w:r>
      <w:r>
        <w:rPr>
          <w:rStyle w:val="ae"/>
          <w:rFonts w:ascii="仿宋" w:eastAsia="仿宋" w:hAnsi="仿宋" w:hint="eastAsia"/>
          <w:b w:val="0"/>
          <w:spacing w:val="-4"/>
          <w:sz w:val="32"/>
          <w:szCs w:val="32"/>
        </w:rPr>
        <w:t>万元；培训费</w:t>
      </w:r>
      <w:r>
        <w:rPr>
          <w:rStyle w:val="ae"/>
          <w:rFonts w:ascii="仿宋" w:eastAsia="仿宋" w:hAnsi="仿宋" w:hint="eastAsia"/>
          <w:b w:val="0"/>
          <w:spacing w:val="-4"/>
          <w:sz w:val="32"/>
          <w:szCs w:val="32"/>
        </w:rPr>
        <w:t>3.79</w:t>
      </w:r>
      <w:r>
        <w:rPr>
          <w:rStyle w:val="ae"/>
          <w:rFonts w:ascii="仿宋" w:eastAsia="仿宋" w:hAnsi="仿宋" w:hint="eastAsia"/>
          <w:b w:val="0"/>
          <w:spacing w:val="-4"/>
          <w:sz w:val="32"/>
          <w:szCs w:val="32"/>
        </w:rPr>
        <w:t>万元；公车运行费</w:t>
      </w:r>
      <w:r>
        <w:rPr>
          <w:rStyle w:val="ae"/>
          <w:rFonts w:ascii="仿宋" w:eastAsia="仿宋" w:hAnsi="仿宋" w:hint="eastAsia"/>
          <w:b w:val="0"/>
          <w:spacing w:val="-4"/>
          <w:sz w:val="32"/>
          <w:szCs w:val="32"/>
        </w:rPr>
        <w:t>25.08</w:t>
      </w:r>
      <w:r>
        <w:rPr>
          <w:rStyle w:val="ae"/>
          <w:rFonts w:ascii="仿宋" w:eastAsia="仿宋" w:hAnsi="仿宋" w:hint="eastAsia"/>
          <w:b w:val="0"/>
          <w:spacing w:val="-4"/>
          <w:sz w:val="32"/>
          <w:szCs w:val="32"/>
        </w:rPr>
        <w:t>万元；其他交通费费用</w:t>
      </w:r>
      <w:r>
        <w:rPr>
          <w:rStyle w:val="ae"/>
          <w:rFonts w:ascii="仿宋" w:eastAsia="仿宋" w:hAnsi="仿宋" w:hint="eastAsia"/>
          <w:b w:val="0"/>
          <w:spacing w:val="-4"/>
          <w:sz w:val="32"/>
          <w:szCs w:val="32"/>
        </w:rPr>
        <w:t>11</w:t>
      </w:r>
      <w:r>
        <w:rPr>
          <w:rStyle w:val="ae"/>
          <w:rFonts w:ascii="仿宋" w:eastAsia="仿宋" w:hAnsi="仿宋" w:hint="eastAsia"/>
          <w:b w:val="0"/>
          <w:spacing w:val="-4"/>
          <w:sz w:val="32"/>
          <w:szCs w:val="32"/>
        </w:rPr>
        <w:t>万元；专用材料</w:t>
      </w:r>
      <w:r>
        <w:rPr>
          <w:rStyle w:val="ae"/>
          <w:rFonts w:ascii="仿宋" w:eastAsia="仿宋" w:hAnsi="仿宋" w:hint="eastAsia"/>
          <w:b w:val="0"/>
          <w:spacing w:val="-4"/>
          <w:sz w:val="32"/>
          <w:szCs w:val="32"/>
        </w:rPr>
        <w:t>5.36</w:t>
      </w:r>
      <w:r>
        <w:rPr>
          <w:rStyle w:val="ae"/>
          <w:rFonts w:ascii="仿宋" w:eastAsia="仿宋" w:hAnsi="仿宋" w:hint="eastAsia"/>
          <w:b w:val="0"/>
          <w:spacing w:val="-4"/>
          <w:sz w:val="32"/>
          <w:szCs w:val="32"/>
        </w:rPr>
        <w:t>万元；服装款</w:t>
      </w:r>
      <w:r>
        <w:rPr>
          <w:rStyle w:val="ae"/>
          <w:rFonts w:ascii="仿宋" w:eastAsia="仿宋" w:hAnsi="仿宋" w:hint="eastAsia"/>
          <w:b w:val="0"/>
          <w:spacing w:val="-4"/>
          <w:sz w:val="32"/>
          <w:szCs w:val="32"/>
        </w:rPr>
        <w:t>5.83</w:t>
      </w:r>
      <w:r>
        <w:rPr>
          <w:rStyle w:val="ae"/>
          <w:rFonts w:ascii="仿宋" w:eastAsia="仿宋" w:hAnsi="仿宋" w:hint="eastAsia"/>
          <w:b w:val="0"/>
          <w:spacing w:val="-4"/>
          <w:sz w:val="32"/>
          <w:szCs w:val="32"/>
        </w:rPr>
        <w:t>万元。支付办公设备购置</w:t>
      </w:r>
      <w:r>
        <w:rPr>
          <w:rStyle w:val="ae"/>
          <w:rFonts w:ascii="仿宋" w:eastAsia="仿宋" w:hAnsi="仿宋" w:hint="eastAsia"/>
          <w:b w:val="0"/>
          <w:spacing w:val="-4"/>
          <w:sz w:val="32"/>
          <w:szCs w:val="32"/>
        </w:rPr>
        <w:t>13.38</w:t>
      </w:r>
      <w:r>
        <w:rPr>
          <w:rStyle w:val="ae"/>
          <w:rFonts w:ascii="仿宋" w:eastAsia="仿宋" w:hAnsi="仿宋" w:hint="eastAsia"/>
          <w:b w:val="0"/>
          <w:spacing w:val="-4"/>
          <w:sz w:val="32"/>
          <w:szCs w:val="32"/>
        </w:rPr>
        <w:t>万元、支付专用设备购置</w:t>
      </w:r>
      <w:r>
        <w:rPr>
          <w:rStyle w:val="ae"/>
          <w:rFonts w:ascii="仿宋" w:eastAsia="仿宋" w:hAnsi="仿宋" w:hint="eastAsia"/>
          <w:b w:val="0"/>
          <w:spacing w:val="-4"/>
          <w:sz w:val="32"/>
          <w:szCs w:val="32"/>
        </w:rPr>
        <w:t>57.3</w:t>
      </w:r>
      <w:r>
        <w:rPr>
          <w:rStyle w:val="ae"/>
          <w:rFonts w:ascii="仿宋" w:eastAsia="仿宋" w:hAnsi="仿宋" w:hint="eastAsia"/>
          <w:b w:val="0"/>
          <w:spacing w:val="-4"/>
          <w:sz w:val="32"/>
          <w:szCs w:val="32"/>
        </w:rPr>
        <w:t>万元、支付房屋建筑物构建</w:t>
      </w:r>
      <w:r>
        <w:rPr>
          <w:rStyle w:val="ae"/>
          <w:rFonts w:ascii="仿宋" w:eastAsia="仿宋" w:hAnsi="仿宋" w:hint="eastAsia"/>
          <w:b w:val="0"/>
          <w:spacing w:val="-4"/>
          <w:sz w:val="32"/>
          <w:szCs w:val="32"/>
        </w:rPr>
        <w:t>35.84</w:t>
      </w:r>
      <w:r>
        <w:rPr>
          <w:rStyle w:val="ae"/>
          <w:rFonts w:ascii="仿宋" w:eastAsia="仿宋" w:hAnsi="仿宋" w:hint="eastAsia"/>
          <w:b w:val="0"/>
          <w:spacing w:val="-4"/>
          <w:sz w:val="32"/>
          <w:szCs w:val="32"/>
        </w:rPr>
        <w:t>万元，年末财政拨款无结余。</w:t>
      </w:r>
    </w:p>
    <w:p w:rsidR="004B1F27" w:rsidRDefault="004655AA">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（三）项目资金管理情况分析</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本项目支出符合玛纳斯县人民检察院相关财务管理制度，包括会计人员集中核算工作管理制度、财务收支审</w:t>
      </w:r>
      <w:r>
        <w:rPr>
          <w:rStyle w:val="ae"/>
          <w:rFonts w:ascii="仿宋" w:eastAsia="仿宋" w:hAnsi="仿宋" w:hint="eastAsia"/>
          <w:b w:val="0"/>
          <w:spacing w:val="-4"/>
          <w:sz w:val="32"/>
          <w:szCs w:val="32"/>
        </w:rPr>
        <w:t>批制度、财务稽核制度、财务牵制制度、会计主管岗位职责等制度规定，资金的拨付有完整的审批程序和手续，不存在截留、挤占、挪用等情况。</w:t>
      </w:r>
    </w:p>
    <w:p w:rsidR="004B1F27" w:rsidRDefault="004655AA">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三、项目组织实施情况</w:t>
      </w:r>
    </w:p>
    <w:p w:rsidR="004B1F27" w:rsidRDefault="004655AA">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（一）项目组织情况分析</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该项目属于经常性零星项目</w:t>
      </w:r>
      <w:r>
        <w:rPr>
          <w:rStyle w:val="ae"/>
          <w:rFonts w:ascii="仿宋" w:eastAsia="仿宋" w:hAnsi="仿宋" w:hint="eastAsia"/>
          <w:b w:val="0"/>
          <w:spacing w:val="-4"/>
          <w:sz w:val="32"/>
          <w:szCs w:val="32"/>
        </w:rPr>
        <w:t>,</w:t>
      </w:r>
      <w:r>
        <w:rPr>
          <w:rStyle w:val="ae"/>
          <w:rFonts w:ascii="仿宋" w:eastAsia="仿宋" w:hAnsi="仿宋" w:hint="eastAsia"/>
          <w:b w:val="0"/>
          <w:spacing w:val="-4"/>
          <w:sz w:val="32"/>
          <w:szCs w:val="32"/>
        </w:rPr>
        <w:t>没有达到招投标限额</w:t>
      </w:r>
      <w:r>
        <w:rPr>
          <w:rStyle w:val="ae"/>
          <w:rFonts w:ascii="仿宋" w:eastAsia="仿宋" w:hAnsi="仿宋" w:hint="eastAsia"/>
          <w:b w:val="0"/>
          <w:spacing w:val="-4"/>
          <w:sz w:val="32"/>
          <w:szCs w:val="32"/>
        </w:rPr>
        <w:t>,</w:t>
      </w:r>
      <w:r>
        <w:rPr>
          <w:rStyle w:val="ae"/>
          <w:rFonts w:ascii="仿宋" w:eastAsia="仿宋" w:hAnsi="仿宋" w:hint="eastAsia"/>
          <w:b w:val="0"/>
          <w:spacing w:val="-4"/>
          <w:sz w:val="32"/>
          <w:szCs w:val="32"/>
        </w:rPr>
        <w:t>由本单位自行组织实施。实施过程均按照最高人民检察院制定的办案业务经费项目管理制度执行。</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玛纳斯县人民检察院紧紧围绕坚持维护社会平安稳定，积极查办、预防职务犯罪，不断强化诉讼活动监督，主动服务生态文明建设，积极推进机制改革创新，不断加强检察队伍建设等各项工作取得了新的进展。检察院</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年办案经费县级配套</w:t>
      </w:r>
      <w:r>
        <w:rPr>
          <w:rStyle w:val="ae"/>
          <w:rFonts w:ascii="仿宋" w:eastAsia="仿宋" w:hAnsi="仿宋" w:hint="eastAsia"/>
          <w:b w:val="0"/>
          <w:spacing w:val="-4"/>
          <w:sz w:val="32"/>
          <w:szCs w:val="32"/>
        </w:rPr>
        <w:t>83.5</w:t>
      </w:r>
      <w:r>
        <w:rPr>
          <w:rStyle w:val="ae"/>
          <w:rFonts w:ascii="仿宋" w:eastAsia="仿宋" w:hAnsi="仿宋" w:hint="eastAsia"/>
          <w:b w:val="0"/>
          <w:spacing w:val="-4"/>
          <w:sz w:val="32"/>
          <w:szCs w:val="32"/>
        </w:rPr>
        <w:t>万元，资金全部到位。</w:t>
      </w:r>
    </w:p>
    <w:p w:rsidR="004B1F27" w:rsidRDefault="004655AA">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（二）项目管理情况分析</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专项项目工作实施后，经费分别在</w:t>
      </w: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月、</w:t>
      </w:r>
      <w:r>
        <w:rPr>
          <w:rStyle w:val="ae"/>
          <w:rFonts w:ascii="仿宋" w:eastAsia="仿宋" w:hAnsi="仿宋" w:hint="eastAsia"/>
          <w:b w:val="0"/>
          <w:spacing w:val="-4"/>
          <w:sz w:val="32"/>
          <w:szCs w:val="32"/>
        </w:rPr>
        <w:t>11</w:t>
      </w:r>
      <w:r>
        <w:rPr>
          <w:rStyle w:val="ae"/>
          <w:rFonts w:ascii="仿宋" w:eastAsia="仿宋" w:hAnsi="仿宋" w:hint="eastAsia"/>
          <w:b w:val="0"/>
          <w:spacing w:val="-4"/>
          <w:sz w:val="32"/>
          <w:szCs w:val="32"/>
        </w:rPr>
        <w:t>月底到位，造成突击花钱现象，影响预定的绩效目标。</w:t>
      </w:r>
    </w:p>
    <w:p w:rsidR="004B1F27" w:rsidRDefault="004655AA">
      <w:pPr>
        <w:spacing w:line="540" w:lineRule="exact"/>
        <w:ind w:firstLine="640"/>
        <w:rPr>
          <w:rStyle w:val="ae"/>
          <w:rFonts w:ascii="黑体" w:eastAsia="黑体" w:hAnsi="黑体"/>
        </w:rPr>
      </w:pPr>
      <w:r>
        <w:rPr>
          <w:rStyle w:val="ae"/>
          <w:rFonts w:ascii="黑体" w:eastAsia="黑体" w:hAnsi="黑体" w:hint="eastAsia"/>
          <w:b w:val="0"/>
          <w:spacing w:val="-4"/>
          <w:sz w:val="32"/>
          <w:szCs w:val="32"/>
        </w:rPr>
        <w:t>四、项目绩效情况</w:t>
      </w:r>
    </w:p>
    <w:p w:rsidR="004B1F27" w:rsidRDefault="004655A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（一）项目绩效目标完成情况分析</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、投入目标完成情况</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玛纳斯县人民检察院紧紧围绕坚持维护社会平安稳定，积极查办、预防职务犯罪，不断强化诉讼活动监督，主动服务生态文明建设，积极推进机制改革创新，不断加强检察队伍建设等各项工作取得了新的进展。检察院</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年中央及自治区下达转移支付专项经费</w:t>
      </w:r>
      <w:r>
        <w:rPr>
          <w:rStyle w:val="ae"/>
          <w:rFonts w:ascii="仿宋" w:eastAsia="仿宋" w:hAnsi="仿宋" w:hint="eastAsia"/>
          <w:b w:val="0"/>
          <w:spacing w:val="-4"/>
          <w:sz w:val="32"/>
          <w:szCs w:val="32"/>
        </w:rPr>
        <w:t>159</w:t>
      </w:r>
      <w:r>
        <w:rPr>
          <w:rStyle w:val="ae"/>
          <w:rFonts w:ascii="仿宋" w:eastAsia="仿宋" w:hAnsi="仿宋" w:hint="eastAsia"/>
          <w:b w:val="0"/>
          <w:spacing w:val="-4"/>
          <w:sz w:val="32"/>
          <w:szCs w:val="32"/>
        </w:rPr>
        <w:t>万元和县级配套资金</w:t>
      </w:r>
      <w:r>
        <w:rPr>
          <w:rStyle w:val="ae"/>
          <w:rFonts w:ascii="仿宋" w:eastAsia="仿宋" w:hAnsi="仿宋" w:hint="eastAsia"/>
          <w:b w:val="0"/>
          <w:spacing w:val="-4"/>
          <w:sz w:val="32"/>
          <w:szCs w:val="32"/>
        </w:rPr>
        <w:t>83.5</w:t>
      </w:r>
      <w:r>
        <w:rPr>
          <w:rStyle w:val="ae"/>
          <w:rFonts w:ascii="仿宋" w:eastAsia="仿宋" w:hAnsi="仿宋" w:hint="eastAsia"/>
          <w:b w:val="0"/>
          <w:spacing w:val="-4"/>
          <w:sz w:val="32"/>
          <w:szCs w:val="32"/>
        </w:rPr>
        <w:t>万元，资金全部到位。</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、产出目标完成情况</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）全年共受理审查逮捕类案件</w:t>
      </w:r>
      <w:r>
        <w:rPr>
          <w:rStyle w:val="ae"/>
          <w:rFonts w:ascii="仿宋" w:eastAsia="仿宋" w:hAnsi="仿宋" w:hint="eastAsia"/>
          <w:b w:val="0"/>
          <w:spacing w:val="-4"/>
          <w:sz w:val="32"/>
          <w:szCs w:val="32"/>
        </w:rPr>
        <w:t>52</w:t>
      </w:r>
      <w:r>
        <w:rPr>
          <w:rStyle w:val="ae"/>
          <w:rFonts w:ascii="仿宋" w:eastAsia="仿宋" w:hAnsi="仿宋" w:hint="eastAsia"/>
          <w:b w:val="0"/>
          <w:spacing w:val="-4"/>
          <w:sz w:val="32"/>
          <w:szCs w:val="32"/>
        </w:rPr>
        <w:t>件，批准逮捕案件</w:t>
      </w:r>
      <w:r>
        <w:rPr>
          <w:rStyle w:val="ae"/>
          <w:rFonts w:ascii="仿宋" w:eastAsia="仿宋" w:hAnsi="仿宋" w:hint="eastAsia"/>
          <w:b w:val="0"/>
          <w:spacing w:val="-4"/>
          <w:sz w:val="32"/>
          <w:szCs w:val="32"/>
        </w:rPr>
        <w:t>49</w:t>
      </w:r>
      <w:r>
        <w:rPr>
          <w:rStyle w:val="ae"/>
          <w:rFonts w:ascii="仿宋" w:eastAsia="仿宋" w:hAnsi="仿宋" w:hint="eastAsia"/>
          <w:b w:val="0"/>
          <w:spacing w:val="-4"/>
          <w:sz w:val="32"/>
          <w:szCs w:val="32"/>
        </w:rPr>
        <w:t>件，刑事案件批捕率</w:t>
      </w:r>
      <w:r>
        <w:rPr>
          <w:rStyle w:val="ae"/>
          <w:rFonts w:ascii="仿宋" w:eastAsia="仿宋" w:hAnsi="仿宋" w:hint="eastAsia"/>
          <w:b w:val="0"/>
          <w:spacing w:val="-4"/>
          <w:sz w:val="32"/>
          <w:szCs w:val="32"/>
        </w:rPr>
        <w:t>94%</w:t>
      </w:r>
      <w:r>
        <w:rPr>
          <w:rStyle w:val="ae"/>
          <w:rFonts w:ascii="仿宋" w:eastAsia="仿宋" w:hAnsi="仿宋" w:hint="eastAsia"/>
          <w:b w:val="0"/>
          <w:spacing w:val="-4"/>
          <w:sz w:val="32"/>
          <w:szCs w:val="32"/>
        </w:rPr>
        <w:t>；</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）全年共受理审查起诉类案件</w:t>
      </w:r>
      <w:r>
        <w:rPr>
          <w:rStyle w:val="ae"/>
          <w:rFonts w:ascii="仿宋" w:eastAsia="仿宋" w:hAnsi="仿宋" w:hint="eastAsia"/>
          <w:b w:val="0"/>
          <w:spacing w:val="-4"/>
          <w:sz w:val="32"/>
          <w:szCs w:val="32"/>
        </w:rPr>
        <w:t>126</w:t>
      </w:r>
      <w:r>
        <w:rPr>
          <w:rStyle w:val="ae"/>
          <w:rFonts w:ascii="仿宋" w:eastAsia="仿宋" w:hAnsi="仿宋" w:hint="eastAsia"/>
          <w:b w:val="0"/>
          <w:spacing w:val="-4"/>
          <w:sz w:val="32"/>
          <w:szCs w:val="32"/>
        </w:rPr>
        <w:t>件，起诉案件</w:t>
      </w:r>
      <w:r>
        <w:rPr>
          <w:rStyle w:val="ae"/>
          <w:rFonts w:ascii="仿宋" w:eastAsia="仿宋" w:hAnsi="仿宋" w:hint="eastAsia"/>
          <w:b w:val="0"/>
          <w:spacing w:val="-4"/>
          <w:sz w:val="32"/>
          <w:szCs w:val="32"/>
        </w:rPr>
        <w:t>107</w:t>
      </w:r>
      <w:r>
        <w:rPr>
          <w:rStyle w:val="ae"/>
          <w:rFonts w:ascii="仿宋" w:eastAsia="仿宋" w:hAnsi="仿宋" w:hint="eastAsia"/>
          <w:b w:val="0"/>
          <w:spacing w:val="-4"/>
          <w:sz w:val="32"/>
          <w:szCs w:val="32"/>
        </w:rPr>
        <w:t>件，公诉案件结案率</w:t>
      </w:r>
      <w:r>
        <w:rPr>
          <w:rStyle w:val="ae"/>
          <w:rFonts w:ascii="仿宋" w:eastAsia="仿宋" w:hAnsi="仿宋" w:hint="eastAsia"/>
          <w:b w:val="0"/>
          <w:spacing w:val="-4"/>
          <w:sz w:val="32"/>
          <w:szCs w:val="32"/>
        </w:rPr>
        <w:t>84%</w:t>
      </w:r>
      <w:r>
        <w:rPr>
          <w:rStyle w:val="ae"/>
          <w:rFonts w:ascii="仿宋" w:eastAsia="仿宋" w:hAnsi="仿宋" w:hint="eastAsia"/>
          <w:b w:val="0"/>
          <w:spacing w:val="-4"/>
          <w:sz w:val="32"/>
          <w:szCs w:val="32"/>
        </w:rPr>
        <w:t>；</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）全年共受理公益诉讼类案件</w:t>
      </w:r>
      <w:r>
        <w:rPr>
          <w:rStyle w:val="ae"/>
          <w:rFonts w:ascii="仿宋" w:eastAsia="仿宋" w:hAnsi="仿宋" w:hint="eastAsia"/>
          <w:b w:val="0"/>
          <w:spacing w:val="-4"/>
          <w:sz w:val="32"/>
          <w:szCs w:val="32"/>
        </w:rPr>
        <w:t>30</w:t>
      </w: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件，提出公益诉讼案件的检察建议和公告的案件率</w:t>
      </w:r>
      <w:r>
        <w:rPr>
          <w:rStyle w:val="ae"/>
          <w:rFonts w:ascii="仿宋" w:eastAsia="仿宋" w:hAnsi="仿宋" w:hint="eastAsia"/>
          <w:b w:val="0"/>
          <w:spacing w:val="-4"/>
          <w:sz w:val="32"/>
          <w:szCs w:val="32"/>
        </w:rPr>
        <w:t>80%</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4</w:t>
      </w:r>
      <w:r>
        <w:rPr>
          <w:rStyle w:val="ae"/>
          <w:rFonts w:ascii="仿宋" w:eastAsia="仿宋" w:hAnsi="仿宋" w:hint="eastAsia"/>
          <w:b w:val="0"/>
          <w:spacing w:val="-4"/>
          <w:sz w:val="32"/>
          <w:szCs w:val="32"/>
        </w:rPr>
        <w:t>）全年共受理信访案件数量</w:t>
      </w:r>
      <w:r>
        <w:rPr>
          <w:rStyle w:val="ae"/>
          <w:rFonts w:ascii="仿宋" w:eastAsia="仿宋" w:hAnsi="仿宋" w:hint="eastAsia"/>
          <w:b w:val="0"/>
          <w:spacing w:val="-4"/>
          <w:sz w:val="32"/>
          <w:szCs w:val="32"/>
        </w:rPr>
        <w:t>36</w:t>
      </w:r>
      <w:r>
        <w:rPr>
          <w:rStyle w:val="ae"/>
          <w:rFonts w:ascii="仿宋" w:eastAsia="仿宋" w:hAnsi="仿宋" w:hint="eastAsia"/>
          <w:b w:val="0"/>
          <w:spacing w:val="-4"/>
          <w:sz w:val="32"/>
          <w:szCs w:val="32"/>
        </w:rPr>
        <w:t>件，受理信访案件结案率</w:t>
      </w:r>
      <w:r>
        <w:rPr>
          <w:rStyle w:val="ae"/>
          <w:rFonts w:ascii="仿宋" w:eastAsia="仿宋" w:hAnsi="仿宋" w:hint="eastAsia"/>
          <w:b w:val="0"/>
          <w:spacing w:val="-4"/>
          <w:sz w:val="32"/>
          <w:szCs w:val="32"/>
        </w:rPr>
        <w:t>100%</w:t>
      </w:r>
      <w:r>
        <w:rPr>
          <w:rStyle w:val="ae"/>
          <w:rFonts w:ascii="仿宋" w:eastAsia="仿宋" w:hAnsi="仿宋" w:hint="eastAsia"/>
          <w:b w:val="0"/>
          <w:spacing w:val="-4"/>
          <w:sz w:val="32"/>
          <w:szCs w:val="32"/>
        </w:rPr>
        <w:t>；</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5</w:t>
      </w:r>
      <w:r>
        <w:rPr>
          <w:rStyle w:val="ae"/>
          <w:rFonts w:ascii="仿宋" w:eastAsia="仿宋" w:hAnsi="仿宋" w:hint="eastAsia"/>
          <w:b w:val="0"/>
          <w:spacing w:val="-4"/>
          <w:sz w:val="32"/>
          <w:szCs w:val="32"/>
        </w:rPr>
        <w:t>）全年受理减刑、假释、暂予监外执行案件数量</w:t>
      </w:r>
      <w:r>
        <w:rPr>
          <w:rStyle w:val="ae"/>
          <w:rFonts w:ascii="仿宋" w:eastAsia="仿宋" w:hAnsi="仿宋" w:hint="eastAsia"/>
          <w:b w:val="0"/>
          <w:spacing w:val="-4"/>
          <w:sz w:val="32"/>
          <w:szCs w:val="32"/>
        </w:rPr>
        <w:t>0</w:t>
      </w:r>
      <w:r>
        <w:rPr>
          <w:rStyle w:val="ae"/>
          <w:rFonts w:ascii="仿宋" w:eastAsia="仿宋" w:hAnsi="仿宋" w:hint="eastAsia"/>
          <w:b w:val="0"/>
          <w:spacing w:val="-4"/>
          <w:sz w:val="32"/>
          <w:szCs w:val="32"/>
        </w:rPr>
        <w:t>件，减刑、假释、暂予监外执行结案率</w:t>
      </w:r>
      <w:r>
        <w:rPr>
          <w:rStyle w:val="ae"/>
          <w:rFonts w:ascii="仿宋" w:eastAsia="仿宋" w:hAnsi="仿宋" w:hint="eastAsia"/>
          <w:b w:val="0"/>
          <w:spacing w:val="-4"/>
          <w:sz w:val="32"/>
          <w:szCs w:val="32"/>
        </w:rPr>
        <w:t>0</w:t>
      </w:r>
      <w:r>
        <w:rPr>
          <w:rStyle w:val="ae"/>
          <w:rFonts w:ascii="仿宋" w:eastAsia="仿宋" w:hAnsi="仿宋" w:hint="eastAsia"/>
          <w:b w:val="0"/>
          <w:spacing w:val="-4"/>
          <w:sz w:val="32"/>
          <w:szCs w:val="32"/>
        </w:rPr>
        <w:t>。</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效益目标完成情况</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在法定审限内结案；增加案件的透明度，促进社会公平正义，未出现造成不良影响的事件；当事人对案件审查工作满意提升，保护人民群众合法权益，维护社会安定稳定，促进经济社会健康发展，维护社会公平正义。装备（业务）经费，通过招标、实施、验收等一系列工程项目要求一步一步实施，这些都是足</w:t>
      </w:r>
      <w:r>
        <w:rPr>
          <w:rStyle w:val="ae"/>
          <w:rFonts w:ascii="仿宋" w:eastAsia="仿宋" w:hAnsi="仿宋" w:hint="eastAsia"/>
          <w:b w:val="0"/>
          <w:spacing w:val="-4"/>
          <w:sz w:val="32"/>
          <w:szCs w:val="32"/>
        </w:rPr>
        <w:lastRenderedPageBreak/>
        <w:t>额下达政法专项</w:t>
      </w:r>
      <w:r>
        <w:rPr>
          <w:rStyle w:val="ae"/>
          <w:rFonts w:ascii="仿宋" w:eastAsia="仿宋" w:hAnsi="仿宋" w:hint="eastAsia"/>
          <w:b w:val="0"/>
          <w:spacing w:val="-4"/>
          <w:sz w:val="32"/>
          <w:szCs w:val="32"/>
        </w:rPr>
        <w:t>办案经费的成果及必要性，提高了案件侦查效率，促进了社会公平正义与和谐进步。</w:t>
      </w:r>
    </w:p>
    <w:p w:rsidR="004B1F27" w:rsidRDefault="004655A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年本项目绩效目标全部完成。</w:t>
      </w:r>
    </w:p>
    <w:p w:rsidR="004B1F27" w:rsidRDefault="004655AA">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五、其他需要说明的问题</w:t>
      </w:r>
    </w:p>
    <w:p w:rsidR="004B1F27" w:rsidRDefault="004655A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4B1F27" w:rsidRDefault="004655AA">
      <w:pPr>
        <w:spacing w:line="540" w:lineRule="exact"/>
        <w:ind w:firstLineChars="181" w:firstLine="565"/>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我院认真按照最高人民检察院及县财政局的要求开展了贯穿项目管理和预算执行全过程的预算绩效管理工作，结合部门年度预算编制同步编报绩效目标，开展绩效监控，对财政支出绩效和绩效管理工作进行自评，形成了较为完整的预算绩效管理体系。制定的绩效目标，实现目标科学合理，评价客观有效。</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度的绩效管理工作情况除了在单位内部公开，还专项报告最高人民检察院，在编制部门预算工作中，也结合绩效管理情况，提出相关意见和建议，促进预算编制更加科学合理，在绩效结果公开和应用方面进行了有益的探索。</w:t>
      </w:r>
    </w:p>
    <w:p w:rsidR="004B1F27" w:rsidRDefault="004655A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w:t>
      </w:r>
      <w:r>
        <w:rPr>
          <w:rFonts w:ascii="楷体" w:eastAsia="楷体" w:hAnsi="楷体" w:hint="eastAsia"/>
          <w:b/>
          <w:spacing w:val="-4"/>
          <w:sz w:val="32"/>
          <w:szCs w:val="32"/>
        </w:rPr>
        <w:t>在问题和建议</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1</w:t>
      </w:r>
      <w:r>
        <w:rPr>
          <w:rStyle w:val="ae"/>
          <w:rFonts w:ascii="仿宋" w:eastAsia="仿宋" w:hAnsi="仿宋" w:hint="eastAsia"/>
          <w:b w:val="0"/>
          <w:spacing w:val="-4"/>
          <w:sz w:val="32"/>
          <w:szCs w:val="32"/>
        </w:rPr>
        <w:t>、</w:t>
      </w:r>
      <w:r>
        <w:rPr>
          <w:rStyle w:val="ae"/>
          <w:rFonts w:ascii="仿宋" w:eastAsia="仿宋" w:hAnsi="仿宋" w:hint="eastAsia"/>
          <w:b w:val="0"/>
          <w:spacing w:val="-4"/>
          <w:sz w:val="32"/>
          <w:szCs w:val="32"/>
        </w:rPr>
        <w:t>主要经验及做法</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一年来，玛纳斯县人民检察院依法履行法律监督职责，严格公正司法，但由于案件数量逐年增长，疑难复杂重大敏感案件不断增多，对侦查起诉工作带来了一定的压力和挑战，有待在今后工作中采取有效措施认真加以解决。</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2</w:t>
      </w:r>
      <w:r>
        <w:rPr>
          <w:rStyle w:val="ae"/>
          <w:rFonts w:ascii="仿宋" w:eastAsia="仿宋" w:hAnsi="仿宋" w:hint="eastAsia"/>
          <w:b w:val="0"/>
          <w:spacing w:val="-4"/>
          <w:sz w:val="32"/>
          <w:szCs w:val="32"/>
        </w:rPr>
        <w:t>、</w:t>
      </w:r>
      <w:r>
        <w:rPr>
          <w:rStyle w:val="ae"/>
          <w:rFonts w:ascii="仿宋" w:eastAsia="仿宋" w:hAnsi="仿宋" w:hint="eastAsia"/>
          <w:b w:val="0"/>
          <w:spacing w:val="-4"/>
          <w:sz w:val="32"/>
          <w:szCs w:val="32"/>
        </w:rPr>
        <w:t>存在的问题</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专项项目工作实施后，有突击花钱现象，影响预定的绩效目标。</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3</w:t>
      </w:r>
      <w:r>
        <w:rPr>
          <w:rStyle w:val="ae"/>
          <w:rFonts w:ascii="仿宋" w:eastAsia="仿宋" w:hAnsi="仿宋" w:hint="eastAsia"/>
          <w:b w:val="0"/>
          <w:spacing w:val="-4"/>
          <w:sz w:val="32"/>
          <w:szCs w:val="32"/>
        </w:rPr>
        <w:t>、</w:t>
      </w:r>
      <w:r>
        <w:rPr>
          <w:rStyle w:val="ae"/>
          <w:rFonts w:ascii="仿宋" w:eastAsia="仿宋" w:hAnsi="仿宋" w:hint="eastAsia"/>
          <w:b w:val="0"/>
          <w:spacing w:val="-4"/>
          <w:sz w:val="32"/>
          <w:szCs w:val="32"/>
        </w:rPr>
        <w:t>建议</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lastRenderedPageBreak/>
        <w:t>根据检察院工作实际，多与相关部门沟通协调，认真研究分析，提出科学的指标考评体系，使指标设置更为合理，真正起到加强财政资金预算管理，结合绩效评价结果，保障法律监督工作顺利开展。</w:t>
      </w:r>
    </w:p>
    <w:p w:rsidR="004B1F27" w:rsidRDefault="004655A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无其他说明内容。</w:t>
      </w:r>
    </w:p>
    <w:p w:rsidR="004B1F27" w:rsidRDefault="004655AA">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六、项目评价工作情况</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办案业务经费和装备经费项目资金管理过程规范，程序到位，完成了预期绩效目标，群众满意，社会反响好。取得了巨大的社会效益，维护了社会的稳定。</w:t>
      </w:r>
    </w:p>
    <w:p w:rsidR="004B1F27" w:rsidRDefault="004655AA">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七、附表</w:t>
      </w:r>
    </w:p>
    <w:p w:rsidR="004B1F27" w:rsidRDefault="004655AA">
      <w:pPr>
        <w:adjustRightInd w:val="0"/>
        <w:snapToGrid w:val="0"/>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《玛纳斯县财政项目支出绩效自评表》</w:t>
      </w: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ind w:firstLineChars="200" w:firstLine="624"/>
        <w:rPr>
          <w:rStyle w:val="ae"/>
          <w:rFonts w:ascii="仿宋" w:eastAsia="仿宋" w:hAnsi="仿宋"/>
          <w:b w:val="0"/>
          <w:spacing w:val="-4"/>
          <w:sz w:val="32"/>
          <w:szCs w:val="32"/>
        </w:rPr>
      </w:pPr>
    </w:p>
    <w:p w:rsidR="004B1F27" w:rsidRDefault="004B1F27">
      <w:pPr>
        <w:adjustRightInd w:val="0"/>
        <w:snapToGrid w:val="0"/>
        <w:spacing w:line="360" w:lineRule="auto"/>
        <w:rPr>
          <w:rStyle w:val="ae"/>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855"/>
        <w:gridCol w:w="285"/>
        <w:gridCol w:w="849"/>
        <w:gridCol w:w="511"/>
        <w:gridCol w:w="1080"/>
        <w:gridCol w:w="880"/>
        <w:gridCol w:w="2060"/>
        <w:gridCol w:w="1780"/>
      </w:tblGrid>
      <w:tr w:rsidR="004B1F27">
        <w:trPr>
          <w:trHeight w:val="405"/>
        </w:trPr>
        <w:tc>
          <w:tcPr>
            <w:tcW w:w="9020" w:type="dxa"/>
            <w:gridSpan w:val="9"/>
            <w:tcBorders>
              <w:top w:val="nil"/>
              <w:left w:val="nil"/>
              <w:bottom w:val="nil"/>
              <w:right w:val="nil"/>
            </w:tcBorders>
            <w:shd w:val="clear" w:color="auto" w:fill="auto"/>
            <w:vAlign w:val="center"/>
          </w:tcPr>
          <w:p w:rsidR="004B1F27" w:rsidRDefault="004655AA">
            <w:pPr>
              <w:widowControl/>
              <w:jc w:val="center"/>
              <w:rPr>
                <w:rFonts w:ascii="宋体" w:hAnsi="宋体" w:cs="宋体"/>
                <w:b/>
                <w:bCs/>
                <w:kern w:val="0"/>
                <w:sz w:val="32"/>
                <w:szCs w:val="32"/>
              </w:rPr>
            </w:pPr>
            <w:bookmarkStart w:id="0" w:name="_Hlk20249748"/>
            <w:r>
              <w:rPr>
                <w:rFonts w:ascii="宋体" w:hAnsi="宋体" w:cs="宋体" w:hint="eastAsia"/>
                <w:b/>
                <w:bCs/>
                <w:kern w:val="0"/>
                <w:sz w:val="32"/>
                <w:szCs w:val="32"/>
              </w:rPr>
              <w:lastRenderedPageBreak/>
              <w:t>玛纳斯县财政项目支出绩效自评表</w:t>
            </w:r>
          </w:p>
        </w:tc>
      </w:tr>
      <w:tr w:rsidR="004B1F27">
        <w:trPr>
          <w:trHeight w:val="285"/>
        </w:trPr>
        <w:tc>
          <w:tcPr>
            <w:tcW w:w="9020" w:type="dxa"/>
            <w:gridSpan w:val="9"/>
            <w:tcBorders>
              <w:top w:val="nil"/>
              <w:left w:val="nil"/>
              <w:bottom w:val="nil"/>
              <w:right w:val="nil"/>
            </w:tcBorders>
            <w:shd w:val="clear" w:color="auto" w:fill="auto"/>
            <w:vAlign w:val="center"/>
          </w:tcPr>
          <w:p w:rsidR="004B1F27" w:rsidRDefault="004655AA">
            <w:pPr>
              <w:widowControl/>
              <w:jc w:val="center"/>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2018</w:t>
            </w:r>
            <w:r>
              <w:rPr>
                <w:rFonts w:ascii="宋体" w:hAnsi="宋体" w:cs="宋体" w:hint="eastAsia"/>
                <w:kern w:val="0"/>
                <w:sz w:val="24"/>
              </w:rPr>
              <w:t>年度）</w:t>
            </w:r>
          </w:p>
        </w:tc>
      </w:tr>
      <w:tr w:rsidR="004B1F27">
        <w:trPr>
          <w:trHeight w:val="285"/>
        </w:trPr>
        <w:tc>
          <w:tcPr>
            <w:tcW w:w="720" w:type="dxa"/>
            <w:tcBorders>
              <w:top w:val="nil"/>
              <w:left w:val="nil"/>
              <w:bottom w:val="nil"/>
              <w:right w:val="nil"/>
            </w:tcBorders>
            <w:shd w:val="clear" w:color="auto" w:fill="auto"/>
            <w:vAlign w:val="center"/>
          </w:tcPr>
          <w:p w:rsidR="004B1F27" w:rsidRDefault="004B1F27">
            <w:pPr>
              <w:widowControl/>
              <w:jc w:val="center"/>
              <w:rPr>
                <w:rFonts w:ascii="宋体" w:hAnsi="宋体" w:cs="宋体"/>
                <w:kern w:val="0"/>
                <w:sz w:val="24"/>
              </w:rPr>
            </w:pPr>
          </w:p>
        </w:tc>
        <w:tc>
          <w:tcPr>
            <w:tcW w:w="1140" w:type="dxa"/>
            <w:gridSpan w:val="2"/>
            <w:tcBorders>
              <w:top w:val="nil"/>
              <w:left w:val="nil"/>
              <w:bottom w:val="nil"/>
              <w:right w:val="nil"/>
            </w:tcBorders>
            <w:shd w:val="clear" w:color="auto" w:fill="auto"/>
            <w:vAlign w:val="center"/>
          </w:tcPr>
          <w:p w:rsidR="004B1F27" w:rsidRDefault="004B1F27">
            <w:pPr>
              <w:widowControl/>
              <w:jc w:val="center"/>
              <w:rPr>
                <w:rFonts w:ascii="宋体" w:hAnsi="宋体" w:cs="宋体"/>
                <w:kern w:val="0"/>
                <w:sz w:val="24"/>
              </w:rPr>
            </w:pPr>
          </w:p>
        </w:tc>
        <w:tc>
          <w:tcPr>
            <w:tcW w:w="1360" w:type="dxa"/>
            <w:gridSpan w:val="2"/>
            <w:tcBorders>
              <w:top w:val="nil"/>
              <w:left w:val="nil"/>
              <w:bottom w:val="nil"/>
              <w:right w:val="nil"/>
            </w:tcBorders>
            <w:shd w:val="clear" w:color="auto" w:fill="auto"/>
            <w:vAlign w:val="center"/>
          </w:tcPr>
          <w:p w:rsidR="004B1F27" w:rsidRDefault="004B1F27">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4B1F27" w:rsidRDefault="004B1F27">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4B1F27" w:rsidRDefault="004B1F27">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4B1F27" w:rsidRDefault="004B1F27">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4B1F27" w:rsidRDefault="004B1F27">
            <w:pPr>
              <w:widowControl/>
              <w:jc w:val="center"/>
              <w:rPr>
                <w:rFonts w:ascii="宋体" w:hAnsi="宋体" w:cs="宋体"/>
                <w:kern w:val="0"/>
                <w:sz w:val="24"/>
              </w:rPr>
            </w:pPr>
          </w:p>
        </w:tc>
      </w:tr>
      <w:tr w:rsidR="004B1F27">
        <w:trPr>
          <w:trHeight w:val="420"/>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B1F27" w:rsidRDefault="004655AA">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center"/>
              <w:rPr>
                <w:rFonts w:ascii="宋体" w:hAnsi="宋体" w:cs="宋体"/>
                <w:kern w:val="0"/>
                <w:sz w:val="20"/>
                <w:szCs w:val="20"/>
              </w:rPr>
            </w:pPr>
            <w:r>
              <w:rPr>
                <w:rFonts w:ascii="宋体" w:hAnsi="宋体" w:cs="宋体" w:hint="eastAsia"/>
                <w:kern w:val="0"/>
                <w:sz w:val="20"/>
                <w:szCs w:val="20"/>
              </w:rPr>
              <w:t>转移支付政法办案（业务）经费及业务装备经费</w:t>
            </w:r>
          </w:p>
        </w:tc>
      </w:tr>
      <w:tr w:rsidR="004B1F27">
        <w:trPr>
          <w:trHeight w:val="435"/>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B1F27" w:rsidRDefault="004655AA">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4B1F27" w:rsidRDefault="004655AA">
            <w:pPr>
              <w:widowControl/>
              <w:jc w:val="center"/>
              <w:rPr>
                <w:rFonts w:ascii="宋体" w:hAnsi="宋体" w:cs="宋体"/>
                <w:kern w:val="0"/>
                <w:sz w:val="20"/>
                <w:szCs w:val="20"/>
              </w:rPr>
            </w:pPr>
            <w:r>
              <w:rPr>
                <w:rFonts w:ascii="宋体" w:hAnsi="宋体" w:cs="宋体" w:hint="eastAsia"/>
                <w:kern w:val="0"/>
                <w:sz w:val="20"/>
                <w:szCs w:val="20"/>
              </w:rPr>
              <w:t xml:space="preserve">玛纳斯县人民检察院　</w:t>
            </w:r>
          </w:p>
        </w:tc>
      </w:tr>
      <w:tr w:rsidR="004B1F27">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4B1F27" w:rsidRDefault="004655AA">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rPr>
                <w:rFonts w:ascii="宋体" w:hAnsi="宋体" w:cs="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B1F27" w:rsidRDefault="00845924">
            <w:pPr>
              <w:widowControl/>
              <w:jc w:val="center"/>
              <w:rPr>
                <w:rFonts w:ascii="宋体" w:hAnsi="宋体" w:cs="宋体"/>
                <w:kern w:val="0"/>
                <w:sz w:val="20"/>
                <w:szCs w:val="20"/>
              </w:rPr>
            </w:pPr>
            <w:r w:rsidRPr="00845924">
              <w:rPr>
                <w:rFonts w:ascii="宋体" w:hAnsi="宋体" w:cs="宋体"/>
                <w:kern w:val="0"/>
                <w:sz w:val="20"/>
                <w:szCs w:val="20"/>
              </w:rPr>
              <w:t>159</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rPr>
                <w:rFonts w:ascii="宋体" w:hAns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4B1F27" w:rsidRDefault="00845924">
            <w:pPr>
              <w:widowControl/>
              <w:jc w:val="right"/>
              <w:rPr>
                <w:rFonts w:ascii="宋体" w:hAnsi="宋体" w:cs="宋体"/>
                <w:kern w:val="0"/>
                <w:sz w:val="20"/>
                <w:szCs w:val="20"/>
              </w:rPr>
            </w:pPr>
            <w:r w:rsidRPr="00845924">
              <w:rPr>
                <w:rFonts w:ascii="宋体" w:hAnsi="宋体" w:cs="宋体"/>
                <w:kern w:val="0"/>
                <w:sz w:val="20"/>
                <w:szCs w:val="20"/>
              </w:rPr>
              <w:t>219.52</w:t>
            </w:r>
            <w:r w:rsidR="004655AA">
              <w:rPr>
                <w:rFonts w:ascii="宋体" w:hAnsi="宋体" w:cs="宋体" w:hint="eastAsia"/>
                <w:kern w:val="0"/>
                <w:sz w:val="20"/>
                <w:szCs w:val="20"/>
              </w:rPr>
              <w:t xml:space="preserve">万元　</w:t>
            </w:r>
          </w:p>
        </w:tc>
      </w:tr>
      <w:tr w:rsidR="004B1F27">
        <w:trPr>
          <w:trHeight w:val="509"/>
        </w:trPr>
        <w:tc>
          <w:tcPr>
            <w:tcW w:w="720" w:type="dxa"/>
            <w:vMerge/>
            <w:tcBorders>
              <w:top w:val="nil"/>
              <w:left w:val="single" w:sz="4" w:space="0" w:color="auto"/>
              <w:bottom w:val="single" w:sz="4" w:space="0" w:color="auto"/>
              <w:right w:val="single" w:sz="4" w:space="0" w:color="auto"/>
            </w:tcBorders>
            <w:vAlign w:val="center"/>
          </w:tcPr>
          <w:p w:rsidR="004B1F27" w:rsidRDefault="004B1F27">
            <w:pPr>
              <w:widowControl/>
              <w:jc w:val="left"/>
              <w:rPr>
                <w:rFonts w:ascii="宋体" w:hAns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B1F27" w:rsidRDefault="00845924">
            <w:pPr>
              <w:widowControl/>
              <w:jc w:val="center"/>
              <w:rPr>
                <w:rFonts w:ascii="宋体" w:hAnsi="宋体" w:cs="宋体"/>
                <w:kern w:val="0"/>
                <w:sz w:val="20"/>
                <w:szCs w:val="20"/>
              </w:rPr>
            </w:pPr>
            <w:r w:rsidRPr="00845924">
              <w:rPr>
                <w:rFonts w:ascii="宋体" w:hAnsi="宋体" w:cs="宋体"/>
                <w:kern w:val="0"/>
                <w:sz w:val="20"/>
                <w:szCs w:val="20"/>
              </w:rPr>
              <w:t>159</w:t>
            </w:r>
            <w:r>
              <w:rPr>
                <w:rFonts w:ascii="宋体" w:hAnsi="宋体" w:cs="宋体" w:hint="eastAsia"/>
                <w:kern w:val="0"/>
                <w:sz w:val="20"/>
                <w:szCs w:val="20"/>
              </w:rPr>
              <w:t>万元</w:t>
            </w:r>
          </w:p>
        </w:tc>
        <w:tc>
          <w:tcPr>
            <w:tcW w:w="2060" w:type="dxa"/>
            <w:tcBorders>
              <w:top w:val="nil"/>
              <w:left w:val="nil"/>
              <w:bottom w:val="nil"/>
              <w:right w:val="single" w:sz="4" w:space="0" w:color="auto"/>
            </w:tcBorders>
            <w:shd w:val="clear" w:color="auto" w:fill="auto"/>
            <w:vAlign w:val="center"/>
          </w:tcPr>
          <w:p w:rsidR="004B1F27" w:rsidRDefault="004655AA">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4B1F27" w:rsidRDefault="00845924">
            <w:pPr>
              <w:widowControl/>
              <w:jc w:val="right"/>
              <w:rPr>
                <w:rFonts w:ascii="宋体" w:hAnsi="宋体" w:cs="宋体"/>
                <w:kern w:val="0"/>
                <w:sz w:val="20"/>
                <w:szCs w:val="20"/>
              </w:rPr>
            </w:pPr>
            <w:r w:rsidRPr="00845924">
              <w:rPr>
                <w:rFonts w:ascii="宋体" w:hAnsi="宋体" w:cs="宋体"/>
                <w:kern w:val="0"/>
                <w:sz w:val="20"/>
                <w:szCs w:val="20"/>
              </w:rPr>
              <w:t>219.52</w:t>
            </w:r>
            <w:r w:rsidR="004655AA">
              <w:rPr>
                <w:rFonts w:ascii="宋体" w:hAnsi="宋体" w:cs="宋体" w:hint="eastAsia"/>
                <w:kern w:val="0"/>
                <w:sz w:val="20"/>
                <w:szCs w:val="20"/>
              </w:rPr>
              <w:t xml:space="preserve">万元　</w:t>
            </w:r>
          </w:p>
        </w:tc>
      </w:tr>
      <w:tr w:rsidR="004B1F27">
        <w:trPr>
          <w:trHeight w:val="433"/>
        </w:trPr>
        <w:tc>
          <w:tcPr>
            <w:tcW w:w="720" w:type="dxa"/>
            <w:vMerge/>
            <w:tcBorders>
              <w:top w:val="nil"/>
              <w:left w:val="single" w:sz="4" w:space="0" w:color="auto"/>
              <w:bottom w:val="single" w:sz="4" w:space="0" w:color="auto"/>
              <w:right w:val="single" w:sz="4" w:space="0" w:color="auto"/>
            </w:tcBorders>
            <w:vAlign w:val="center"/>
          </w:tcPr>
          <w:p w:rsidR="004B1F27" w:rsidRDefault="004B1F27">
            <w:pPr>
              <w:widowControl/>
              <w:jc w:val="left"/>
              <w:rPr>
                <w:rFonts w:ascii="宋体" w:hAns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4B1F27" w:rsidRDefault="004655AA">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4B1F27" w:rsidRDefault="004655AA">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4B1F27">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4B1F27" w:rsidRDefault="004655AA">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6"/>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4B1F27">
        <w:trPr>
          <w:trHeight w:val="1425"/>
        </w:trPr>
        <w:tc>
          <w:tcPr>
            <w:tcW w:w="720" w:type="dxa"/>
            <w:vMerge/>
            <w:tcBorders>
              <w:top w:val="nil"/>
              <w:left w:val="single" w:sz="4" w:space="0" w:color="auto"/>
              <w:bottom w:val="single" w:sz="4" w:space="0" w:color="auto"/>
              <w:right w:val="single" w:sz="4" w:space="0" w:color="auto"/>
            </w:tcBorders>
            <w:vAlign w:val="center"/>
          </w:tcPr>
          <w:p w:rsidR="004B1F27" w:rsidRDefault="004B1F27">
            <w:pPr>
              <w:widowControl/>
              <w:jc w:val="left"/>
              <w:rPr>
                <w:rFonts w:ascii="宋体" w:hAnsi="宋体" w:cs="宋体"/>
                <w:kern w:val="0"/>
                <w:sz w:val="20"/>
                <w:szCs w:val="20"/>
              </w:rPr>
            </w:pPr>
          </w:p>
        </w:tc>
        <w:tc>
          <w:tcPr>
            <w:tcW w:w="4460" w:type="dxa"/>
            <w:gridSpan w:val="6"/>
            <w:tcBorders>
              <w:top w:val="single" w:sz="4" w:space="0" w:color="auto"/>
              <w:left w:val="nil"/>
              <w:bottom w:val="single" w:sz="4" w:space="0" w:color="auto"/>
              <w:right w:val="single" w:sz="4" w:space="0" w:color="000000"/>
            </w:tcBorders>
            <w:shd w:val="clear" w:color="auto" w:fill="auto"/>
          </w:tcPr>
          <w:p w:rsidR="004B1F27" w:rsidRDefault="004655A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依法对职务犯罪进行侦查，对刑事案件审查批准逮捕、决定逮捕、提起公诉，依法对刑事诉讼、民事审判和行政诉讼实行监督，依法对执行机关执行刑罚的活动是否合法实行监督，服务全县中心工作，维护全县经济运行的良好环境。</w:t>
            </w:r>
          </w:p>
          <w:p w:rsidR="004B1F27" w:rsidRDefault="004B1F27">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4B1F27" w:rsidRDefault="004655AA">
            <w:pPr>
              <w:widowControl/>
              <w:jc w:val="left"/>
              <w:rPr>
                <w:rFonts w:ascii="宋体" w:hAnsi="宋体" w:cs="宋体"/>
                <w:kern w:val="0"/>
                <w:sz w:val="20"/>
                <w:szCs w:val="20"/>
              </w:rPr>
            </w:pPr>
            <w:r>
              <w:rPr>
                <w:rFonts w:ascii="宋体" w:hAnsi="宋体" w:cs="宋体" w:hint="eastAsia"/>
                <w:kern w:val="0"/>
                <w:sz w:val="20"/>
                <w:szCs w:val="20"/>
              </w:rPr>
              <w:t>审查、起诉和终结率全部在</w:t>
            </w:r>
            <w:r>
              <w:rPr>
                <w:rFonts w:ascii="宋体" w:hAnsi="宋体" w:cs="宋体" w:hint="eastAsia"/>
                <w:kern w:val="0"/>
                <w:sz w:val="20"/>
                <w:szCs w:val="20"/>
              </w:rPr>
              <w:t>80%</w:t>
            </w:r>
            <w:r>
              <w:rPr>
                <w:rFonts w:ascii="宋体" w:hAnsi="宋体" w:cs="宋体" w:hint="eastAsia"/>
                <w:kern w:val="0"/>
                <w:sz w:val="20"/>
                <w:szCs w:val="20"/>
              </w:rPr>
              <w:t>以上</w:t>
            </w:r>
          </w:p>
        </w:tc>
      </w:tr>
      <w:tr w:rsidR="004B1F27">
        <w:trPr>
          <w:trHeight w:val="720"/>
        </w:trPr>
        <w:tc>
          <w:tcPr>
            <w:tcW w:w="720" w:type="dxa"/>
            <w:tcBorders>
              <w:top w:val="nil"/>
              <w:left w:val="single" w:sz="4" w:space="0" w:color="auto"/>
              <w:bottom w:val="single" w:sz="4" w:space="0" w:color="000000"/>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年度</w:t>
            </w:r>
          </w:p>
        </w:tc>
        <w:tc>
          <w:tcPr>
            <w:tcW w:w="855" w:type="dxa"/>
            <w:tcBorders>
              <w:top w:val="nil"/>
              <w:left w:val="nil"/>
              <w:bottom w:val="nil"/>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一级指标</w:t>
            </w:r>
          </w:p>
        </w:tc>
        <w:tc>
          <w:tcPr>
            <w:tcW w:w="1134" w:type="dxa"/>
            <w:gridSpan w:val="2"/>
            <w:tcBorders>
              <w:top w:val="nil"/>
              <w:left w:val="nil"/>
              <w:bottom w:val="single" w:sz="4" w:space="0" w:color="auto"/>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二级指标</w:t>
            </w: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实际完成指标值（包含数字及文字描述）</w:t>
            </w:r>
          </w:p>
        </w:tc>
      </w:tr>
      <w:tr w:rsidR="004B1F27">
        <w:trPr>
          <w:trHeight w:val="656"/>
        </w:trPr>
        <w:tc>
          <w:tcPr>
            <w:tcW w:w="720" w:type="dxa"/>
            <w:vMerge w:val="restart"/>
            <w:tcBorders>
              <w:top w:val="nil"/>
              <w:left w:val="single" w:sz="4" w:space="0" w:color="auto"/>
              <w:right w:val="single" w:sz="4" w:space="0" w:color="auto"/>
            </w:tcBorders>
            <w:vAlign w:val="center"/>
          </w:tcPr>
          <w:p w:rsidR="004B1F27" w:rsidRDefault="004655AA">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绩效</w:t>
            </w:r>
          </w:p>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指标</w:t>
            </w:r>
          </w:p>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完成</w:t>
            </w:r>
          </w:p>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情况</w:t>
            </w:r>
          </w:p>
        </w:tc>
        <w:tc>
          <w:tcPr>
            <w:tcW w:w="8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B1F27" w:rsidRDefault="004655AA">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产出</w:t>
            </w:r>
          </w:p>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指标</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数量指标</w:t>
            </w: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批准逮捕案件数量</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52</w:t>
            </w:r>
            <w:r>
              <w:rPr>
                <w:rFonts w:ascii="宋体" w:hAnsi="宋体" w:cs="宋体" w:hint="eastAsia"/>
                <w:kern w:val="0"/>
                <w:sz w:val="20"/>
                <w:szCs w:val="20"/>
              </w:rPr>
              <w:t>件</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52</w:t>
            </w:r>
            <w:r>
              <w:rPr>
                <w:rFonts w:ascii="宋体" w:hAnsi="宋体" w:cs="宋体" w:hint="eastAsia"/>
                <w:kern w:val="0"/>
                <w:sz w:val="20"/>
                <w:szCs w:val="20"/>
              </w:rPr>
              <w:t>件</w:t>
            </w:r>
          </w:p>
        </w:tc>
      </w:tr>
      <w:tr w:rsidR="004B1F27">
        <w:trPr>
          <w:trHeight w:val="566"/>
        </w:trPr>
        <w:tc>
          <w:tcPr>
            <w:tcW w:w="720" w:type="dxa"/>
            <w:vMerge/>
            <w:tcBorders>
              <w:left w:val="single" w:sz="4" w:space="0" w:color="auto"/>
              <w:right w:val="single" w:sz="4" w:space="0" w:color="auto"/>
            </w:tcBorders>
            <w:vAlign w:val="center"/>
          </w:tcPr>
          <w:p w:rsidR="004B1F27" w:rsidRDefault="004B1F27">
            <w:pPr>
              <w:widowControl/>
              <w:jc w:val="center"/>
              <w:textAlignment w:val="cente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提起公诉案件数量</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126</w:t>
            </w:r>
            <w:r>
              <w:rPr>
                <w:rFonts w:ascii="宋体" w:hAnsi="宋体" w:cs="宋体" w:hint="eastAsia"/>
                <w:kern w:val="0"/>
                <w:sz w:val="20"/>
                <w:szCs w:val="20"/>
              </w:rPr>
              <w:t>件</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126</w:t>
            </w:r>
            <w:r>
              <w:rPr>
                <w:rFonts w:ascii="宋体" w:hAnsi="宋体" w:cs="宋体" w:hint="eastAsia"/>
                <w:kern w:val="0"/>
                <w:sz w:val="20"/>
                <w:szCs w:val="20"/>
              </w:rPr>
              <w:t>件</w:t>
            </w:r>
          </w:p>
        </w:tc>
      </w:tr>
      <w:tr w:rsidR="004B1F27">
        <w:trPr>
          <w:trHeight w:val="688"/>
        </w:trPr>
        <w:tc>
          <w:tcPr>
            <w:tcW w:w="720" w:type="dxa"/>
            <w:vMerge/>
            <w:tcBorders>
              <w:left w:val="single" w:sz="4" w:space="0" w:color="auto"/>
              <w:right w:val="single" w:sz="4" w:space="0" w:color="auto"/>
            </w:tcBorders>
            <w:vAlign w:val="center"/>
          </w:tcPr>
          <w:p w:rsidR="004B1F27" w:rsidRDefault="004B1F27">
            <w:pPr>
              <w:widowControl/>
              <w:jc w:val="center"/>
              <w:textAlignment w:val="cente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受理公益诉讼案件数量</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302</w:t>
            </w:r>
            <w:r>
              <w:rPr>
                <w:rFonts w:ascii="宋体" w:hAnsi="宋体" w:cs="宋体" w:hint="eastAsia"/>
                <w:kern w:val="0"/>
                <w:sz w:val="20"/>
                <w:szCs w:val="20"/>
              </w:rPr>
              <w:t>件</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302</w:t>
            </w:r>
            <w:r>
              <w:rPr>
                <w:rFonts w:ascii="宋体" w:hAnsi="宋体" w:cs="宋体" w:hint="eastAsia"/>
                <w:kern w:val="0"/>
                <w:sz w:val="20"/>
                <w:szCs w:val="20"/>
              </w:rPr>
              <w:t>件</w:t>
            </w:r>
          </w:p>
        </w:tc>
      </w:tr>
      <w:tr w:rsidR="004B1F27">
        <w:trPr>
          <w:trHeight w:val="480"/>
        </w:trPr>
        <w:tc>
          <w:tcPr>
            <w:tcW w:w="720" w:type="dxa"/>
            <w:vMerge/>
            <w:tcBorders>
              <w:left w:val="single" w:sz="4" w:space="0" w:color="auto"/>
              <w:right w:val="single" w:sz="4" w:space="0" w:color="auto"/>
            </w:tcBorders>
            <w:vAlign w:val="center"/>
          </w:tcPr>
          <w:p w:rsidR="004B1F27" w:rsidRDefault="004B1F27">
            <w:pPr>
              <w:widowControl/>
              <w:jc w:val="center"/>
              <w:textAlignment w:val="cente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shd w:val="clear" w:color="auto" w:fill="auto"/>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减刑、假释、暂予监外执行案件数量</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0</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0</w:t>
            </w:r>
          </w:p>
        </w:tc>
      </w:tr>
      <w:tr w:rsidR="004B1F27">
        <w:trPr>
          <w:trHeight w:val="637"/>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信访数量</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36</w:t>
            </w:r>
            <w:r>
              <w:rPr>
                <w:rFonts w:ascii="宋体" w:hAnsi="宋体" w:cs="宋体" w:hint="eastAsia"/>
                <w:kern w:val="0"/>
                <w:sz w:val="20"/>
                <w:szCs w:val="20"/>
              </w:rPr>
              <w:t>件</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36</w:t>
            </w:r>
            <w:r>
              <w:rPr>
                <w:rFonts w:ascii="宋体" w:hAnsi="宋体" w:cs="宋体" w:hint="eastAsia"/>
                <w:kern w:val="0"/>
                <w:sz w:val="20"/>
                <w:szCs w:val="20"/>
              </w:rPr>
              <w:t>件</w:t>
            </w:r>
          </w:p>
        </w:tc>
      </w:tr>
      <w:tr w:rsidR="004B1F27">
        <w:trPr>
          <w:trHeight w:val="688"/>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val="restart"/>
            <w:tcBorders>
              <w:top w:val="nil"/>
              <w:left w:val="single" w:sz="4" w:space="0" w:color="auto"/>
              <w:bottom w:val="single" w:sz="4" w:space="0" w:color="000000"/>
              <w:right w:val="single" w:sz="4" w:space="0" w:color="auto"/>
            </w:tcBorders>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质量指标</w:t>
            </w: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color w:val="000000"/>
                <w:kern w:val="0"/>
                <w:sz w:val="20"/>
                <w:szCs w:val="20"/>
              </w:rPr>
              <w:t>刑事案件的批捕率</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94%</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94%</w:t>
            </w:r>
          </w:p>
        </w:tc>
      </w:tr>
      <w:tr w:rsidR="004B1F27">
        <w:trPr>
          <w:trHeight w:val="712"/>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公诉案件的结案率</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84%</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84%</w:t>
            </w:r>
          </w:p>
        </w:tc>
      </w:tr>
      <w:tr w:rsidR="004B1F27">
        <w:trPr>
          <w:trHeight w:val="694"/>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shd w:val="clear" w:color="auto" w:fill="auto"/>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提出公益诉讼的检察建议和公告的数量</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80%</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80%</w:t>
            </w:r>
          </w:p>
        </w:tc>
      </w:tr>
      <w:tr w:rsidR="004B1F27">
        <w:trPr>
          <w:trHeight w:val="480"/>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shd w:val="clear" w:color="auto" w:fill="auto"/>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办理减刑、假释、暂予监外执行案件结案率</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0</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0</w:t>
            </w:r>
          </w:p>
        </w:tc>
      </w:tr>
      <w:tr w:rsidR="004B1F27">
        <w:trPr>
          <w:trHeight w:val="642"/>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top w:val="nil"/>
              <w:left w:val="single" w:sz="4" w:space="0" w:color="auto"/>
              <w:bottom w:val="single" w:sz="4" w:space="0" w:color="auto"/>
              <w:right w:val="single" w:sz="4" w:space="0" w:color="auto"/>
            </w:tcBorders>
            <w:shd w:val="clear" w:color="auto" w:fill="auto"/>
            <w:vAlign w:val="center"/>
          </w:tcPr>
          <w:p w:rsidR="004B1F27" w:rsidRDefault="004B1F27">
            <w:pPr>
              <w:jc w:val="center"/>
              <w:rPr>
                <w:rFonts w:ascii="宋体" w:hAnsi="宋体" w:cs="宋体"/>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受理信访案件的结案率</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kern w:val="0"/>
                <w:sz w:val="20"/>
                <w:szCs w:val="20"/>
              </w:rPr>
              <w:t>100%</w:t>
            </w:r>
          </w:p>
        </w:tc>
      </w:tr>
      <w:tr w:rsidR="004B1F27">
        <w:trPr>
          <w:trHeight w:val="480"/>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val="restart"/>
            <w:tcBorders>
              <w:top w:val="single" w:sz="4" w:space="0" w:color="auto"/>
              <w:left w:val="single" w:sz="4" w:space="0" w:color="auto"/>
              <w:right w:val="single" w:sz="4" w:space="0" w:color="auto"/>
            </w:tcBorders>
            <w:vAlign w:val="center"/>
          </w:tcPr>
          <w:p w:rsidR="004B1F27" w:rsidRDefault="004655AA">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效益</w:t>
            </w:r>
          </w:p>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指标</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经济效益</w:t>
            </w: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color w:val="000000"/>
                <w:kern w:val="0"/>
                <w:sz w:val="20"/>
                <w:szCs w:val="20"/>
              </w:rPr>
              <w:t>挽回刑事诉讼涉案财物的经济损失</w:t>
            </w:r>
          </w:p>
        </w:tc>
        <w:tc>
          <w:tcPr>
            <w:tcW w:w="2060" w:type="dxa"/>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color w:val="000000"/>
                <w:kern w:val="0"/>
                <w:sz w:val="20"/>
                <w:szCs w:val="20"/>
              </w:rPr>
              <w:t>57</w:t>
            </w:r>
            <w:r>
              <w:rPr>
                <w:rFonts w:ascii="宋体" w:hAnsi="宋体" w:cs="宋体" w:hint="eastAsia"/>
                <w:color w:val="000000"/>
                <w:kern w:val="0"/>
                <w:sz w:val="20"/>
                <w:szCs w:val="20"/>
              </w:rPr>
              <w:t>万</w:t>
            </w:r>
          </w:p>
        </w:tc>
        <w:tc>
          <w:tcPr>
            <w:tcW w:w="1780" w:type="dxa"/>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color w:val="000000"/>
                <w:kern w:val="0"/>
                <w:sz w:val="20"/>
                <w:szCs w:val="20"/>
              </w:rPr>
              <w:t>57</w:t>
            </w:r>
            <w:r>
              <w:rPr>
                <w:rFonts w:ascii="宋体" w:hAnsi="宋体" w:cs="宋体" w:hint="eastAsia"/>
                <w:color w:val="000000"/>
                <w:kern w:val="0"/>
                <w:sz w:val="20"/>
                <w:szCs w:val="20"/>
              </w:rPr>
              <w:t>万</w:t>
            </w:r>
          </w:p>
        </w:tc>
      </w:tr>
      <w:tr w:rsidR="004B1F27">
        <w:trPr>
          <w:trHeight w:val="480"/>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left w:val="single" w:sz="4" w:space="0" w:color="auto"/>
              <w:right w:val="single" w:sz="4" w:space="0" w:color="auto"/>
            </w:tcBorders>
            <w:vAlign w:val="center"/>
          </w:tcPr>
          <w:p w:rsidR="004B1F27" w:rsidRDefault="004B1F27">
            <w:pPr>
              <w:widowControl/>
              <w:jc w:val="center"/>
              <w:textAlignment w:val="center"/>
              <w:rPr>
                <w:rFonts w:ascii="宋体" w:hAnsi="宋体" w:cs="宋体"/>
                <w:color w:val="000000"/>
                <w:kern w:val="0"/>
                <w:sz w:val="20"/>
                <w:szCs w:val="20"/>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4B1F27" w:rsidRDefault="004B1F27">
            <w:pPr>
              <w:widowControl/>
              <w:jc w:val="center"/>
              <w:textAlignment w:val="center"/>
              <w:rPr>
                <w:rFonts w:ascii="宋体" w:hAnsi="宋体" w:cs="宋体"/>
                <w:color w:val="000000"/>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业务装备的采购成本节约率</w:t>
            </w:r>
          </w:p>
        </w:tc>
        <w:tc>
          <w:tcPr>
            <w:tcW w:w="2060" w:type="dxa"/>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780" w:type="dxa"/>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w:t>
            </w:r>
          </w:p>
        </w:tc>
      </w:tr>
      <w:tr w:rsidR="004B1F27">
        <w:trPr>
          <w:trHeight w:val="480"/>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left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val="restart"/>
            <w:tcBorders>
              <w:top w:val="nil"/>
              <w:left w:val="single" w:sz="4" w:space="0" w:color="auto"/>
              <w:right w:val="single" w:sz="4" w:space="0" w:color="auto"/>
            </w:tcBorders>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社会效益</w:t>
            </w: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kern w:val="0"/>
                <w:sz w:val="20"/>
                <w:szCs w:val="20"/>
              </w:rPr>
            </w:pPr>
            <w:r>
              <w:rPr>
                <w:rFonts w:ascii="宋体" w:hAnsi="宋体" w:cs="宋体" w:hint="eastAsia"/>
                <w:color w:val="000000"/>
                <w:kern w:val="0"/>
                <w:sz w:val="20"/>
                <w:szCs w:val="20"/>
              </w:rPr>
              <w:t>经费保障水平</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经费保障到位</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经费保障到位</w:t>
            </w:r>
          </w:p>
        </w:tc>
      </w:tr>
      <w:tr w:rsidR="004B1F27">
        <w:trPr>
          <w:trHeight w:val="480"/>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left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left w:val="single" w:sz="4" w:space="0" w:color="auto"/>
              <w:right w:val="single" w:sz="4" w:space="0" w:color="auto"/>
            </w:tcBorders>
            <w:vAlign w:val="center"/>
          </w:tcPr>
          <w:p w:rsidR="004B1F27" w:rsidRDefault="004B1F27">
            <w:pPr>
              <w:widowControl/>
              <w:jc w:val="center"/>
              <w:textAlignment w:val="center"/>
              <w:rPr>
                <w:rFonts w:ascii="宋体" w:hAnsi="宋体" w:cs="宋体"/>
                <w:color w:val="000000"/>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全面监督、规范监督、实现政治效果、法律效果和社会效果相统一</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维护社会公平正义</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维护社会公平正义</w:t>
            </w:r>
          </w:p>
        </w:tc>
      </w:tr>
      <w:tr w:rsidR="004B1F27">
        <w:trPr>
          <w:trHeight w:val="480"/>
        </w:trPr>
        <w:tc>
          <w:tcPr>
            <w:tcW w:w="720" w:type="dxa"/>
            <w:vMerge/>
            <w:tcBorders>
              <w:left w:val="single" w:sz="4" w:space="0" w:color="auto"/>
              <w:right w:val="single" w:sz="4" w:space="0" w:color="auto"/>
            </w:tcBorders>
            <w:vAlign w:val="center"/>
          </w:tcPr>
          <w:p w:rsidR="004B1F27" w:rsidRDefault="004B1F27">
            <w:pPr>
              <w:rPr>
                <w:rFonts w:ascii="宋体" w:hAnsi="宋体" w:cs="宋体"/>
                <w:kern w:val="0"/>
                <w:sz w:val="20"/>
                <w:szCs w:val="20"/>
              </w:rPr>
            </w:pPr>
          </w:p>
        </w:tc>
        <w:tc>
          <w:tcPr>
            <w:tcW w:w="855" w:type="dxa"/>
            <w:vMerge/>
            <w:tcBorders>
              <w:left w:val="single" w:sz="4" w:space="0" w:color="auto"/>
              <w:bottom w:val="single" w:sz="4" w:space="0" w:color="auto"/>
              <w:right w:val="single" w:sz="4" w:space="0" w:color="auto"/>
            </w:tcBorders>
            <w:vAlign w:val="center"/>
          </w:tcPr>
          <w:p w:rsidR="004B1F27" w:rsidRDefault="004B1F27">
            <w:pPr>
              <w:jc w:val="center"/>
              <w:rPr>
                <w:rFonts w:ascii="宋体" w:hAnsi="宋体" w:cs="宋体"/>
                <w:kern w:val="0"/>
                <w:sz w:val="20"/>
                <w:szCs w:val="20"/>
              </w:rPr>
            </w:pPr>
          </w:p>
        </w:tc>
        <w:tc>
          <w:tcPr>
            <w:tcW w:w="1134" w:type="dxa"/>
            <w:gridSpan w:val="2"/>
            <w:vMerge/>
            <w:tcBorders>
              <w:left w:val="single" w:sz="4" w:space="0" w:color="auto"/>
              <w:bottom w:val="single" w:sz="4" w:space="0" w:color="000000"/>
              <w:right w:val="single" w:sz="4" w:space="0" w:color="auto"/>
            </w:tcBorders>
            <w:vAlign w:val="center"/>
          </w:tcPr>
          <w:p w:rsidR="004B1F27" w:rsidRDefault="004B1F27">
            <w:pPr>
              <w:widowControl/>
              <w:jc w:val="center"/>
              <w:textAlignment w:val="center"/>
              <w:rPr>
                <w:rFonts w:ascii="宋体" w:hAnsi="宋体" w:cs="宋体"/>
                <w:color w:val="000000"/>
                <w:kern w:val="0"/>
                <w:sz w:val="20"/>
                <w:szCs w:val="20"/>
              </w:rPr>
            </w:pP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保护生态环境和资源，保障食品药品安全，维护人民生命健康权益</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恢复被破坏的国有林地和土地、督促食药监主管部门整改违法经营药店</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恢复被破坏的国有林地和土地、督促食药监主管部门整改违法经营药店</w:t>
            </w:r>
          </w:p>
        </w:tc>
      </w:tr>
      <w:tr w:rsidR="004B1F27">
        <w:trPr>
          <w:trHeight w:val="480"/>
        </w:trPr>
        <w:tc>
          <w:tcPr>
            <w:tcW w:w="720" w:type="dxa"/>
            <w:vMerge/>
            <w:tcBorders>
              <w:left w:val="single" w:sz="4" w:space="0" w:color="auto"/>
              <w:bottom w:val="single" w:sz="4" w:space="0" w:color="000000"/>
              <w:right w:val="single" w:sz="4" w:space="0" w:color="auto"/>
            </w:tcBorders>
            <w:vAlign w:val="center"/>
          </w:tcPr>
          <w:p w:rsidR="004B1F27" w:rsidRDefault="004B1F27">
            <w:pPr>
              <w:rPr>
                <w:rFonts w:ascii="宋体" w:hAnsi="宋体" w:cs="宋体"/>
                <w:kern w:val="0"/>
                <w:sz w:val="20"/>
                <w:szCs w:val="20"/>
              </w:rPr>
            </w:pPr>
          </w:p>
        </w:tc>
        <w:tc>
          <w:tcPr>
            <w:tcW w:w="855" w:type="dxa"/>
            <w:tcBorders>
              <w:top w:val="nil"/>
              <w:left w:val="single" w:sz="4" w:space="0" w:color="auto"/>
              <w:bottom w:val="single" w:sz="4" w:space="0" w:color="000000"/>
              <w:right w:val="single" w:sz="4" w:space="0" w:color="auto"/>
            </w:tcBorders>
            <w:vAlign w:val="center"/>
          </w:tcPr>
          <w:p w:rsidR="004B1F27" w:rsidRDefault="004655AA">
            <w:pPr>
              <w:jc w:val="center"/>
              <w:rPr>
                <w:rFonts w:ascii="宋体" w:hAnsi="宋体" w:cs="宋体"/>
                <w:kern w:val="0"/>
                <w:sz w:val="20"/>
                <w:szCs w:val="20"/>
              </w:rPr>
            </w:pPr>
            <w:r>
              <w:rPr>
                <w:rFonts w:ascii="宋体" w:hAnsi="宋体" w:cs="宋体" w:hint="eastAsia"/>
                <w:kern w:val="0"/>
                <w:sz w:val="20"/>
                <w:szCs w:val="20"/>
              </w:rPr>
              <w:t>满意度</w:t>
            </w:r>
          </w:p>
        </w:tc>
        <w:tc>
          <w:tcPr>
            <w:tcW w:w="1134" w:type="dxa"/>
            <w:gridSpan w:val="2"/>
            <w:tcBorders>
              <w:top w:val="nil"/>
              <w:left w:val="nil"/>
              <w:bottom w:val="single" w:sz="4" w:space="0" w:color="auto"/>
              <w:right w:val="single" w:sz="4" w:space="0" w:color="auto"/>
            </w:tcBorders>
            <w:shd w:val="clear" w:color="auto" w:fill="auto"/>
            <w:vAlign w:val="center"/>
          </w:tcPr>
          <w:p w:rsidR="004B1F27" w:rsidRDefault="004655AA">
            <w:pPr>
              <w:widowControl/>
              <w:jc w:val="center"/>
              <w:textAlignment w:val="center"/>
              <w:rPr>
                <w:rFonts w:ascii="宋体" w:hAnsi="宋体" w:cs="宋体"/>
                <w:kern w:val="0"/>
                <w:sz w:val="20"/>
                <w:szCs w:val="20"/>
              </w:rPr>
            </w:pPr>
            <w:r>
              <w:rPr>
                <w:rFonts w:ascii="宋体" w:hAnsi="宋体" w:cs="宋体" w:hint="eastAsia"/>
                <w:color w:val="000000"/>
                <w:kern w:val="0"/>
                <w:sz w:val="20"/>
                <w:szCs w:val="20"/>
              </w:rPr>
              <w:t>服务对象满意度</w:t>
            </w:r>
          </w:p>
        </w:tc>
        <w:tc>
          <w:tcPr>
            <w:tcW w:w="2471" w:type="dxa"/>
            <w:gridSpan w:val="3"/>
            <w:tcBorders>
              <w:top w:val="single" w:sz="4" w:space="0" w:color="auto"/>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人民群众对加强法律监督，维护司法公正满意度</w:t>
            </w:r>
          </w:p>
        </w:tc>
        <w:tc>
          <w:tcPr>
            <w:tcW w:w="206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90%</w:t>
            </w:r>
          </w:p>
        </w:tc>
        <w:tc>
          <w:tcPr>
            <w:tcW w:w="1780" w:type="dxa"/>
            <w:tcBorders>
              <w:top w:val="nil"/>
              <w:left w:val="nil"/>
              <w:bottom w:val="single" w:sz="4" w:space="0" w:color="auto"/>
              <w:right w:val="single" w:sz="4" w:space="0" w:color="auto"/>
            </w:tcBorders>
            <w:shd w:val="clear" w:color="auto" w:fill="auto"/>
            <w:vAlign w:val="center"/>
          </w:tcPr>
          <w:p w:rsidR="004B1F27" w:rsidRDefault="004655AA">
            <w:pPr>
              <w:jc w:val="left"/>
              <w:rPr>
                <w:rFonts w:ascii="宋体" w:hAnsi="宋体" w:cs="宋体"/>
                <w:kern w:val="0"/>
                <w:sz w:val="20"/>
                <w:szCs w:val="20"/>
              </w:rPr>
            </w:pPr>
            <w:r>
              <w:rPr>
                <w:rFonts w:ascii="宋体" w:hAnsi="宋体" w:cs="宋体" w:hint="eastAsia"/>
                <w:kern w:val="0"/>
                <w:sz w:val="20"/>
                <w:szCs w:val="20"/>
              </w:rPr>
              <w:t>90%</w:t>
            </w:r>
          </w:p>
        </w:tc>
      </w:tr>
    </w:tbl>
    <w:p w:rsidR="004B1F27" w:rsidRDefault="004B1F27">
      <w:pPr>
        <w:spacing w:line="540" w:lineRule="exact"/>
        <w:rPr>
          <w:rStyle w:val="ae"/>
          <w:rFonts w:ascii="仿宋" w:eastAsia="仿宋" w:hAnsi="仿宋"/>
          <w:b w:val="0"/>
          <w:spacing w:val="-4"/>
          <w:sz w:val="32"/>
          <w:szCs w:val="32"/>
        </w:rPr>
      </w:pPr>
      <w:bookmarkStart w:id="1" w:name="_GoBack"/>
      <w:bookmarkEnd w:id="0"/>
      <w:bookmarkEnd w:id="1"/>
    </w:p>
    <w:sectPr w:rsidR="004B1F27">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5AA" w:rsidRDefault="004655AA">
      <w:r>
        <w:separator/>
      </w:r>
    </w:p>
  </w:endnote>
  <w:endnote w:type="continuationSeparator" w:id="0">
    <w:p w:rsidR="004655AA" w:rsidRDefault="0046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微软雅黑"/>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4B1F27" w:rsidRDefault="004655AA">
        <w:pPr>
          <w:pStyle w:val="a5"/>
          <w:jc w:val="center"/>
        </w:pPr>
        <w:r>
          <w:fldChar w:fldCharType="begin"/>
        </w:r>
        <w:r>
          <w:instrText>PAGE   \* MERGEFORMAT</w:instrText>
        </w:r>
        <w:r>
          <w:fldChar w:fldCharType="separate"/>
        </w:r>
        <w:r w:rsidR="00845924" w:rsidRPr="00845924">
          <w:rPr>
            <w:noProof/>
            <w:lang w:val="zh-CN"/>
          </w:rPr>
          <w:t>9</w:t>
        </w:r>
        <w:r>
          <w:rPr>
            <w:lang w:val="zh-CN"/>
          </w:rPr>
          <w:fldChar w:fldCharType="end"/>
        </w:r>
      </w:p>
    </w:sdtContent>
  </w:sdt>
  <w:p w:rsidR="004B1F27" w:rsidRDefault="004B1F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5AA" w:rsidRDefault="004655AA">
      <w:r>
        <w:separator/>
      </w:r>
    </w:p>
  </w:footnote>
  <w:footnote w:type="continuationSeparator" w:id="0">
    <w:p w:rsidR="004655AA" w:rsidRDefault="004655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6457"/>
    <w:rsid w:val="00056465"/>
    <w:rsid w:val="000D2CDC"/>
    <w:rsid w:val="00106586"/>
    <w:rsid w:val="00121AE4"/>
    <w:rsid w:val="00122CD6"/>
    <w:rsid w:val="00146AAD"/>
    <w:rsid w:val="00154357"/>
    <w:rsid w:val="001B3A40"/>
    <w:rsid w:val="001F4BD9"/>
    <w:rsid w:val="002B4C3B"/>
    <w:rsid w:val="002F1B2E"/>
    <w:rsid w:val="002F2DDD"/>
    <w:rsid w:val="00317322"/>
    <w:rsid w:val="00337C97"/>
    <w:rsid w:val="003615BB"/>
    <w:rsid w:val="003B0F5A"/>
    <w:rsid w:val="003C18BC"/>
    <w:rsid w:val="0041231D"/>
    <w:rsid w:val="004366A8"/>
    <w:rsid w:val="0045747D"/>
    <w:rsid w:val="00464900"/>
    <w:rsid w:val="004655AA"/>
    <w:rsid w:val="00492529"/>
    <w:rsid w:val="004B1F27"/>
    <w:rsid w:val="00502BA7"/>
    <w:rsid w:val="00506594"/>
    <w:rsid w:val="005162F1"/>
    <w:rsid w:val="00535153"/>
    <w:rsid w:val="00542434"/>
    <w:rsid w:val="00554F82"/>
    <w:rsid w:val="0056390D"/>
    <w:rsid w:val="005719B0"/>
    <w:rsid w:val="005D10D6"/>
    <w:rsid w:val="006962DB"/>
    <w:rsid w:val="006B7D31"/>
    <w:rsid w:val="006C57C9"/>
    <w:rsid w:val="007114D2"/>
    <w:rsid w:val="007806A5"/>
    <w:rsid w:val="007A5BE6"/>
    <w:rsid w:val="007A70EC"/>
    <w:rsid w:val="007B7EBD"/>
    <w:rsid w:val="007D1D4C"/>
    <w:rsid w:val="00845924"/>
    <w:rsid w:val="00855E3A"/>
    <w:rsid w:val="00882B0E"/>
    <w:rsid w:val="008C7F6E"/>
    <w:rsid w:val="008E0AD7"/>
    <w:rsid w:val="00922CB9"/>
    <w:rsid w:val="009E5CD9"/>
    <w:rsid w:val="009F5D9B"/>
    <w:rsid w:val="00A26421"/>
    <w:rsid w:val="00A337BA"/>
    <w:rsid w:val="00A41FC0"/>
    <w:rsid w:val="00A4293B"/>
    <w:rsid w:val="00A439AB"/>
    <w:rsid w:val="00A67D50"/>
    <w:rsid w:val="00A8691A"/>
    <w:rsid w:val="00AC1946"/>
    <w:rsid w:val="00AC734D"/>
    <w:rsid w:val="00B40063"/>
    <w:rsid w:val="00B41F61"/>
    <w:rsid w:val="00B772D7"/>
    <w:rsid w:val="00BA46E6"/>
    <w:rsid w:val="00C52F88"/>
    <w:rsid w:val="00C56C72"/>
    <w:rsid w:val="00C61943"/>
    <w:rsid w:val="00C92978"/>
    <w:rsid w:val="00CA6457"/>
    <w:rsid w:val="00D04590"/>
    <w:rsid w:val="00D17F2E"/>
    <w:rsid w:val="00D30354"/>
    <w:rsid w:val="00DF42A0"/>
    <w:rsid w:val="00DF761E"/>
    <w:rsid w:val="00E40FD9"/>
    <w:rsid w:val="00E46C51"/>
    <w:rsid w:val="00E769FE"/>
    <w:rsid w:val="00EA2CBE"/>
    <w:rsid w:val="00EC1BE4"/>
    <w:rsid w:val="00F32FEE"/>
    <w:rsid w:val="00FB10BB"/>
    <w:rsid w:val="00FD7F04"/>
    <w:rsid w:val="05DD4405"/>
    <w:rsid w:val="08613FFA"/>
    <w:rsid w:val="091813D2"/>
    <w:rsid w:val="09437245"/>
    <w:rsid w:val="09F47EA4"/>
    <w:rsid w:val="137F0434"/>
    <w:rsid w:val="15865D76"/>
    <w:rsid w:val="15C151E2"/>
    <w:rsid w:val="18F9640B"/>
    <w:rsid w:val="1C0D6A47"/>
    <w:rsid w:val="1E9429F8"/>
    <w:rsid w:val="225D0B2C"/>
    <w:rsid w:val="25551B3A"/>
    <w:rsid w:val="30EA762F"/>
    <w:rsid w:val="38C60B8C"/>
    <w:rsid w:val="39593B4E"/>
    <w:rsid w:val="3A9D39B5"/>
    <w:rsid w:val="3D0134C2"/>
    <w:rsid w:val="3DC553F2"/>
    <w:rsid w:val="40BD7312"/>
    <w:rsid w:val="4572762E"/>
    <w:rsid w:val="4A200C61"/>
    <w:rsid w:val="4C9B6B1F"/>
    <w:rsid w:val="53A911E2"/>
    <w:rsid w:val="553C40C4"/>
    <w:rsid w:val="591530C3"/>
    <w:rsid w:val="5B746D1D"/>
    <w:rsid w:val="63C42FF6"/>
    <w:rsid w:val="66164D7F"/>
    <w:rsid w:val="66663FA9"/>
    <w:rsid w:val="677100B8"/>
    <w:rsid w:val="6BF346D2"/>
    <w:rsid w:val="714A5F73"/>
    <w:rsid w:val="71D24B09"/>
    <w:rsid w:val="72CB5E7C"/>
    <w:rsid w:val="74DD0281"/>
    <w:rsid w:val="77586A51"/>
    <w:rsid w:val="78C44D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74532"/>
  <w15:docId w15:val="{5827997B-43E2-4F8A-8065-8C15E8844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qFormat/>
    <w:pPr>
      <w:spacing w:before="100" w:beforeAutospacing="1" w:after="100" w:afterAutospacing="1"/>
      <w:jc w:val="left"/>
    </w:pPr>
    <w:rPr>
      <w:kern w:val="0"/>
      <w:sz w:val="24"/>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d">
    <w:name w:val="标题 字符"/>
    <w:basedOn w:val="a0"/>
    <w:link w:val="ac"/>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 w:type="paragraph" w:customStyle="1" w:styleId="p15">
    <w:name w:val="p15"/>
    <w:basedOn w:val="a"/>
    <w:qFormat/>
    <w:pPr>
      <w:widowControl/>
    </w:pPr>
    <w:rPr>
      <w:kern w:val="0"/>
    </w:rPr>
  </w:style>
  <w:style w:type="character" w:customStyle="1" w:styleId="font11">
    <w:name w:val="font11"/>
    <w:basedOn w:val="a0"/>
    <w:qFormat/>
    <w:rPr>
      <w:rFonts w:ascii="宋体" w:eastAsia="宋体" w:hAnsi="宋体" w:cs="宋体" w:hint="eastAsia"/>
      <w:color w:val="000000"/>
      <w:sz w:val="20"/>
      <w:szCs w:val="20"/>
      <w:u w:val="none"/>
    </w:rPr>
  </w:style>
  <w:style w:type="character" w:customStyle="1" w:styleId="font01">
    <w:name w:val="font01"/>
    <w:basedOn w:val="a0"/>
    <w:qFormat/>
    <w:rPr>
      <w:rFonts w:ascii="宋体" w:eastAsia="宋体" w:hAnsi="宋体" w:cs="宋体" w:hint="eastAsia"/>
      <w:color w:val="000000"/>
      <w:sz w:val="24"/>
      <w:szCs w:val="24"/>
      <w:u w:val="none"/>
    </w:rPr>
  </w:style>
  <w:style w:type="character" w:customStyle="1" w:styleId="font21">
    <w:name w:val="font21"/>
    <w:basedOn w:val="a0"/>
    <w:qFormat/>
    <w:rPr>
      <w:rFonts w:ascii="宋体" w:eastAsia="宋体" w:hAnsi="宋体" w:cs="宋体" w:hint="eastAsia"/>
      <w:color w:val="000000"/>
      <w:sz w:val="20"/>
      <w:szCs w:val="20"/>
      <w:u w:val="none"/>
    </w:rPr>
  </w:style>
  <w:style w:type="paragraph" w:styleId="af0">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587</Words>
  <Characters>3350</Characters>
  <Application>Microsoft Office Word</Application>
  <DocSecurity>0</DocSecurity>
  <Lines>27</Lines>
  <Paragraphs>7</Paragraphs>
  <ScaleCrop>false</ScaleCrop>
  <Company>Microsoft</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28</cp:revision>
  <cp:lastPrinted>2019-01-13T12:20:00Z</cp:lastPrinted>
  <dcterms:created xsi:type="dcterms:W3CDTF">2018-08-15T02:06:00Z</dcterms:created>
  <dcterms:modified xsi:type="dcterms:W3CDTF">2019-09-24T12:35:00Z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