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中职学校运动场（及配套设施）建设项目工程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教科局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温玉红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15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中等职业技术学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校职业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教育、成人学历教育及培训、新型职业农民培训、企业新成长劳动力培训、各类短期培训及鉴定。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中等职业技术学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校职业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单位无下属预算单位，下设5个处室，分别是：中职教务处、电大教务处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、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培训部，计财处、后勤处。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中等职业技术学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校职业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单位编制数43人，实有人数44人(含同工同酬1人)，其中：在职44人(含同工同酬1人)，增加0人；退休28人，增加0人；离休0人，增加0人。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（包括预期目标及阶段性目标；项目基本性质、用途和主要内容、涉及范围）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中职学校运动场（及配套设施）建设项目工程，有新疆亨通建设工程有限责任公司承建，总建面积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38322平方米，包括400米田径运动场1个、篮球场2个，乒乓球场587.75平方米，主席台330.24平方米、看台2163.52平方米，停车场3365.92平方米、我抢、检票口、广播室、化妆室、卫生间等项目。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中职学校运动场（及配套设施）建设项目工程审定价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3284.66万元，玛党财【2018】6号纪精神，要2018年从教育附加中安排资金500万元。</w:t>
      </w:r>
      <w:bookmarkStart w:id="0" w:name="_GoBack"/>
      <w:bookmarkEnd w:id="0"/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按照项目进度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2018年支付资金500万元，资金来源全部为县本级配套。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根据财经会纪要、《建设工程造价咨询核定书》，制定相关工程管理办法，严格按照进度和纪要精神拨付，做到专款专用。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  <w:highlight w:val="none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  <w:highlight w:val="none"/>
          <w:lang w:eastAsia="zh-CN"/>
        </w:rPr>
        <w:t>中职学校运动场（及配套设施）建设项目工程</w:t>
      </w: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  <w:highlight w:val="none"/>
          <w:lang w:val="en-US" w:eastAsia="zh-CN"/>
        </w:rPr>
        <w:t>2016年</w:t>
      </w: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  <w:highlight w:val="none"/>
          <w:lang w:eastAsia="zh-CN"/>
        </w:rPr>
        <w:t>中标价</w:t>
      </w:r>
      <w:r>
        <w:rPr>
          <w:rStyle w:val="18"/>
          <w:rFonts w:hint="eastAsia" w:ascii="仿宋" w:hAnsi="仿宋" w:eastAsia="仿宋"/>
          <w:b w:val="0"/>
          <w:bCs/>
          <w:spacing w:val="-4"/>
          <w:sz w:val="32"/>
          <w:szCs w:val="32"/>
          <w:highlight w:val="none"/>
          <w:lang w:val="en-US" w:eastAsia="zh-CN"/>
        </w:rPr>
        <w:t>1893.29万元，最终送审价3715.62万元，最终核定价3284.66万元。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根据财经会纪要、《建设工程造价咨询核定书》，制定相关工程管理办法，严格按照进度和纪要精神拨付，做到专款专用。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lang w:eastAsia="zh-CN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中职学校运动场（及配套设施）建设项目工程，通过该项目扩大了学生运动场所，丰富了学生课余生活，加强了学生身体锻炼。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中职学校运动场（及配套设施）建设项目工程充分利用校园地形和统建，使建筑之间更加和谐。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中职学校运动场（及配套设施）建设项目工程奢华我校教育改革，有利于我校开展实施素质教育，不提升我校学生能力素质，为玛纳斯县社会经济发展打下良好的人才基础。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目绩效目标已完成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按照工程造价和合同安排按计划拨付剩余资金，同时加强资金管理，做到专款专用。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统筹安排，均衡发展。满足学生对于运动场所的需求安排，对运动场进行细致规划，满足现有需求。过程监督，质量第一。为保障运动场建设质量，对工程进行招标，选择质量好，性价比高的企业，同时对工程进行严格审核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。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根据玛党财会议纪要的精神，严格制定资金管理办法，同时聘请审计对工程造价进行严格验工审核。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pStyle w:val="2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/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20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成职教中心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以科学发展观为指导,以促进教育均衡发展为目标,以办人民满意的教育为宗旨,按照“结构、规模、质量、效益”相协调的思路,坚持把调整学校布局整合教育资源工作摆在战略地位,突出重点,加大力度,进一步科学配置教育资源,切实解决好学校布局不合理、办学条件不达标、教育资源短缺以及整体资源使用效益不高等突出问题,努力构建结构合理、布局科学、建设达标、质量效益较高的教育发展新格局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以科学发展观为指导,以促进教育均衡发展为目标,以办人民满意的教育为宗旨,按照“结构、规模、质量、效益”相协调的思路,坚持把调整学校布局整合教育资源工作摆在战略地位,突出重点,加大力度,进一步科学配置教育资源,切实解决好学校布局不合理、办学条件不达标、教育资源短缺以及整体资源使用效益不高等突出问题,努力构建结构合理、布局科学、建设达标、质量效益较高的教育发展新格局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建设面积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38322平方米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38322平方米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田径场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竣工验收合格率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建设质量标准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合格以上档次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开工时间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val="en-US" w:eastAsia="zh-CN"/>
              </w:rPr>
              <w:t>2015年11月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完工时间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2016年8月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Times New Roman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　</w:t>
            </w:r>
            <w:r>
              <w:rPr>
                <w:rFonts w:hint="eastAsia" w:ascii="宋体" w:hAnsi="宋体" w:eastAsia="宋体" w:cs="Times New Roman"/>
                <w:b w:val="0"/>
                <w:i w:val="0"/>
                <w:color w:val="000000"/>
                <w:sz w:val="20"/>
                <w:u w:val="none"/>
                <w:shd w:val="clear" w:color="auto" w:fill="FFFFFF"/>
                <w:lang w:val="en-US" w:eastAsia="zh-CN"/>
              </w:rPr>
              <w:t>送审价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Times New Roman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　</w:t>
            </w:r>
            <w:r>
              <w:rPr>
                <w:rFonts w:hint="eastAsia" w:ascii="宋体" w:hAnsi="宋体" w:eastAsia="宋体" w:cs="Times New Roman"/>
                <w:b w:val="0"/>
                <w:i w:val="0"/>
                <w:color w:val="000000"/>
                <w:sz w:val="20"/>
                <w:u w:val="none"/>
                <w:shd w:val="clear" w:color="auto" w:fill="FFFFFF"/>
                <w:lang w:val="en-US" w:eastAsia="zh-CN"/>
              </w:rPr>
              <w:t>3715.62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Times New Roman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　</w:t>
            </w:r>
            <w:r>
              <w:rPr>
                <w:rFonts w:hint="eastAsia" w:ascii="宋体" w:hAnsi="宋体" w:eastAsia="宋体" w:cs="Times New Roman"/>
                <w:b w:val="0"/>
                <w:i w:val="0"/>
                <w:color w:val="000000"/>
                <w:sz w:val="20"/>
                <w:u w:val="none"/>
                <w:shd w:val="clear" w:color="auto" w:fill="FFFFFF"/>
                <w:lang w:val="en-US" w:eastAsia="zh-CN"/>
              </w:rPr>
              <w:t>核定价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Times New Roman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　</w:t>
            </w:r>
            <w:r>
              <w:rPr>
                <w:rFonts w:hint="eastAsia" w:ascii="宋体" w:hAnsi="宋体" w:eastAsia="宋体" w:cs="Times New Roman"/>
                <w:b w:val="0"/>
                <w:i w:val="0"/>
                <w:color w:val="000000"/>
                <w:sz w:val="20"/>
                <w:u w:val="none"/>
                <w:shd w:val="clear" w:color="auto" w:fill="FFFFFF"/>
                <w:lang w:val="en-US" w:eastAsia="zh-CN"/>
              </w:rPr>
              <w:t>3284.66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项目覆盖学生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≥</w:t>
            </w:r>
            <w:r>
              <w:rPr>
                <w:rFonts w:hint="eastAsia" w:ascii="宋体" w:hAnsi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val="en-US" w:eastAsia="zh-CN"/>
              </w:rPr>
              <w:t>599</w:t>
            </w: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运动场持续使用年限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≥50年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运动场持续使用年限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≥50年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学生满意度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≥95%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学生家长满意度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hd w:val="solid" w:color="FFFFFF" w:fill="auto"/>
              <w:autoSpaceDN w:val="0"/>
              <w:spacing w:before="0" w:beforeAutospacing="0" w:afterAutospacing="0"/>
              <w:ind w:left="0" w:right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shd w:val="clear" w:color="auto" w:fill="FFFFFF"/>
                <w:lang w:eastAsia="zh-CN"/>
              </w:rPr>
              <w:t>≥95%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692274D"/>
    <w:rsid w:val="0BC31CB7"/>
    <w:rsid w:val="19F301DE"/>
    <w:rsid w:val="21656499"/>
    <w:rsid w:val="21ED082D"/>
    <w:rsid w:val="2C7722B4"/>
    <w:rsid w:val="2CB272AC"/>
    <w:rsid w:val="305D4C8D"/>
    <w:rsid w:val="34F53CAD"/>
    <w:rsid w:val="39264A0A"/>
    <w:rsid w:val="553C40C4"/>
    <w:rsid w:val="63C42FF6"/>
    <w:rsid w:val="6713467D"/>
    <w:rsid w:val="69204238"/>
    <w:rsid w:val="70A0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5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6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7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8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9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10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1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able of authorities"/>
    <w:basedOn w:val="1"/>
    <w:next w:val="1"/>
    <w:uiPriority w:val="0"/>
    <w:pPr>
      <w:ind w:left="420" w:leftChars="200"/>
    </w:pPr>
    <w:rPr>
      <w:rFonts w:ascii="Times New Roman" w:hAnsi="Times New Roman" w:eastAsia="宋体" w:cs="Times New Roman"/>
    </w:rPr>
  </w:style>
  <w:style w:type="paragraph" w:styleId="12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7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7"/>
    <w:link w:val="6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7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8"/>
    <w:semiHidden/>
    <w:qFormat/>
    <w:uiPriority w:val="9"/>
    <w:rPr>
      <w:b/>
      <w:bCs/>
    </w:rPr>
  </w:style>
  <w:style w:type="character" w:customStyle="1" w:styleId="27">
    <w:name w:val="标题 7 Char"/>
    <w:basedOn w:val="17"/>
    <w:link w:val="9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7"/>
    <w:link w:val="10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7"/>
    <w:link w:val="11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7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7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7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7"/>
    <w:link w:val="36"/>
    <w:qFormat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2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Heading"/>
    <w:basedOn w:val="3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7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7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14</TotalTime>
  <ScaleCrop>false</ScaleCrop>
  <LinksUpToDate>false</LinksUpToDate>
  <CharactersWithSpaces>1366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周登攀</cp:lastModifiedBy>
  <cp:lastPrinted>2019-01-13T12:20:00Z</cp:lastPrinted>
  <dcterms:modified xsi:type="dcterms:W3CDTF">2019-02-25T13:18:26Z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