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jc w:val="center"/>
        <w:textAlignment w:val="auto"/>
        <w:rPr>
          <w:rFonts w:hint="eastAsia" w:ascii="仿宋_GB2312" w:hAnsi="仿宋_GB2312"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jc w:val="center"/>
        <w:textAlignment w:val="auto"/>
        <w:rPr>
          <w:rFonts w:hint="eastAsia" w:ascii="仿宋_GB2312" w:hAnsi="仿宋_GB2312"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jc w:val="center"/>
        <w:textAlignment w:val="auto"/>
        <w:rPr>
          <w:rFonts w:hint="eastAsia" w:ascii="仿宋_GB2312" w:hAnsi="仿宋_GB2312"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jc w:val="center"/>
        <w:textAlignment w:val="auto"/>
        <w:rPr>
          <w:rFonts w:hint="eastAsia" w:ascii="仿宋_GB2312" w:hAnsi="仿宋_GB2312"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jc w:val="center"/>
        <w:textAlignment w:val="auto"/>
        <w:rPr>
          <w:rFonts w:hint="eastAsia" w:ascii="仿宋_GB2312" w:hAnsi="仿宋_GB2312"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jc w:val="center"/>
        <w:textAlignment w:val="auto"/>
        <w:rPr>
          <w:rFonts w:hint="eastAsia" w:ascii="仿宋_GB2312" w:hAnsi="仿宋_GB2312"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jc w:val="center"/>
        <w:textAlignment w:val="auto"/>
        <w:rPr>
          <w:rFonts w:hint="eastAsia" w:ascii="仿宋_GB2312" w:hAnsi="仿宋_GB2312"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jc w:val="center"/>
        <w:textAlignment w:val="auto"/>
        <w:rPr>
          <w:rFonts w:hint="eastAsia" w:ascii="仿宋_GB2312" w:hAnsi="仿宋_GB2312"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jc w:val="center"/>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玛政规〔2023〕1号</w:t>
      </w:r>
    </w:p>
    <w:p>
      <w:pPr>
        <w:keepNext w:val="0"/>
        <w:keepLines w:val="0"/>
        <w:pageBreakBefore w:val="0"/>
        <w:widowControl w:val="0"/>
        <w:kinsoku/>
        <w:wordWrap/>
        <w:overflowPunct/>
        <w:topLinePunct w:val="0"/>
        <w:autoSpaceDE w:val="0"/>
        <w:autoSpaceDN/>
        <w:bidi w:val="0"/>
        <w:adjustRightInd w:val="0"/>
        <w:snapToGrid w:val="0"/>
        <w:spacing w:after="0"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b w:val="0"/>
          <w:bCs/>
          <w:color w:val="auto"/>
          <w:spacing w:val="0"/>
          <w:sz w:val="44"/>
          <w:szCs w:val="44"/>
          <w:lang w:val="en-US" w:eastAsia="zh-CN"/>
        </w:rPr>
      </w:pPr>
    </w:p>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玛纳斯县人民政府</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关于公布玛纳斯县城区土地定级与基准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地价更新成果的通知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val="0"/>
        <w:autoSpaceDN/>
        <w:bidi w:val="0"/>
        <w:adjustRightInd w:val="0"/>
        <w:snapToGrid w:val="0"/>
        <w:spacing w:after="0" w:line="560" w:lineRule="exact"/>
        <w:ind w:left="0" w:leftChars="0" w:right="0" w:rightChars="0"/>
        <w:jc w:val="left"/>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rPr>
        <w:t>平原林场</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rPr>
        <w:t>工业园区管委会，湿地</w:t>
      </w:r>
      <w:r>
        <w:rPr>
          <w:rFonts w:hint="eastAsia" w:ascii="楷体_GB2312" w:hAnsi="楷体_GB2312" w:eastAsia="楷体_GB2312" w:cs="楷体_GB2312"/>
          <w:spacing w:val="0"/>
          <w:sz w:val="32"/>
          <w:szCs w:val="32"/>
          <w:lang w:val="en-US" w:eastAsia="zh-CN"/>
        </w:rPr>
        <w:t>公园</w:t>
      </w:r>
      <w:r>
        <w:rPr>
          <w:rFonts w:hint="eastAsia" w:ascii="楷体_GB2312" w:hAnsi="楷体_GB2312" w:eastAsia="楷体_GB2312" w:cs="楷体_GB2312"/>
          <w:spacing w:val="0"/>
          <w:sz w:val="32"/>
          <w:szCs w:val="32"/>
        </w:rPr>
        <w:t>管理局，各乡镇人民</w:t>
      </w:r>
      <w:r>
        <w:rPr>
          <w:rFonts w:hint="eastAsia" w:ascii="楷体_GB2312" w:hAnsi="楷体_GB2312" w:eastAsia="楷体_GB2312" w:cs="楷体_GB2312"/>
          <w:spacing w:val="0"/>
          <w:sz w:val="32"/>
          <w:szCs w:val="32"/>
          <w:lang w:val="en-US" w:eastAsia="zh-CN"/>
        </w:rPr>
        <w:t>政府，县人民政府各部门，各企事业单位：</w:t>
      </w:r>
    </w:p>
    <w:p>
      <w:pPr>
        <w:keepNext w:val="0"/>
        <w:keepLines w:val="0"/>
        <w:pageBreakBefore w:val="0"/>
        <w:widowControl w:val="0"/>
        <w:kinsoku/>
        <w:wordWrap/>
        <w:overflowPunct/>
        <w:topLinePunct w:val="0"/>
        <w:autoSpaceDE w:val="0"/>
        <w:autoSpaceDN/>
        <w:bidi w:val="0"/>
        <w:adjustRightInd w:val="0"/>
        <w:snapToGrid w:val="0"/>
        <w:spacing w:after="0" w:line="560" w:lineRule="exact"/>
        <w:ind w:left="0" w:leftChars="0" w:right="0" w:rightChars="0" w:firstLine="640" w:firstLineChars="200"/>
        <w:jc w:val="left"/>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z w:val="32"/>
          <w:szCs w:val="32"/>
          <w:lang w:val="en-US" w:eastAsia="zh-CN"/>
        </w:rPr>
        <w:t>《玛纳斯县城区土地定级与基准地价更新成果》</w:t>
      </w:r>
      <w:r>
        <w:rPr>
          <w:rFonts w:hint="eastAsia" w:ascii="楷体_GB2312" w:hAnsi="楷体_GB2312" w:eastAsia="楷体_GB2312" w:cs="楷体_GB2312"/>
          <w:spacing w:val="0"/>
          <w:sz w:val="32"/>
          <w:szCs w:val="32"/>
        </w:rPr>
        <w:t>已经县人民政府同意，现批转给你们，请遵照执行。</w:t>
      </w:r>
    </w:p>
    <w:p>
      <w:pPr>
        <w:keepNext w:val="0"/>
        <w:keepLines w:val="0"/>
        <w:pageBreakBefore w:val="0"/>
        <w:widowControl w:val="0"/>
        <w:kinsoku/>
        <w:wordWrap/>
        <w:overflowPunct/>
        <w:topLinePunct w:val="0"/>
        <w:autoSpaceDE w:val="0"/>
        <w:autoSpaceDN/>
        <w:bidi w:val="0"/>
        <w:adjustRightInd w:val="0"/>
        <w:snapToGrid w:val="0"/>
        <w:spacing w:after="0" w:line="560" w:lineRule="exact"/>
        <w:ind w:left="0" w:leftChars="0" w:right="0" w:rightChars="0"/>
        <w:jc w:val="left"/>
        <w:textAlignment w:val="auto"/>
        <w:outlineLvl w:val="9"/>
        <w:rPr>
          <w:rFonts w:hint="eastAsia" w:ascii="楷体_GB2312" w:hAnsi="楷体_GB2312" w:eastAsia="楷体_GB2312" w:cs="楷体_GB2312"/>
          <w:spacing w:val="0"/>
          <w:sz w:val="32"/>
          <w:szCs w:val="32"/>
        </w:rPr>
      </w:pPr>
    </w:p>
    <w:p>
      <w:pPr>
        <w:keepNext w:val="0"/>
        <w:keepLines w:val="0"/>
        <w:pageBreakBefore w:val="0"/>
        <w:widowControl w:val="0"/>
        <w:kinsoku/>
        <w:wordWrap/>
        <w:overflowPunct/>
        <w:topLinePunct w:val="0"/>
        <w:autoSpaceDE w:val="0"/>
        <w:autoSpaceDN/>
        <w:bidi w:val="0"/>
        <w:adjustRightInd w:val="0"/>
        <w:snapToGrid w:val="0"/>
        <w:spacing w:after="0" w:line="560" w:lineRule="exact"/>
        <w:ind w:left="0" w:leftChars="0" w:right="0" w:rightChars="0"/>
        <w:jc w:val="left"/>
        <w:textAlignment w:val="auto"/>
        <w:outlineLvl w:val="9"/>
        <w:rPr>
          <w:rFonts w:hint="eastAsia" w:ascii="楷体_GB2312" w:hAnsi="楷体_GB2312" w:eastAsia="楷体_GB2312" w:cs="楷体_GB2312"/>
          <w:spacing w:val="0"/>
          <w:sz w:val="32"/>
          <w:szCs w:val="32"/>
        </w:rPr>
      </w:pPr>
    </w:p>
    <w:p>
      <w:pPr>
        <w:keepNext w:val="0"/>
        <w:keepLines w:val="0"/>
        <w:pageBreakBefore w:val="0"/>
        <w:widowControl w:val="0"/>
        <w:kinsoku/>
        <w:wordWrap/>
        <w:overflowPunct/>
        <w:topLinePunct w:val="0"/>
        <w:autoSpaceDE w:val="0"/>
        <w:autoSpaceDN/>
        <w:bidi w:val="0"/>
        <w:adjustRightInd w:val="0"/>
        <w:snapToGrid w:val="0"/>
        <w:spacing w:after="0" w:line="560" w:lineRule="exact"/>
        <w:ind w:left="880" w:leftChars="400" w:right="0" w:rightChars="0" w:firstLine="320" w:firstLineChars="100"/>
        <w:jc w:val="left"/>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rPr>
        <w:t xml:space="preserve">  </w:t>
      </w:r>
      <w:r>
        <w:rPr>
          <w:rFonts w:hint="eastAsia" w:ascii="楷体_GB2312" w:hAnsi="楷体_GB2312" w:eastAsia="楷体_GB2312" w:cs="楷体_GB2312"/>
          <w:spacing w:val="0"/>
          <w:sz w:val="32"/>
          <w:szCs w:val="32"/>
          <w:lang w:val="en-US" w:eastAsia="zh-CN"/>
        </w:rPr>
        <w:t xml:space="preserve">                      玛纳斯县人民政府</w:t>
      </w:r>
    </w:p>
    <w:p>
      <w:pPr>
        <w:keepNext w:val="0"/>
        <w:keepLines w:val="0"/>
        <w:pageBreakBefore w:val="0"/>
        <w:widowControl w:val="0"/>
        <w:kinsoku/>
        <w:wordWrap/>
        <w:overflowPunct/>
        <w:topLinePunct w:val="0"/>
        <w:autoSpaceDE w:val="0"/>
        <w:autoSpaceDN/>
        <w:bidi w:val="0"/>
        <w:adjustRightInd w:val="0"/>
        <w:snapToGrid w:val="0"/>
        <w:spacing w:after="0" w:line="560" w:lineRule="exact"/>
        <w:ind w:left="880" w:leftChars="400" w:right="0" w:rightChars="0" w:firstLine="371" w:firstLineChars="116"/>
        <w:jc w:val="left"/>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 xml:space="preserve">                       </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202</w:t>
      </w:r>
      <w:r>
        <w:rPr>
          <w:rFonts w:hint="eastAsia" w:ascii="楷体_GB2312" w:hAnsi="楷体_GB2312" w:eastAsia="楷体_GB2312" w:cs="楷体_GB2312"/>
          <w:spacing w:val="0"/>
          <w:sz w:val="32"/>
          <w:szCs w:val="32"/>
          <w:lang w:val="en-US" w:eastAsia="zh-CN"/>
        </w:rPr>
        <w:t>3</w:t>
      </w:r>
      <w:r>
        <w:rPr>
          <w:rFonts w:hint="eastAsia" w:ascii="楷体_GB2312" w:hAnsi="楷体_GB2312" w:eastAsia="楷体_GB2312" w:cs="楷体_GB2312"/>
          <w:spacing w:val="0"/>
          <w:sz w:val="32"/>
          <w:szCs w:val="32"/>
        </w:rPr>
        <w:t>年</w:t>
      </w:r>
      <w:r>
        <w:rPr>
          <w:rFonts w:hint="eastAsia" w:ascii="楷体_GB2312" w:hAnsi="楷体_GB2312" w:eastAsia="楷体_GB2312" w:cs="楷体_GB2312"/>
          <w:spacing w:val="0"/>
          <w:sz w:val="32"/>
          <w:szCs w:val="32"/>
          <w:lang w:val="en-US" w:eastAsia="zh-CN"/>
        </w:rPr>
        <w:t>4</w:t>
      </w:r>
      <w:r>
        <w:rPr>
          <w:rFonts w:hint="eastAsia" w:ascii="楷体_GB2312" w:hAnsi="楷体_GB2312" w:eastAsia="楷体_GB2312" w:cs="楷体_GB2312"/>
          <w:spacing w:val="0"/>
          <w:sz w:val="32"/>
          <w:szCs w:val="32"/>
        </w:rPr>
        <w:t>月</w:t>
      </w:r>
      <w:r>
        <w:rPr>
          <w:rFonts w:hint="eastAsia" w:ascii="楷体_GB2312" w:hAnsi="楷体_GB2312" w:eastAsia="楷体_GB2312" w:cs="楷体_GB2312"/>
          <w:spacing w:val="0"/>
          <w:sz w:val="32"/>
          <w:szCs w:val="32"/>
          <w:lang w:val="en-US" w:eastAsia="zh-CN"/>
        </w:rPr>
        <w:t>10</w:t>
      </w:r>
      <w:r>
        <w:rPr>
          <w:rFonts w:hint="eastAsia" w:ascii="楷体_GB2312" w:hAnsi="楷体_GB2312" w:eastAsia="楷体_GB2312" w:cs="楷体_GB2312"/>
          <w:spacing w:val="0"/>
          <w:sz w:val="32"/>
          <w:szCs w:val="32"/>
        </w:rPr>
        <w:t>日</w:t>
      </w:r>
    </w:p>
    <w:p>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pacing w:val="0"/>
          <w:sz w:val="32"/>
          <w:szCs w:val="32"/>
        </w:rPr>
        <w:br w:type="page"/>
      </w:r>
    </w:p>
    <w:p>
      <w:pPr>
        <w:pStyle w:val="10"/>
        <w:keepNext w:val="0"/>
        <w:keepLines w:val="0"/>
        <w:pageBreakBefore w:val="0"/>
        <w:widowControl w:val="0"/>
        <w:kinsoku/>
        <w:wordWrap/>
        <w:overflowPunct/>
        <w:topLinePunct w:val="0"/>
        <w:autoSpaceDE/>
        <w:autoSpaceDN/>
        <w:bidi w:val="0"/>
        <w:adjustRightInd w:val="0"/>
        <w:snapToGrid w:val="0"/>
        <w:spacing w:after="0" w:line="56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after="0" w:line="56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玛纳斯县城区土地定级与基准地价更新成果</w:t>
      </w:r>
    </w:p>
    <w:p>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基准地价成果符合地产市场运行实际，强化政府对城镇地价和土地市场的管理，促进我县土地市场持续健康发展，依据《国土资源部办公厅关于实施&lt;城镇土地分等定级规程&gt;和&lt;城镇土地估价规程&gt;有关问题的通知》（国土厅发〔2015〕12号）及《国土资源部办公厅关于加强公示地价体系建设和管理有关问题的通知》（国土资厅发〔2017〕27号）等文件精神及我县经济社会发展需要，县人民政府组织专门力量对玛纳斯县城区土地定级与基准地价成果进行了更新，更新成果已通过自治区自然资源厅验收合格（新自然评估字〔2023〕17号）。现予以公布实施并将有关事项通告如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一、土地定级范围与级别的分布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此次玛纳斯县城区土地定级和基准地价更新</w:t>
      </w:r>
      <w:r>
        <w:rPr>
          <w:rFonts w:hint="eastAsia" w:ascii="仿宋_GB2312" w:hAnsi="仿宋_GB2312" w:eastAsia="仿宋_GB2312" w:cs="仿宋_GB2312"/>
          <w:color w:val="auto"/>
          <w:sz w:val="32"/>
          <w:szCs w:val="32"/>
        </w:rPr>
        <w:t>工作总面积为</w:t>
      </w:r>
      <w:r>
        <w:rPr>
          <w:rFonts w:hint="eastAsia" w:ascii="仿宋_GB2312" w:hAnsi="仿宋_GB2312" w:eastAsia="仿宋_GB2312" w:cs="仿宋_GB2312"/>
          <w:color w:val="auto"/>
          <w:sz w:val="32"/>
          <w:szCs w:val="32"/>
          <w:lang w:val="en-US" w:eastAsia="zh-CN"/>
        </w:rPr>
        <w:t>28.7778</w:t>
      </w:r>
      <w:r>
        <w:rPr>
          <w:rFonts w:hint="eastAsia" w:ascii="仿宋_GB2312" w:hAnsi="仿宋_GB2312" w:eastAsia="仿宋_GB2312" w:cs="仿宋_GB2312"/>
          <w:color w:val="auto"/>
          <w:sz w:val="32"/>
          <w:szCs w:val="32"/>
        </w:rPr>
        <w:t>平方公里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不含生产建设兵团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东至规划外环路，南至头二三宫渠，西至西海路（建设路）以西约1000米，北至莫合渠以北约400米。总面积为28.7778平方公里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玛纳斯县城区土地定级范围划分为四个土地级别，分别为：</w:t>
      </w:r>
    </w:p>
    <w:p>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一级地：面积4.228平方公里，占定级区域面积的14.69%。东至：益民路，南至：朝阳路，西</w:t>
      </w:r>
      <w:r>
        <w:rPr>
          <w:rFonts w:hint="eastAsia" w:ascii="仿宋_GB2312" w:hAnsi="仿宋_GB2312" w:eastAsia="仿宋_GB2312" w:cs="仿宋_GB2312"/>
          <w:color w:val="auto"/>
          <w:sz w:val="32"/>
          <w:szCs w:val="32"/>
          <w:lang w:val="en-US" w:eastAsia="zh-CN"/>
        </w:rPr>
        <w:t>至翡翠路（永安路），北至凤凰路。</w:t>
      </w:r>
    </w:p>
    <w:p>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二级地：面积6.5618平方公里，占定级区域面积的22.8%。东至县中医院东面，西至</w:t>
      </w:r>
      <w:r>
        <w:rPr>
          <w:rFonts w:hint="eastAsia" w:ascii="仿宋_GB2312" w:hAnsi="仿宋_GB2312" w:eastAsia="仿宋_GB2312" w:cs="仿宋_GB2312"/>
          <w:color w:val="auto"/>
          <w:sz w:val="32"/>
          <w:szCs w:val="32"/>
          <w:lang w:val="en-US" w:eastAsia="zh-CN"/>
        </w:rPr>
        <w:t>西海路（建设路），</w:t>
      </w:r>
      <w:r>
        <w:rPr>
          <w:rFonts w:hint="eastAsia" w:ascii="仿宋_GB2312" w:hAnsi="仿宋_GB2312" w:eastAsia="仿宋_GB2312" w:cs="仿宋_GB2312"/>
          <w:sz w:val="32"/>
          <w:szCs w:val="32"/>
          <w:lang w:val="en-US" w:eastAsia="zh-CN"/>
        </w:rPr>
        <w:t>南至平安路，北至幸福路，主要为城镇生活区所在地，有翡翠名门、世纪花苑等生活小区。</w:t>
      </w:r>
    </w:p>
    <w:p>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三级地：面积7.53平方公里，占定级区域面积的26.17%。东至</w:t>
      </w:r>
      <w:r>
        <w:rPr>
          <w:rFonts w:hint="eastAsia" w:ascii="仿宋_GB2312" w:hAnsi="仿宋_GB2312" w:eastAsia="仿宋_GB2312" w:cs="仿宋_GB2312"/>
          <w:color w:val="auto"/>
          <w:sz w:val="32"/>
          <w:szCs w:val="32"/>
          <w:lang w:val="en-US" w:eastAsia="zh-CN"/>
        </w:rPr>
        <w:t>金凤花园小区以东400米，西至赤霞路，南至头二三宫渠，北至莫合渠</w:t>
      </w:r>
      <w:r>
        <w:rPr>
          <w:rFonts w:hint="eastAsia" w:ascii="仿宋_GB2312" w:hAnsi="仿宋_GB2312" w:eastAsia="仿宋_GB2312" w:cs="仿宋_GB2312"/>
          <w:sz w:val="32"/>
          <w:szCs w:val="32"/>
          <w:lang w:val="en-US" w:eastAsia="zh-CN"/>
        </w:rPr>
        <w:t>。</w:t>
      </w:r>
    </w:p>
    <w:p>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四级地：面积10.458平方公里，占定级区域面积的36.34%。</w:t>
      </w:r>
    </w:p>
    <w:p>
      <w:pPr>
        <w:pStyle w:val="7"/>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黑体" w:hAnsi="黑体" w:eastAsia="黑体" w:cs="黑体"/>
          <w:b w:val="0"/>
          <w:bCs w:val="0"/>
          <w:caps w:val="0"/>
          <w:color w:val="0D0D0D"/>
          <w:kern w:val="2"/>
          <w:sz w:val="32"/>
          <w:szCs w:val="32"/>
          <w:lang w:val="en-US" w:eastAsia="zh-CN" w:bidi="ar-SA"/>
        </w:rPr>
      </w:pPr>
      <w:r>
        <w:rPr>
          <w:rFonts w:hint="eastAsia" w:ascii="黑体" w:hAnsi="黑体" w:eastAsia="黑体" w:cs="黑体"/>
          <w:b w:val="0"/>
          <w:bCs w:val="0"/>
          <w:sz w:val="32"/>
          <w:szCs w:val="32"/>
          <w:lang w:eastAsia="zh-CN"/>
        </w:rPr>
        <w:t>二、</w:t>
      </w:r>
      <w:r>
        <w:rPr>
          <w:rFonts w:hint="eastAsia" w:ascii="黑体" w:hAnsi="黑体" w:eastAsia="黑体" w:cs="黑体"/>
          <w:b w:val="0"/>
          <w:bCs w:val="0"/>
          <w:caps w:val="0"/>
          <w:color w:val="0D0D0D"/>
          <w:kern w:val="2"/>
          <w:sz w:val="32"/>
          <w:szCs w:val="32"/>
          <w:lang w:val="en-US" w:eastAsia="zh-CN" w:bidi="ar-SA"/>
        </w:rPr>
        <w:t>玛纳斯县城区土地基准地价更新表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5120" w:firstLineChars="1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单位：元/m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（万元/亩）</w:t>
      </w:r>
    </w:p>
    <w:tbl>
      <w:tblPr>
        <w:tblStyle w:val="9"/>
        <w:tblW w:w="9197" w:type="dxa"/>
        <w:tblInd w:w="0" w:type="dxa"/>
        <w:tblLayout w:type="fixed"/>
        <w:tblCellMar>
          <w:top w:w="0" w:type="dxa"/>
          <w:left w:w="108" w:type="dxa"/>
          <w:bottom w:w="0" w:type="dxa"/>
          <w:right w:w="108" w:type="dxa"/>
        </w:tblCellMar>
      </w:tblPr>
      <w:tblGrid>
        <w:gridCol w:w="3249"/>
        <w:gridCol w:w="1651"/>
        <w:gridCol w:w="1450"/>
        <w:gridCol w:w="1431"/>
        <w:gridCol w:w="1416"/>
      </w:tblGrid>
      <w:tr>
        <w:tblPrEx>
          <w:tblLayout w:type="fixed"/>
          <w:tblCellMar>
            <w:top w:w="0" w:type="dxa"/>
            <w:left w:w="108" w:type="dxa"/>
            <w:bottom w:w="0" w:type="dxa"/>
            <w:right w:w="108" w:type="dxa"/>
          </w:tblCellMar>
        </w:tblPrEx>
        <w:trPr>
          <w:trHeight w:val="667" w:hRule="atLeast"/>
        </w:trPr>
        <w:tc>
          <w:tcPr>
            <w:tcW w:w="3249" w:type="dxa"/>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xml:space="preserve">                土地级别</w:t>
            </w:r>
          </w:p>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用地类型</w:t>
            </w:r>
          </w:p>
        </w:tc>
        <w:tc>
          <w:tcPr>
            <w:tcW w:w="1651"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Ⅰ级地</w:t>
            </w:r>
          </w:p>
        </w:tc>
        <w:tc>
          <w:tcPr>
            <w:tcW w:w="1450"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Ⅱ级地</w:t>
            </w:r>
          </w:p>
        </w:tc>
        <w:tc>
          <w:tcPr>
            <w:tcW w:w="1431"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Ⅲ级地</w:t>
            </w:r>
          </w:p>
        </w:tc>
        <w:tc>
          <w:tcPr>
            <w:tcW w:w="1416"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Ⅳ级地</w:t>
            </w:r>
          </w:p>
        </w:tc>
      </w:tr>
      <w:tr>
        <w:tblPrEx>
          <w:tblLayout w:type="fixed"/>
          <w:tblCellMar>
            <w:top w:w="0" w:type="dxa"/>
            <w:left w:w="108" w:type="dxa"/>
            <w:bottom w:w="0" w:type="dxa"/>
            <w:right w:w="108" w:type="dxa"/>
          </w:tblCellMar>
        </w:tblPrEx>
        <w:trPr>
          <w:trHeight w:val="342" w:hRule="atLeast"/>
        </w:trPr>
        <w:tc>
          <w:tcPr>
            <w:tcW w:w="3249"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商服用地</w:t>
            </w:r>
          </w:p>
        </w:tc>
        <w:tc>
          <w:tcPr>
            <w:tcW w:w="16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850(56.67)</w:t>
            </w:r>
          </w:p>
        </w:tc>
        <w:tc>
          <w:tcPr>
            <w:tcW w:w="14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670(44.67)</w:t>
            </w:r>
          </w:p>
        </w:tc>
        <w:tc>
          <w:tcPr>
            <w:tcW w:w="1431"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500(33.33)</w:t>
            </w:r>
          </w:p>
        </w:tc>
        <w:tc>
          <w:tcPr>
            <w:tcW w:w="141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360(24)</w:t>
            </w:r>
          </w:p>
        </w:tc>
      </w:tr>
      <w:tr>
        <w:tblPrEx>
          <w:tblLayout w:type="fixed"/>
          <w:tblCellMar>
            <w:top w:w="0" w:type="dxa"/>
            <w:left w:w="108" w:type="dxa"/>
            <w:bottom w:w="0" w:type="dxa"/>
            <w:right w:w="108" w:type="dxa"/>
          </w:tblCellMar>
        </w:tblPrEx>
        <w:trPr>
          <w:trHeight w:val="342" w:hRule="atLeast"/>
        </w:trPr>
        <w:tc>
          <w:tcPr>
            <w:tcW w:w="324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住宅用地</w:t>
            </w:r>
          </w:p>
        </w:tc>
        <w:tc>
          <w:tcPr>
            <w:tcW w:w="16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620(41.33)</w:t>
            </w:r>
          </w:p>
        </w:tc>
        <w:tc>
          <w:tcPr>
            <w:tcW w:w="14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510(34)</w:t>
            </w:r>
          </w:p>
        </w:tc>
        <w:tc>
          <w:tcPr>
            <w:tcW w:w="1431"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400(26.67)</w:t>
            </w:r>
          </w:p>
        </w:tc>
        <w:tc>
          <w:tcPr>
            <w:tcW w:w="141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300(20)</w:t>
            </w:r>
          </w:p>
        </w:tc>
      </w:tr>
      <w:tr>
        <w:tblPrEx>
          <w:tblLayout w:type="fixed"/>
          <w:tblCellMar>
            <w:top w:w="0" w:type="dxa"/>
            <w:left w:w="108" w:type="dxa"/>
            <w:bottom w:w="0" w:type="dxa"/>
            <w:right w:w="108" w:type="dxa"/>
          </w:tblCellMar>
        </w:tblPrEx>
        <w:trPr>
          <w:trHeight w:val="342" w:hRule="atLeast"/>
        </w:trPr>
        <w:tc>
          <w:tcPr>
            <w:tcW w:w="324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工业用地</w:t>
            </w:r>
          </w:p>
        </w:tc>
        <w:tc>
          <w:tcPr>
            <w:tcW w:w="16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250(16.67)</w:t>
            </w:r>
          </w:p>
        </w:tc>
        <w:tc>
          <w:tcPr>
            <w:tcW w:w="14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200(13.33)</w:t>
            </w:r>
          </w:p>
        </w:tc>
        <w:tc>
          <w:tcPr>
            <w:tcW w:w="1431"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170(11.33)</w:t>
            </w:r>
          </w:p>
        </w:tc>
        <w:tc>
          <w:tcPr>
            <w:tcW w:w="141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125(8.33)</w:t>
            </w:r>
          </w:p>
        </w:tc>
      </w:tr>
      <w:tr>
        <w:tblPrEx>
          <w:tblLayout w:type="fixed"/>
          <w:tblCellMar>
            <w:top w:w="0" w:type="dxa"/>
            <w:left w:w="108" w:type="dxa"/>
            <w:bottom w:w="0" w:type="dxa"/>
            <w:right w:w="108" w:type="dxa"/>
          </w:tblCellMar>
        </w:tblPrEx>
        <w:trPr>
          <w:trHeight w:val="342" w:hRule="atLeast"/>
        </w:trPr>
        <w:tc>
          <w:tcPr>
            <w:tcW w:w="324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公共管理与公共服务</w:t>
            </w:r>
            <w:r>
              <w:rPr>
                <w:rFonts w:hint="eastAsia" w:ascii="仿宋_GB2312" w:hAnsi="仿宋_GB2312" w:eastAsia="仿宋_GB2312" w:cs="仿宋_GB2312"/>
                <w:color w:val="000000"/>
                <w:kern w:val="0"/>
                <w:sz w:val="24"/>
                <w:szCs w:val="24"/>
                <w:lang w:val="zh-TW" w:eastAsia="zh-CN"/>
              </w:rPr>
              <w:t>用地</w:t>
            </w:r>
          </w:p>
        </w:tc>
        <w:tc>
          <w:tcPr>
            <w:tcW w:w="16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265(17.67)</w:t>
            </w:r>
          </w:p>
        </w:tc>
        <w:tc>
          <w:tcPr>
            <w:tcW w:w="14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225(15)</w:t>
            </w:r>
          </w:p>
        </w:tc>
        <w:tc>
          <w:tcPr>
            <w:tcW w:w="1431"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190(12.67)</w:t>
            </w:r>
          </w:p>
        </w:tc>
        <w:tc>
          <w:tcPr>
            <w:tcW w:w="141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after="0" w:line="560" w:lineRule="exact"/>
              <w:ind w:left="0" w:leftChars="0" w:right="0" w:rightChars="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160(10.67)</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本通知发布的玛纳斯县城区土地定级与基准地价更新成果自本通知印发之日起</w:t>
      </w:r>
      <w:r>
        <w:rPr>
          <w:rFonts w:hint="eastAsia" w:ascii="仿宋_GB2312" w:hAnsi="仿宋_GB2312" w:eastAsia="仿宋_GB2312" w:cs="仿宋_GB2312"/>
          <w:sz w:val="32"/>
          <w:szCs w:val="32"/>
          <w:lang w:val="en-US" w:eastAsia="zh-CN"/>
        </w:rPr>
        <w:t>30日后</w:t>
      </w:r>
      <w:r>
        <w:rPr>
          <w:rFonts w:hint="eastAsia" w:ascii="仿宋_GB2312" w:hAnsi="仿宋_GB2312" w:eastAsia="仿宋_GB2312" w:cs="仿宋_GB2312"/>
          <w:sz w:val="32"/>
          <w:szCs w:val="32"/>
          <w:lang w:eastAsia="zh-CN"/>
        </w:rPr>
        <w:t>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960" w:leftChars="0" w:right="0" w:rightChars="0" w:hanging="960" w:hangingChars="3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4917" w:firstLineChars="0"/>
        <w:jc w:val="left"/>
        <w:textAlignment w:val="auto"/>
        <w:rPr>
          <w:rFonts w:hint="eastAsia" w:ascii="仿宋_GB2312" w:hAnsi="仿宋_GB2312" w:eastAsia="仿宋_GB2312" w:cs="仿宋_GB2312"/>
          <w:sz w:val="32"/>
          <w:szCs w:val="32"/>
          <w:lang w:val="en-US" w:eastAsia="zh-CN"/>
        </w:rPr>
        <w:sectPr>
          <w:footerReference r:id="rId3" w:type="default"/>
          <w:pgSz w:w="11906" w:h="16838"/>
          <w:pgMar w:top="1417" w:right="1417" w:bottom="1417" w:left="1417" w:header="708" w:footer="708" w:gutter="0"/>
          <w:pgNumType w:fmt="numberInDash"/>
          <w:cols w:space="708" w:num="1"/>
          <w:docGrid w:linePitch="360" w:charSpace="0"/>
        </w:sect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spacing w:after="200" w:line="560" w:lineRule="exact"/>
        <w:ind w:left="0" w:leftChars="0" w:right="0" w:rightChars="0"/>
        <w:textAlignment w:val="auto"/>
        <w:outlineLvl w:val="9"/>
        <w:rPr>
          <w:rFonts w:hint="eastAsia"/>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after="200" w:line="560" w:lineRule="exact"/>
        <w:ind w:left="0" w:leftChars="0" w:right="0" w:rightChars="0" w:firstLine="280" w:firstLineChars="100"/>
        <w:jc w:val="both"/>
        <w:textAlignment w:val="auto"/>
        <w:outlineLvl w:val="9"/>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抄送：县委，人大，政协。</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after="200" w:line="560" w:lineRule="exact"/>
        <w:ind w:left="0" w:leftChars="0" w:right="0" w:rightChars="0" w:firstLine="280" w:firstLineChars="100"/>
        <w:jc w:val="both"/>
        <w:textAlignment w:val="auto"/>
        <w:outlineLvl w:val="9"/>
        <w:rPr>
          <w:rFonts w:hint="eastAsia"/>
          <w:lang w:val="en-US" w:eastAsia="zh-CN"/>
        </w:rPr>
      </w:pPr>
      <w:r>
        <w:rPr>
          <w:rFonts w:hint="eastAsia" w:ascii="仿宋_GB2312" w:hAnsi="仿宋_GB2312" w:eastAsia="仿宋_GB2312" w:cs="仿宋_GB2312"/>
          <w:color w:val="auto"/>
          <w:spacing w:val="0"/>
          <w:w w:val="100"/>
          <w:sz w:val="28"/>
          <w:szCs w:val="28"/>
          <w:lang w:val="en-US" w:eastAsia="zh-CN"/>
        </w:rPr>
        <w:t xml:space="preserve">玛纳斯县人民政府办公室                 </w:t>
      </w:r>
      <w:r>
        <w:rPr>
          <w:rFonts w:hint="eastAsia" w:ascii="仿宋_GB2312" w:hAnsi="仿宋_GB2312" w:eastAsia="仿宋_GB2312" w:cs="仿宋_GB2312"/>
          <w:color w:val="auto"/>
          <w:spacing w:val="0"/>
          <w:sz w:val="28"/>
          <w:szCs w:val="28"/>
          <w:lang w:val="en-US" w:eastAsia="zh-CN"/>
        </w:rPr>
        <w:t xml:space="preserve">    2023年4月10日印发</w:t>
      </w:r>
    </w:p>
    <w:sectPr>
      <w:pgSz w:w="11906" w:h="16838"/>
      <w:pgMar w:top="1417" w:right="1417" w:bottom="1417" w:left="1417" w:header="708" w:footer="708"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中國龍海行書">
    <w:panose1 w:val="02010609000101010101"/>
    <w:charset w:val="00"/>
    <w:family w:val="auto"/>
    <w:pitch w:val="default"/>
    <w:sig w:usb0="00000000" w:usb1="00000000" w:usb2="00000000" w:usb3="00000000" w:csb0="00000000" w:csb1="00000000"/>
  </w:font>
  <w:font w:name="Brush Script Std">
    <w:panose1 w:val="03060802040607070404"/>
    <w:charset w:val="00"/>
    <w:family w:val="auto"/>
    <w:pitch w:val="default"/>
    <w:sig w:usb0="00000003" w:usb1="00000000" w:usb2="00000000" w:usb3="00000000" w:csb0="20000001" w:csb1="00000000"/>
  </w:font>
  <w:font w:name="书体坊硬笔行书3500">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文鼎中行書">
    <w:panose1 w:val="02010609010101010101"/>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汉鼎繁行书">
    <w:panose1 w:val="02010609000101010101"/>
    <w:charset w:val="00"/>
    <w:family w:val="auto"/>
    <w:pitch w:val="default"/>
    <w:sig w:usb0="00000000" w:usb1="00000000" w:usb2="00000000" w:usb3="00000000" w:csb0="00000000" w:csb1="00000000"/>
  </w:font>
  <w:font w:name="经典繁行书">
    <w:panose1 w:val="02010609010101010101"/>
    <w:charset w:val="86"/>
    <w:family w:val="auto"/>
    <w:pitch w:val="default"/>
    <w:sig w:usb0="A1007AEF" w:usb1="F9DF7CFB" w:usb2="0000001E" w:usb3="00000000" w:csb0="20040000" w:csb1="00000000"/>
  </w:font>
  <w:font w:name="苏新诗鼠标行书简">
    <w:panose1 w:val="02010800040101010101"/>
    <w:charset w:val="86"/>
    <w:family w:val="auto"/>
    <w:pitch w:val="default"/>
    <w:sig w:usb0="00000001" w:usb1="080F0000" w:usb2="00000000" w:usb3="00000000" w:csb0="00040000" w:csb1="00000000"/>
  </w:font>
  <w:font w:name="金梅草行書">
    <w:panose1 w:val="02010609000101010101"/>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微软雅黑"/>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173177F"/>
    <w:rsid w:val="09555C28"/>
    <w:rsid w:val="0A6E55D1"/>
    <w:rsid w:val="0FD40952"/>
    <w:rsid w:val="137F661C"/>
    <w:rsid w:val="151A535A"/>
    <w:rsid w:val="152E5F35"/>
    <w:rsid w:val="1B883A52"/>
    <w:rsid w:val="29937F38"/>
    <w:rsid w:val="2B8151EA"/>
    <w:rsid w:val="2FD04229"/>
    <w:rsid w:val="36756431"/>
    <w:rsid w:val="3713262F"/>
    <w:rsid w:val="375F203F"/>
    <w:rsid w:val="3CB33739"/>
    <w:rsid w:val="527A4335"/>
    <w:rsid w:val="564A57B1"/>
    <w:rsid w:val="582B4313"/>
    <w:rsid w:val="58AF28E1"/>
    <w:rsid w:val="64623D9C"/>
    <w:rsid w:val="65E7375D"/>
    <w:rsid w:val="6642292F"/>
    <w:rsid w:val="6D4504EF"/>
    <w:rsid w:val="7C2B08C1"/>
    <w:rsid w:val="7E70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样式1"/>
    <w:basedOn w:val="1"/>
    <w:next w:val="1"/>
    <w:qFormat/>
    <w:uiPriority w:val="0"/>
    <w:pPr>
      <w:spacing w:line="400" w:lineRule="atLeast"/>
      <w:ind w:firstLine="510"/>
    </w:pPr>
    <w:rPr>
      <w:spacing w:val="20"/>
      <w:szCs w:val="20"/>
    </w:rPr>
  </w:style>
  <w:style w:type="paragraph" w:styleId="3">
    <w:name w:val="Body Text First Indent"/>
    <w:basedOn w:val="4"/>
    <w:unhideWhenUsed/>
    <w:qFormat/>
    <w:uiPriority w:val="99"/>
    <w:pPr>
      <w:ind w:firstLine="420" w:firstLineChars="100"/>
    </w:pPr>
    <w:rPr>
      <w:rFonts w:ascii="Times New Roman" w:hAnsi="Times New Roman" w:eastAsia="宋体" w:cs="Times New Roman"/>
    </w:rPr>
  </w:style>
  <w:style w:type="paragraph" w:styleId="4">
    <w:name w:val="Body Text"/>
    <w:basedOn w:val="1"/>
    <w:next w:val="3"/>
    <w:qFormat/>
    <w:uiPriority w:val="1"/>
    <w:rPr>
      <w:rFonts w:ascii="仿宋" w:hAnsi="仿宋" w:eastAsia="仿宋" w:cs="仿宋"/>
      <w:sz w:val="32"/>
      <w:szCs w:val="32"/>
      <w:lang w:val="en-US" w:eastAsia="zh-CN" w:bidi="ar-SA"/>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ind w:left="420" w:hanging="420"/>
      <w:jc w:val="center"/>
    </w:pPr>
    <w:rPr>
      <w:rFonts w:ascii="黑体" w:eastAsia="黑体"/>
      <w:b/>
      <w:bCs/>
      <w:caps/>
    </w:rPr>
  </w:style>
  <w:style w:type="paragraph" w:customStyle="1" w:styleId="10">
    <w:name w:val="Body text|1"/>
    <w:basedOn w:val="1"/>
    <w:qFormat/>
    <w:uiPriority w:val="0"/>
    <w:pPr>
      <w:spacing w:line="365" w:lineRule="auto"/>
      <w:ind w:firstLine="400"/>
    </w:pPr>
    <w:rPr>
      <w:rFonts w:ascii="宋体" w:hAnsi="宋体" w:cs="宋体"/>
      <w:sz w:val="26"/>
      <w:szCs w:val="26"/>
      <w:lang w:val="zh-TW" w:eastAsia="zh-TW" w:bidi="zh-TW"/>
    </w:rPr>
  </w:style>
  <w:style w:type="paragraph" w:customStyle="1" w:styleId="11">
    <w:name w:val="Body text|4"/>
    <w:basedOn w:val="1"/>
    <w:qFormat/>
    <w:uiPriority w:val="0"/>
    <w:pPr>
      <w:spacing w:after="150" w:line="262" w:lineRule="auto"/>
      <w:jc w:val="center"/>
    </w:pPr>
    <w:rPr>
      <w:rFonts w:ascii="宋体" w:hAnsi="宋体" w:cs="宋体"/>
      <w:sz w:val="38"/>
      <w:szCs w:val="38"/>
      <w:shd w:val="clear" w:color="auto" w:fill="FFFFFF"/>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Administrator.User-2022VVARXY</dc:creator>
  <cp:lastModifiedBy>yxp</cp:lastModifiedBy>
  <cp:lastPrinted>2023-04-23T04:39:54Z</cp:lastPrinted>
  <dcterms:modified xsi:type="dcterms:W3CDTF">2023-04-23T05:10:44Z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