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仿宋_GB2312" w:hAnsi="仿宋_GB2312" w:eastAsia="仿宋_GB2312" w:cs="仿宋_GB2312"/>
          <w:color w:val="000000"/>
          <w:sz w:val="32"/>
          <w:szCs w:val="32"/>
        </w:rPr>
      </w:pPr>
    </w:p>
    <w:p>
      <w:pPr>
        <w:spacing w:line="560" w:lineRule="exact"/>
        <w:jc w:val="left"/>
        <w:rPr>
          <w:rFonts w:hint="eastAsia" w:ascii="仿宋_GB2312" w:hAnsi="仿宋_GB2312" w:eastAsia="仿宋_GB2312" w:cs="仿宋_GB2312"/>
          <w:color w:val="000000"/>
          <w:sz w:val="32"/>
          <w:szCs w:val="32"/>
        </w:rPr>
      </w:pPr>
    </w:p>
    <w:p>
      <w:pPr>
        <w:spacing w:line="560" w:lineRule="exact"/>
        <w:jc w:val="left"/>
        <w:rPr>
          <w:rFonts w:hint="eastAsia" w:ascii="仿宋_GB2312" w:hAnsi="仿宋_GB2312" w:eastAsia="仿宋_GB2312" w:cs="仿宋_GB2312"/>
          <w:color w:val="000000"/>
          <w:sz w:val="32"/>
          <w:szCs w:val="32"/>
        </w:rPr>
      </w:pPr>
    </w:p>
    <w:p>
      <w:pPr>
        <w:spacing w:line="560" w:lineRule="exact"/>
        <w:jc w:val="left"/>
        <w:rPr>
          <w:rFonts w:hint="eastAsia" w:ascii="仿宋_GB2312" w:hAnsi="仿宋_GB2312" w:eastAsia="仿宋_GB2312" w:cs="仿宋_GB2312"/>
          <w:color w:val="000000"/>
          <w:sz w:val="32"/>
          <w:szCs w:val="32"/>
        </w:rPr>
      </w:pPr>
    </w:p>
    <w:p>
      <w:pPr>
        <w:spacing w:line="560" w:lineRule="exact"/>
        <w:jc w:val="left"/>
        <w:rPr>
          <w:rFonts w:hint="eastAsia" w:ascii="仿宋_GB2312" w:hAnsi="仿宋_GB2312" w:eastAsia="仿宋_GB2312" w:cs="仿宋_GB2312"/>
          <w:color w:val="000000"/>
          <w:sz w:val="32"/>
          <w:szCs w:val="32"/>
        </w:rPr>
      </w:pPr>
    </w:p>
    <w:p>
      <w:pPr>
        <w:spacing w:line="560" w:lineRule="exact"/>
        <w:jc w:val="left"/>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680" w:lineRule="exact"/>
        <w:jc w:val="left"/>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680" w:lineRule="exact"/>
        <w:jc w:val="left"/>
        <w:textAlignment w:val="auto"/>
        <w:rPr>
          <w:rFonts w:hint="eastAsia" w:ascii="仿宋_GB2312" w:hAnsi="仿宋_GB2312" w:eastAsia="仿宋_GB2312" w:cs="仿宋_GB2312"/>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color w:val="000000"/>
          <w:sz w:val="32"/>
          <w:szCs w:val="32"/>
          <w:lang w:val="en-US" w:eastAsia="zh-CN"/>
        </w:rPr>
        <w:t>玛政办规〔2023〕2号</w:t>
      </w: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default" w:ascii="方正小标宋简体" w:hAnsi="方正小标宋简体" w:eastAsia="方正小标宋简体" w:cs="方正小标宋简体"/>
          <w:b w:val="0"/>
          <w:bCs/>
          <w:sz w:val="44"/>
          <w:szCs w:val="44"/>
          <w:u w:val="none"/>
          <w:lang w:val="en-US" w:eastAsia="zh-CN"/>
        </w:rPr>
      </w:pPr>
      <w:r>
        <w:rPr>
          <w:rFonts w:hint="eastAsia" w:ascii="方正小标宋简体" w:hAnsi="方正小标宋简体" w:eastAsia="方正小标宋简体" w:cs="方正小标宋简体"/>
          <w:b w:val="0"/>
          <w:bCs/>
          <w:sz w:val="44"/>
          <w:szCs w:val="44"/>
          <w:u w:val="none"/>
        </w:rPr>
        <w:t>玛纳斯县人民政府</w:t>
      </w:r>
      <w:r>
        <w:rPr>
          <w:rFonts w:hint="eastAsia" w:ascii="方正小标宋简体" w:hAnsi="方正小标宋简体" w:eastAsia="方正小标宋简体" w:cs="方正小标宋简体"/>
          <w:b w:val="0"/>
          <w:bCs/>
          <w:sz w:val="44"/>
          <w:szCs w:val="44"/>
          <w:u w:val="none"/>
          <w:lang w:val="en-US" w:eastAsia="zh-CN"/>
        </w:rPr>
        <w:t>办公室</w:t>
      </w: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简体" w:hAnsi="方正小标宋简体" w:eastAsia="方正小标宋简体" w:cs="方正小标宋简体"/>
          <w:b w:val="0"/>
          <w:bCs/>
          <w:sz w:val="44"/>
          <w:szCs w:val="44"/>
          <w:u w:val="none"/>
          <w:lang w:val="en-US" w:eastAsia="zh-CN"/>
        </w:rPr>
      </w:pPr>
      <w:r>
        <w:rPr>
          <w:rFonts w:hint="eastAsia" w:ascii="方正小标宋简体" w:hAnsi="方正小标宋简体" w:eastAsia="方正小标宋简体" w:cs="方正小标宋简体"/>
          <w:b w:val="0"/>
          <w:bCs/>
          <w:sz w:val="44"/>
          <w:szCs w:val="44"/>
          <w:u w:val="none"/>
          <w:lang w:val="en-US" w:eastAsia="zh-CN"/>
        </w:rPr>
        <w:t>关于印发《玛纳斯县农村集体经济组织财务</w:t>
      </w: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简体" w:hAnsi="方正小标宋简体" w:eastAsia="方正小标宋简体" w:cs="方正小标宋简体"/>
          <w:b w:val="0"/>
          <w:bCs/>
          <w:sz w:val="44"/>
          <w:szCs w:val="44"/>
          <w:u w:val="none"/>
          <w:lang w:val="en-US" w:eastAsia="zh-CN"/>
        </w:rPr>
      </w:pPr>
      <w:r>
        <w:rPr>
          <w:rFonts w:hint="eastAsia" w:ascii="方正小标宋简体" w:hAnsi="方正小标宋简体" w:eastAsia="方正小标宋简体" w:cs="方正小标宋简体"/>
          <w:b w:val="0"/>
          <w:bCs/>
          <w:sz w:val="44"/>
          <w:szCs w:val="44"/>
          <w:u w:val="none"/>
          <w:lang w:val="en-US" w:eastAsia="zh-CN"/>
        </w:rPr>
        <w:t>管理办法》《玛纳斯县农村集体经济组织</w:t>
      </w: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default" w:ascii="方正小标宋简体" w:hAnsi="方正小标宋简体" w:eastAsia="方正小标宋简体" w:cs="方正小标宋简体"/>
          <w:b w:val="0"/>
          <w:bCs/>
          <w:sz w:val="44"/>
          <w:szCs w:val="44"/>
          <w:u w:val="none"/>
          <w:lang w:val="en-US" w:eastAsia="zh-CN"/>
        </w:rPr>
      </w:pPr>
      <w:r>
        <w:rPr>
          <w:rFonts w:hint="eastAsia" w:ascii="方正小标宋简体" w:hAnsi="方正小标宋简体" w:eastAsia="方正小标宋简体" w:cs="方正小标宋简体"/>
          <w:b w:val="0"/>
          <w:bCs/>
          <w:sz w:val="44"/>
          <w:szCs w:val="44"/>
          <w:u w:val="none"/>
          <w:lang w:val="en-US" w:eastAsia="zh-CN"/>
        </w:rPr>
        <w:t>机动地管理办法》的通知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楷体_GB2312" w:hAnsi="楷体_GB2312" w:eastAsia="楷体_GB2312" w:cs="楷体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outlineLvl w:val="9"/>
        <w:rPr>
          <w:rFonts w:hint="eastAsia" w:ascii="楷体_GB2312" w:hAnsi="楷体_GB2312" w:eastAsia="楷体_GB2312" w:cs="楷体_GB2312"/>
          <w:sz w:val="32"/>
          <w:szCs w:val="32"/>
          <w:u w:val="none"/>
          <w:lang w:val="en-US" w:eastAsia="zh-CN"/>
        </w:rPr>
      </w:pPr>
      <w:r>
        <w:rPr>
          <w:rFonts w:hint="eastAsia" w:ascii="楷体_GB2312" w:hAnsi="楷体_GB2312" w:eastAsia="楷体_GB2312" w:cs="楷体_GB2312"/>
          <w:sz w:val="32"/>
          <w:szCs w:val="32"/>
          <w:u w:val="none"/>
          <w:lang w:val="en-US" w:eastAsia="zh-CN"/>
        </w:rPr>
        <w:t>平原林场，工业园区管委会，湿地公园管理局，各乡镇人民政府，县人民政府各部门，各企事业单位：</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textAlignment w:val="auto"/>
        <w:outlineLvl w:val="9"/>
        <w:rPr>
          <w:rFonts w:hint="default"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《玛纳斯县农村集体经济组织财务管理办法》《玛纳斯县农村集体经济组织机动地管理办法》经县十八届人民政府第二十八次常务会议审议通过，现印发给你们，请认真执行。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楷体_GB2312" w:hAnsi="楷体_GB2312" w:eastAsia="楷体_GB2312" w:cs="楷体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楷体_GB2312" w:hAnsi="楷体_GB2312" w:eastAsia="楷体_GB2312" w:cs="楷体_GB2312"/>
          <w:sz w:val="32"/>
          <w:szCs w:val="32"/>
          <w:u w:val="none"/>
          <w:lang w:val="en-US" w:eastAsia="zh-CN"/>
        </w:rPr>
      </w:pPr>
      <w:r>
        <w:rPr>
          <w:rFonts w:hint="eastAsia" w:ascii="楷体_GB2312" w:hAnsi="楷体_GB2312" w:eastAsia="楷体_GB2312" w:cs="楷体_GB2312"/>
          <w:sz w:val="32"/>
          <w:szCs w:val="32"/>
          <w:u w:val="none"/>
          <w:lang w:val="en-US" w:eastAsia="zh-CN"/>
        </w:rPr>
        <w:t>附件：1.玛纳斯县农村集体经济组织财务管理办法</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1600" w:firstLineChars="500"/>
        <w:jc w:val="left"/>
        <w:textAlignment w:val="auto"/>
        <w:outlineLvl w:val="9"/>
        <w:rPr>
          <w:rFonts w:hint="eastAsia" w:ascii="楷体_GB2312" w:hAnsi="楷体_GB2312" w:eastAsia="楷体_GB2312" w:cs="楷体_GB2312"/>
          <w:sz w:val="32"/>
          <w:szCs w:val="32"/>
          <w:u w:val="none"/>
          <w:lang w:val="en-US" w:eastAsia="zh-CN"/>
        </w:rPr>
      </w:pPr>
      <w:r>
        <w:rPr>
          <w:rFonts w:hint="eastAsia" w:ascii="楷体_GB2312" w:hAnsi="楷体_GB2312" w:eastAsia="楷体_GB2312" w:cs="楷体_GB2312"/>
          <w:sz w:val="32"/>
          <w:szCs w:val="32"/>
          <w:u w:val="none"/>
          <w:lang w:val="en-US" w:eastAsia="zh-CN"/>
        </w:rPr>
        <w:t>2.玛纳斯县农村集体</w:t>
      </w:r>
      <w:bookmarkStart w:id="25" w:name="_GoBack"/>
      <w:bookmarkEnd w:id="25"/>
      <w:r>
        <w:rPr>
          <w:rFonts w:hint="eastAsia" w:ascii="楷体_GB2312" w:hAnsi="楷体_GB2312" w:eastAsia="楷体_GB2312" w:cs="楷体_GB2312"/>
          <w:sz w:val="32"/>
          <w:szCs w:val="32"/>
          <w:u w:val="none"/>
          <w:lang w:val="en-US" w:eastAsia="zh-CN"/>
        </w:rPr>
        <w:t>经济组织机动地管理办法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楷体_GB2312" w:hAnsi="楷体_GB2312" w:eastAsia="楷体_GB2312" w:cs="楷体_GB2312"/>
          <w:sz w:val="32"/>
          <w:szCs w:val="32"/>
          <w:u w:val="none"/>
          <w:lang w:val="en-US" w:eastAsia="zh-CN"/>
        </w:rPr>
      </w:pPr>
      <w:r>
        <w:rPr>
          <w:rFonts w:hint="eastAsia" w:ascii="楷体_GB2312" w:hAnsi="楷体_GB2312" w:eastAsia="楷体_GB2312" w:cs="楷体_GB2312"/>
          <w:sz w:val="32"/>
          <w:szCs w:val="32"/>
          <w:u w:val="none"/>
          <w:lang w:val="en-US" w:eastAsia="zh-CN"/>
        </w:rPr>
        <w:br w:type="page"/>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楷体_GB2312" w:hAnsi="楷体_GB2312" w:eastAsia="楷体_GB2312" w:cs="楷体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3150" w:leftChars="1500" w:right="0" w:rightChars="0" w:firstLine="640" w:firstLineChars="200"/>
        <w:jc w:val="center"/>
        <w:textAlignment w:val="auto"/>
        <w:outlineLvl w:val="9"/>
        <w:rPr>
          <w:rFonts w:hint="default" w:ascii="楷体_GB2312" w:hAnsi="楷体_GB2312" w:eastAsia="楷体_GB2312" w:cs="楷体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Chars="1700" w:right="0" w:rightChars="0"/>
        <w:jc w:val="center"/>
        <w:textAlignment w:val="auto"/>
        <w:outlineLvl w:val="9"/>
        <w:rPr>
          <w:rFonts w:hint="eastAsia" w:ascii="楷体_GB2312" w:hAnsi="楷体_GB2312" w:eastAsia="楷体_GB2312" w:cs="楷体_GB2312"/>
          <w:sz w:val="32"/>
          <w:szCs w:val="32"/>
          <w:u w:val="none"/>
          <w:lang w:val="en-US" w:eastAsia="zh-CN"/>
        </w:rPr>
      </w:pPr>
      <w:r>
        <w:rPr>
          <w:rFonts w:hint="default" w:ascii="楷体_GB2312" w:hAnsi="楷体_GB2312" w:eastAsia="楷体_GB2312" w:cs="楷体_GB2312"/>
          <w:sz w:val="32"/>
          <w:szCs w:val="32"/>
          <w:u w:val="none"/>
          <w:lang w:val="en-US" w:eastAsia="zh-CN"/>
        </w:rPr>
        <w:t>玛纳斯县人民政府</w:t>
      </w:r>
      <w:r>
        <w:rPr>
          <w:rFonts w:hint="eastAsia" w:ascii="楷体_GB2312" w:hAnsi="楷体_GB2312" w:eastAsia="楷体_GB2312" w:cs="楷体_GB2312"/>
          <w:sz w:val="32"/>
          <w:szCs w:val="32"/>
          <w:u w:val="none"/>
          <w:lang w:val="en-US" w:eastAsia="zh-CN"/>
        </w:rPr>
        <w:t>办公室</w:t>
      </w:r>
    </w:p>
    <w:p>
      <w:pPr>
        <w:keepNext w:val="0"/>
        <w:keepLines w:val="0"/>
        <w:pageBreakBefore w:val="0"/>
        <w:widowControl w:val="0"/>
        <w:kinsoku/>
        <w:wordWrap/>
        <w:overflowPunct/>
        <w:topLinePunct w:val="0"/>
        <w:autoSpaceDE/>
        <w:autoSpaceDN/>
        <w:bidi w:val="0"/>
        <w:adjustRightInd/>
        <w:snapToGrid/>
        <w:spacing w:line="560" w:lineRule="exact"/>
        <w:ind w:leftChars="1700" w:right="0" w:rightChars="0"/>
        <w:jc w:val="center"/>
        <w:textAlignment w:val="auto"/>
        <w:outlineLvl w:val="9"/>
        <w:rPr>
          <w:rFonts w:hint="eastAsia" w:ascii="楷体_GB2312" w:hAnsi="楷体_GB2312" w:eastAsia="楷体_GB2312" w:cs="楷体_GB2312"/>
          <w:sz w:val="32"/>
          <w:szCs w:val="32"/>
          <w:u w:val="none"/>
          <w:lang w:val="en-US" w:eastAsia="zh-CN"/>
        </w:rPr>
      </w:pPr>
      <w:r>
        <w:rPr>
          <w:rFonts w:hint="default" w:ascii="楷体_GB2312" w:hAnsi="楷体_GB2312" w:eastAsia="楷体_GB2312" w:cs="楷体_GB2312"/>
          <w:sz w:val="32"/>
          <w:szCs w:val="32"/>
          <w:u w:val="none"/>
          <w:lang w:val="en-US" w:eastAsia="zh-CN"/>
        </w:rPr>
        <w:t>202</w:t>
      </w:r>
      <w:r>
        <w:rPr>
          <w:rFonts w:hint="eastAsia" w:ascii="楷体_GB2312" w:hAnsi="楷体_GB2312" w:eastAsia="楷体_GB2312" w:cs="楷体_GB2312"/>
          <w:sz w:val="32"/>
          <w:szCs w:val="32"/>
          <w:u w:val="none"/>
          <w:lang w:val="en-US" w:eastAsia="zh-CN"/>
        </w:rPr>
        <w:t>3年11月24日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righ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right"/>
        <w:textAlignment w:val="auto"/>
        <w:outlineLvl w:val="9"/>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pPr>
        <w:pStyle w:val="2"/>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pPr>
        <w:pStyle w:val="2"/>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pPr>
        <w:pStyle w:val="2"/>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pPr>
        <w:pStyle w:val="2"/>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pPr>
        <w:pStyle w:val="2"/>
        <w:rPr>
          <w:rFonts w:hint="default" w:ascii="仿宋_GB2312" w:hAnsi="仿宋_GB2312" w:eastAsia="仿宋_GB2312" w:cs="仿宋_GB2312"/>
          <w:sz w:val="32"/>
          <w:szCs w:val="32"/>
          <w:lang w:val="en-US" w:eastAsia="zh-CN"/>
        </w:rPr>
      </w:pPr>
    </w:p>
    <w:p>
      <w:pPr>
        <w:pStyle w:val="2"/>
        <w:ind w:left="0" w:leftChars="0" w:firstLine="0" w:firstLineChars="0"/>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pPr>
        <w:pStyle w:val="2"/>
        <w:ind w:left="0" w:leftChars="0" w:firstLine="0" w:firstLineChars="0"/>
        <w:rPr>
          <w:rFonts w:hint="default"/>
          <w:lang w:val="en-US" w:eastAsia="zh-CN"/>
        </w:rPr>
      </w:pPr>
    </w:p>
    <w:p>
      <w:pPr>
        <w:keepNext w:val="0"/>
        <w:keepLines w:val="0"/>
        <w:pageBreakBefore w:val="0"/>
        <w:widowControl w:val="0"/>
        <w:pBdr>
          <w:top w:val="single" w:color="auto" w:sz="4" w:space="0"/>
        </w:pBdr>
        <w:kinsoku/>
        <w:wordWrap/>
        <w:overflowPunct/>
        <w:topLinePunct w:val="0"/>
        <w:autoSpaceDE/>
        <w:autoSpaceDN/>
        <w:bidi w:val="0"/>
        <w:adjustRightInd/>
        <w:snapToGrid/>
        <w:spacing w:line="560" w:lineRule="exact"/>
        <w:ind w:right="0" w:rightChars="0" w:firstLine="320" w:firstLineChars="100"/>
        <w:jc w:val="left"/>
        <w:textAlignment w:val="auto"/>
        <w:outlineLvl w:val="9"/>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抄送：县纪委监委，县委办、人大办、政协办，县委组织部</w:t>
      </w:r>
    </w:p>
    <w:p>
      <w:pPr>
        <w:keepNext w:val="0"/>
        <w:keepLines w:val="0"/>
        <w:pageBreakBefore w:val="0"/>
        <w:widowControl w:val="0"/>
        <w:pBdr>
          <w:top w:val="single" w:color="auto" w:sz="4" w:space="0"/>
          <w:bottom w:val="single" w:color="auto" w:sz="6" w:space="1"/>
          <w:between w:val="single" w:color="auto" w:sz="6" w:space="1"/>
        </w:pBdr>
        <w:kinsoku/>
        <w:wordWrap/>
        <w:overflowPunct/>
        <w:topLinePunct w:val="0"/>
        <w:autoSpaceDE/>
        <w:autoSpaceDN/>
        <w:bidi w:val="0"/>
        <w:adjustRightInd/>
        <w:snapToGrid/>
        <w:spacing w:line="560" w:lineRule="exact"/>
        <w:ind w:right="0" w:rightChars="0" w:firstLine="320" w:firstLineChars="1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玛纳斯县人民政府办公室         2023年11月24日印发</w:t>
      </w:r>
    </w:p>
    <w:p>
      <w:pPr>
        <w:rPr>
          <w:rStyle w:val="12"/>
          <w:rFonts w:hint="eastAsia" w:ascii="黑体" w:hAnsi="黑体" w:eastAsia="黑体" w:cs="黑体"/>
          <w:b w:val="0"/>
          <w:bCs/>
          <w:sz w:val="28"/>
          <w:szCs w:val="28"/>
          <w:lang w:val="en-US" w:eastAsia="zh-CN"/>
        </w:rPr>
      </w:pPr>
      <w:r>
        <w:rPr>
          <w:rFonts w:hint="eastAsia" w:ascii="仿宋_GB2312" w:hAnsi="仿宋_GB2312" w:eastAsia="仿宋_GB2312" w:cs="仿宋_GB2312"/>
          <w:sz w:val="32"/>
          <w:szCs w:val="32"/>
          <w:lang w:val="en-US" w:eastAsia="zh-CN"/>
        </w:rPr>
        <w:br w:type="page"/>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both"/>
        <w:textAlignment w:val="auto"/>
        <w:rPr>
          <w:rStyle w:val="12"/>
          <w:rFonts w:hint="eastAsia" w:ascii="黑体" w:hAnsi="黑体" w:eastAsia="黑体" w:cs="黑体"/>
          <w:b w:val="0"/>
          <w:bCs/>
          <w:sz w:val="28"/>
          <w:szCs w:val="28"/>
          <w:lang w:val="en-US" w:eastAsia="zh-CN"/>
        </w:rPr>
      </w:pPr>
      <w:r>
        <w:rPr>
          <w:rStyle w:val="12"/>
          <w:rFonts w:hint="eastAsia" w:ascii="黑体" w:hAnsi="黑体" w:eastAsia="黑体" w:cs="黑体"/>
          <w:b w:val="0"/>
          <w:bCs/>
          <w:sz w:val="28"/>
          <w:szCs w:val="28"/>
          <w:lang w:val="en-US" w:eastAsia="zh-CN"/>
        </w:rPr>
        <w:t>附件1</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center"/>
        <w:textAlignment w:val="auto"/>
        <w:rPr>
          <w:rStyle w:val="12"/>
          <w:rFonts w:hint="eastAsia" w:ascii="方正小标宋简体" w:hAnsi="方正小标宋简体" w:eastAsia="方正小标宋简体" w:cs="方正小标宋简体"/>
          <w:b w:val="0"/>
          <w:bCs/>
          <w:sz w:val="44"/>
          <w:szCs w:val="44"/>
          <w:lang w:val="en-US" w:eastAsia="zh-CN"/>
        </w:rPr>
      </w:pPr>
      <w:r>
        <w:rPr>
          <w:rStyle w:val="12"/>
          <w:rFonts w:hint="eastAsia" w:ascii="方正小标宋简体" w:hAnsi="方正小标宋简体" w:eastAsia="方正小标宋简体" w:cs="方正小标宋简体"/>
          <w:b w:val="0"/>
          <w:bCs/>
          <w:sz w:val="44"/>
          <w:szCs w:val="44"/>
          <w:lang w:val="en-US" w:eastAsia="zh-CN"/>
        </w:rPr>
        <w:t>玛纳斯县</w:t>
      </w:r>
      <w:r>
        <w:rPr>
          <w:rStyle w:val="12"/>
          <w:rFonts w:hint="eastAsia" w:ascii="方正小标宋简体" w:hAnsi="方正小标宋简体" w:eastAsia="方正小标宋简体" w:cs="方正小标宋简体"/>
          <w:b w:val="0"/>
          <w:bCs/>
          <w:sz w:val="44"/>
          <w:szCs w:val="44"/>
        </w:rPr>
        <w:t>农村集体经济组织财务</w:t>
      </w:r>
      <w:r>
        <w:rPr>
          <w:rStyle w:val="12"/>
          <w:rFonts w:hint="eastAsia" w:ascii="方正小标宋简体" w:hAnsi="方正小标宋简体" w:eastAsia="方正小标宋简体" w:cs="方正小标宋简体"/>
          <w:b w:val="0"/>
          <w:bCs/>
          <w:sz w:val="44"/>
          <w:szCs w:val="44"/>
          <w:lang w:val="en-US" w:eastAsia="zh-CN"/>
        </w:rPr>
        <w:t>管理办法</w:t>
      </w:r>
    </w:p>
    <w:p>
      <w:pPr>
        <w:pStyle w:val="3"/>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lang w:val="en-US" w:eastAsia="zh-CN"/>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持续巩固“三位一体”系统集成改革成果，在基层党组织领导下，进一步明晰村民委员会与村集体经济组织的职能关系，推进村民委员会和村集体经济组织事务分离、账务分设、资产分管、核算独立，不断增强集体经济发展活力，促进我县乡村全面振兴，巩固党在农村的执政基础提供重要支撑和制度保障，管好用活集体“三资”，保证农村经济发展和社会稳定，结合我县实际，特制定本办法。</w:t>
      </w:r>
    </w:p>
    <w:p>
      <w:pPr>
        <w:keepNext w:val="0"/>
        <w:keepLines w:val="0"/>
        <w:pageBreakBefore w:val="0"/>
        <w:widowControl/>
        <w:numPr>
          <w:ilvl w:val="0"/>
          <w:numId w:val="0"/>
        </w:numPr>
        <w:suppressLineNumbers w:val="0"/>
        <w:kinsoku/>
        <w:wordWrap/>
        <w:overflowPunct/>
        <w:topLinePunct w:val="0"/>
        <w:autoSpaceDE/>
        <w:autoSpaceDN/>
        <w:bidi w:val="0"/>
        <w:spacing w:beforeAutospacing="0" w:afterAutospacing="0" w:line="560" w:lineRule="exact"/>
        <w:jc w:val="center"/>
        <w:textAlignment w:val="auto"/>
        <w:rPr>
          <w:rFonts w:hint="eastAsia" w:ascii="仿宋_GB2312" w:hAnsi="仿宋_GB2312" w:eastAsia="仿宋_GB2312" w:cs="仿宋_GB2312"/>
          <w:b/>
          <w:bCs/>
          <w:sz w:val="32"/>
          <w:szCs w:val="32"/>
          <w:lang w:val="en-US" w:eastAsia="zh-CN"/>
        </w:rPr>
      </w:pPr>
      <w:r>
        <w:rPr>
          <w:rFonts w:hint="eastAsia" w:ascii="黑体" w:hAnsi="黑体" w:eastAsia="黑体" w:cs="黑体"/>
          <w:b w:val="0"/>
          <w:bCs w:val="0"/>
          <w:sz w:val="32"/>
          <w:szCs w:val="32"/>
          <w:lang w:val="en-US" w:eastAsia="zh-CN"/>
        </w:rPr>
        <w:t>第一章  总则</w:t>
      </w:r>
    </w:p>
    <w:p>
      <w:pPr>
        <w:keepNext w:val="0"/>
        <w:keepLines w:val="0"/>
        <w:pageBreakBefore w:val="0"/>
        <w:widowControl/>
        <w:numPr>
          <w:ilvl w:val="0"/>
          <w:numId w:val="0"/>
        </w:numPr>
        <w:suppressLineNumbers w:val="0"/>
        <w:kinsoku/>
        <w:wordWrap/>
        <w:overflowPunct/>
        <w:topLinePunct w:val="0"/>
        <w:autoSpaceDE/>
        <w:autoSpaceDN/>
        <w:bidi w:val="0"/>
        <w:spacing w:beforeAutospacing="0" w:afterAutospacing="0"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第一条 </w:t>
      </w:r>
      <w:r>
        <w:rPr>
          <w:rFonts w:hint="eastAsia" w:ascii="仿宋_GB2312" w:hAnsi="仿宋_GB2312" w:eastAsia="仿宋_GB2312" w:cs="仿宋_GB2312"/>
          <w:sz w:val="32"/>
          <w:szCs w:val="32"/>
          <w:lang w:val="en-US" w:eastAsia="zh-CN"/>
        </w:rPr>
        <w:t>本办法适用于县域内的村民委员会和农村产权改革后成立的村集体股份（经济）合作社、村集体下设的公司财务等管理。充分用好村集体经济组织特殊市场主体优势，通过“事务分离、账务分设、专账</w:t>
      </w:r>
      <w:r>
        <w:rPr>
          <w:rFonts w:hint="default" w:ascii="仿宋_GB2312" w:hAnsi="仿宋_GB2312" w:eastAsia="仿宋_GB2312" w:cs="仿宋_GB2312"/>
          <w:sz w:val="32"/>
          <w:szCs w:val="32"/>
          <w:lang w:val="en-US" w:eastAsia="zh-CN"/>
        </w:rPr>
        <w:t>核算</w:t>
      </w:r>
      <w:r>
        <w:rPr>
          <w:rFonts w:hint="eastAsia" w:ascii="仿宋_GB2312" w:hAnsi="仿宋_GB2312" w:eastAsia="仿宋_GB2312" w:cs="仿宋_GB2312"/>
          <w:sz w:val="32"/>
          <w:szCs w:val="32"/>
          <w:lang w:val="en-US" w:eastAsia="zh-CN"/>
        </w:rPr>
        <w:t>”，释放村集体经济组织活力，发挥其在管理集体资产、开发集体资源、发展集体经济、服务集体成员的功能，推动村集体经济发展壮大和农牧民持续增收</w:t>
      </w:r>
      <w:r>
        <w:rPr>
          <w:rFonts w:hint="default" w:ascii="仿宋_GB2312" w:hAnsi="仿宋_GB2312" w:eastAsia="仿宋_GB2312" w:cs="仿宋_GB2312"/>
          <w:sz w:val="32"/>
          <w:szCs w:val="32"/>
          <w:lang w:val="en-US" w:eastAsia="zh-CN"/>
        </w:rPr>
        <w:t>。</w:t>
      </w:r>
    </w:p>
    <w:p>
      <w:pPr>
        <w:keepNext w:val="0"/>
        <w:keepLines w:val="0"/>
        <w:pageBreakBefore w:val="0"/>
        <w:widowControl/>
        <w:numPr>
          <w:ilvl w:val="0"/>
          <w:numId w:val="0"/>
        </w:numPr>
        <w:suppressLineNumbers w:val="0"/>
        <w:kinsoku/>
        <w:wordWrap/>
        <w:overflowPunct/>
        <w:topLinePunct w:val="0"/>
        <w:autoSpaceDE/>
        <w:autoSpaceDN/>
        <w:bidi w:val="0"/>
        <w:spacing w:beforeAutospacing="0" w:afterAutospacing="0"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第二条 </w:t>
      </w:r>
      <w:r>
        <w:rPr>
          <w:rFonts w:hint="eastAsia" w:ascii="仿宋_GB2312" w:hAnsi="仿宋_GB2312" w:eastAsia="仿宋_GB2312" w:cs="仿宋_GB2312"/>
          <w:sz w:val="32"/>
          <w:szCs w:val="32"/>
          <w:lang w:val="en-US" w:eastAsia="zh-CN"/>
        </w:rPr>
        <w:t>村集体经济组织财务管理工作在农村基层党组织的领导下，实行统一核算和分散核算相结合的两级核算体制，坚持集体理财、民主管理、财务公开、群众监督的原则。村集体“三资”受法律保护，任何单位和个人不得平调、侵占、截留、挪用、私分，严格防止内部少数人控制和外部资本等侵占农村集体“三资”。</w:t>
      </w:r>
    </w:p>
    <w:p>
      <w:pPr>
        <w:keepNext w:val="0"/>
        <w:keepLines w:val="0"/>
        <w:pageBreakBefore w:val="0"/>
        <w:widowControl/>
        <w:numPr>
          <w:ilvl w:val="0"/>
          <w:numId w:val="0"/>
        </w:numPr>
        <w:suppressLineNumbers w:val="0"/>
        <w:kinsoku/>
        <w:wordWrap/>
        <w:overflowPunct/>
        <w:topLinePunct w:val="0"/>
        <w:autoSpaceDE/>
        <w:autoSpaceDN/>
        <w:bidi w:val="0"/>
        <w:spacing w:beforeAutospacing="0" w:afterAutospacing="0" w:line="560"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村集体股份（经济）合作社应保障本社及该村民委员会用于集体发展、经营活动；村级公益和综合服务、保障村级组织和村务运转等支出，依照村级申请、乡（镇）批示、乡村公示、村集体确认后计入相应成本费用，纳入账内核算。</w:t>
      </w:r>
    </w:p>
    <w:p>
      <w:pPr>
        <w:keepNext w:val="0"/>
        <w:keepLines w:val="0"/>
        <w:pageBreakBefore w:val="0"/>
        <w:widowControl/>
        <w:numPr>
          <w:ilvl w:val="0"/>
          <w:numId w:val="0"/>
        </w:numPr>
        <w:suppressLineNumbers w:val="0"/>
        <w:kinsoku/>
        <w:wordWrap/>
        <w:overflowPunct/>
        <w:topLinePunct w:val="0"/>
        <w:autoSpaceDE/>
        <w:autoSpaceDN/>
        <w:bidi w:val="0"/>
        <w:spacing w:beforeAutospacing="0" w:afterAutospacing="0" w:line="5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第三条</w:t>
      </w:r>
      <w:r>
        <w:rPr>
          <w:rFonts w:hint="eastAsia" w:ascii="仿宋_GB2312" w:hAnsi="仿宋_GB2312" w:eastAsia="仿宋_GB2312" w:cs="仿宋_GB2312"/>
          <w:sz w:val="32"/>
          <w:szCs w:val="32"/>
          <w:lang w:val="en-US" w:eastAsia="zh-CN"/>
        </w:rPr>
        <w:t xml:space="preserve"> 县农业农村部门（农经局）负责本行政区域内农村集体经济组织财务管理的业务指导；乡</w:t>
      </w:r>
      <w:r>
        <w:rPr>
          <w:rFonts w:hint="eastAsia" w:ascii="仿宋_GB2312" w:hAnsi="仿宋_GB2312" w:eastAsia="仿宋_GB2312" w:cs="仿宋_GB2312"/>
          <w:b w:val="0"/>
          <w:bCs w:val="0"/>
          <w:kern w:val="2"/>
          <w:sz w:val="32"/>
          <w:szCs w:val="32"/>
          <w:lang w:val="en-US" w:eastAsia="zh-CN" w:bidi="ar-SA"/>
        </w:rPr>
        <w:t>（镇）</w:t>
      </w:r>
      <w:r>
        <w:rPr>
          <w:rFonts w:hint="eastAsia" w:ascii="仿宋_GB2312" w:hAnsi="仿宋_GB2312" w:eastAsia="仿宋_GB2312" w:cs="仿宋_GB2312"/>
          <w:sz w:val="32"/>
          <w:szCs w:val="32"/>
          <w:lang w:val="en-US" w:eastAsia="zh-CN"/>
        </w:rPr>
        <w:t>人民政府负责本行政区域内农村集体经济组织财务，村集体兴办的企业</w:t>
      </w:r>
      <w:r>
        <w:rPr>
          <w:rFonts w:hint="default" w:ascii="仿宋_GB2312" w:hAnsi="仿宋_GB2312" w:eastAsia="仿宋_GB2312" w:cs="仿宋_GB2312"/>
          <w:sz w:val="32"/>
          <w:szCs w:val="32"/>
          <w:lang w:val="en-US" w:eastAsia="zh-CN"/>
        </w:rPr>
        <w:t>和其它村属经营单位</w:t>
      </w:r>
      <w:r>
        <w:rPr>
          <w:rFonts w:hint="eastAsia" w:ascii="仿宋_GB2312" w:hAnsi="仿宋_GB2312" w:eastAsia="仿宋_GB2312" w:cs="仿宋_GB2312"/>
          <w:sz w:val="32"/>
          <w:szCs w:val="32"/>
          <w:lang w:val="en-US" w:eastAsia="zh-CN"/>
        </w:rPr>
        <w:t>由所在乡（镇）管理，应稳定农村财会队伍、落实民主理财、规范财务公开，维护集体、成员和各类新型经营主体的相关权益。</w:t>
      </w:r>
    </w:p>
    <w:p>
      <w:pPr>
        <w:keepNext w:val="0"/>
        <w:keepLines w:val="0"/>
        <w:pageBreakBefore w:val="0"/>
        <w:widowControl/>
        <w:numPr>
          <w:ilvl w:val="0"/>
          <w:numId w:val="0"/>
        </w:numPr>
        <w:suppressLineNumbers w:val="0"/>
        <w:kinsoku/>
        <w:wordWrap/>
        <w:overflowPunct/>
        <w:topLinePunct w:val="0"/>
        <w:autoSpaceDE/>
        <w:autoSpaceDN/>
        <w:bidi w:val="0"/>
        <w:spacing w:beforeAutospacing="0" w:afterAutospacing="0" w:line="560" w:lineRule="exact"/>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第二章  事务分离</w:t>
      </w:r>
    </w:p>
    <w:p>
      <w:pPr>
        <w:keepNext w:val="0"/>
        <w:keepLines w:val="0"/>
        <w:pageBreakBefore w:val="0"/>
        <w:widowControl/>
        <w:numPr>
          <w:ilvl w:val="0"/>
          <w:numId w:val="0"/>
        </w:numPr>
        <w:suppressLineNumbers w:val="0"/>
        <w:kinsoku/>
        <w:wordWrap/>
        <w:overflowPunct/>
        <w:topLinePunct w:val="0"/>
        <w:autoSpaceDE/>
        <w:autoSpaceDN/>
        <w:bidi w:val="0"/>
        <w:spacing w:beforeAutospacing="0" w:afterAutospacing="0"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第四条 </w:t>
      </w:r>
      <w:r>
        <w:rPr>
          <w:rFonts w:hint="eastAsia" w:ascii="仿宋_GB2312" w:hAnsi="仿宋_GB2312" w:eastAsia="仿宋_GB2312" w:cs="仿宋_GB2312"/>
          <w:sz w:val="32"/>
          <w:szCs w:val="32"/>
          <w:lang w:val="en-US" w:eastAsia="zh-CN"/>
        </w:rPr>
        <w:t>村民委员会负责社会管理和公共服务，整合管理资源，优化治理方式，为群众提供优质服务。</w:t>
      </w:r>
    </w:p>
    <w:p>
      <w:pPr>
        <w:keepNext w:val="0"/>
        <w:keepLines w:val="0"/>
        <w:pageBreakBefore w:val="0"/>
        <w:widowControl/>
        <w:numPr>
          <w:ilvl w:val="0"/>
          <w:numId w:val="0"/>
        </w:numPr>
        <w:suppressLineNumbers w:val="0"/>
        <w:kinsoku/>
        <w:wordWrap/>
        <w:overflowPunct/>
        <w:topLinePunct w:val="0"/>
        <w:autoSpaceDE/>
        <w:autoSpaceDN/>
        <w:bidi w:val="0"/>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职能包括：组织村民依法自治，宣传宪法、法律、法规和区、州等相关政策；办理村级公共事务和公益事业，妥善调解相关纠纷；引导村民遵守村民自治章程、村规民约；支持村股份（经济）合作社依法独立进行经济活动，维护以家庭承包为基础，统分结合的双层经营体制；依法协助各级政府办理有关工作；协助维护社会治安，向基层人民政府反映村民的意见、要求和提出建议等职责。</w:t>
      </w:r>
    </w:p>
    <w:p>
      <w:pPr>
        <w:keepNext w:val="0"/>
        <w:keepLines w:val="0"/>
        <w:pageBreakBefore w:val="0"/>
        <w:widowControl/>
        <w:numPr>
          <w:ilvl w:val="0"/>
          <w:numId w:val="0"/>
        </w:numPr>
        <w:suppressLineNumbers w:val="0"/>
        <w:kinsoku/>
        <w:wordWrap/>
        <w:overflowPunct/>
        <w:topLinePunct w:val="0"/>
        <w:autoSpaceDE/>
        <w:autoSpaceDN/>
        <w:bidi w:val="0"/>
        <w:spacing w:beforeAutospacing="0" w:afterAutospacing="0"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第五条 </w:t>
      </w:r>
      <w:r>
        <w:rPr>
          <w:rFonts w:hint="eastAsia" w:ascii="仿宋_GB2312" w:hAnsi="仿宋_GB2312" w:eastAsia="仿宋_GB2312" w:cs="仿宋_GB2312"/>
          <w:sz w:val="32"/>
          <w:szCs w:val="32"/>
          <w:lang w:val="en-US" w:eastAsia="zh-CN"/>
        </w:rPr>
        <w:t>村集体经济组织依法代表全体成员对农村集体“三资”行使所有权，依法履行管理集体资产、开发集体资源、发展集体经济、服务集体成员等职责。</w:t>
      </w:r>
    </w:p>
    <w:p>
      <w:pPr>
        <w:keepNext w:val="0"/>
        <w:keepLines w:val="0"/>
        <w:pageBreakBefore w:val="0"/>
        <w:widowControl/>
        <w:numPr>
          <w:ilvl w:val="0"/>
          <w:numId w:val="0"/>
        </w:numPr>
        <w:suppressLineNumbers w:val="0"/>
        <w:kinsoku/>
        <w:wordWrap/>
        <w:overflowPunct/>
        <w:topLinePunct w:val="0"/>
        <w:autoSpaceDE/>
        <w:autoSpaceDN/>
        <w:bidi w:val="0"/>
        <w:spacing w:beforeAutospacing="0" w:afterAutospacing="0" w:line="560" w:lineRule="exact"/>
        <w:ind w:firstLine="640" w:firstLineChars="200"/>
        <w:jc w:val="both"/>
        <w:textAlignment w:val="auto"/>
        <w:rPr>
          <w:rStyle w:val="12"/>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sz w:val="32"/>
          <w:szCs w:val="32"/>
          <w:lang w:val="en-US" w:eastAsia="zh-CN"/>
        </w:rPr>
        <w:t>主要职能包括：制定完善组织章程，建立健全民主管理的治理机制；组织召开股东（代表）大会并向大会报告经营情况；经营和管理本社的集体资金、资产、资源，确保集体资产保值增值；执行股东代表大会等相关会议表决通过的各类事项等，为村民委员会的有效运转提供经济保障。研究决定集体经济组织发展规划、经营计划、安全生产、村集体经营班子目标责任与工资绩效落实、年度财务预决算和年度收益分配方案；研究决定土地发包、集体“三资”管理、债权债务核销、集体出资企业所有权变动等集体资产处置重大事项；研究决定土地补偿费等费用的使用、分配办法；为成员等主体提供生产经营等相关的技术、信息、服务等；对涉及村集体经济组织或成员等重大经济利益、风险隐患等研究制定相关办法；对资源性资产和经营性资产依法将资产经营权采取承包、出租（转包）、入股、联营合作等方式进行经营或自主经营，对非经营性资产等加强管护；建立完善档案管理制度，保证档案的真实性和完整性等职责。</w:t>
      </w:r>
    </w:p>
    <w:p>
      <w:pPr>
        <w:keepNext w:val="0"/>
        <w:keepLines w:val="0"/>
        <w:pageBreakBefore w:val="0"/>
        <w:widowControl/>
        <w:numPr>
          <w:ilvl w:val="0"/>
          <w:numId w:val="0"/>
        </w:numPr>
        <w:suppressLineNumbers w:val="0"/>
        <w:kinsoku/>
        <w:wordWrap/>
        <w:overflowPunct/>
        <w:topLinePunct w:val="0"/>
        <w:autoSpaceDE/>
        <w:autoSpaceDN/>
        <w:bidi w:val="0"/>
        <w:spacing w:beforeAutospacing="0" w:afterAutospacing="0" w:line="560" w:lineRule="exact"/>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第三章  财务管理主体及职责</w:t>
      </w:r>
    </w:p>
    <w:p>
      <w:pPr>
        <w:keepNext w:val="0"/>
        <w:keepLines w:val="0"/>
        <w:pageBreakBefore w:val="0"/>
        <w:widowControl/>
        <w:numPr>
          <w:ilvl w:val="0"/>
          <w:numId w:val="0"/>
        </w:numPr>
        <w:suppressLineNumbers w:val="0"/>
        <w:kinsoku/>
        <w:wordWrap/>
        <w:overflowPunct/>
        <w:topLinePunct w:val="0"/>
        <w:autoSpaceDE/>
        <w:autoSpaceDN/>
        <w:bidi w:val="0"/>
        <w:spacing w:beforeAutospacing="0" w:afterAutospacing="0"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第六条 </w:t>
      </w:r>
      <w:r>
        <w:rPr>
          <w:rFonts w:hint="eastAsia" w:ascii="仿宋_GB2312" w:hAnsi="仿宋_GB2312" w:eastAsia="仿宋_GB2312" w:cs="仿宋_GB2312"/>
          <w:sz w:val="32"/>
          <w:szCs w:val="32"/>
          <w:lang w:val="en-US" w:eastAsia="zh-CN"/>
        </w:rPr>
        <w:t>农村集体经济组织财务管理工作应当在农村基层党组织领导下，由村民（成员）大会、村民代表会（理事会、监事会）和财务人员等按规定履行职责。村民委员会与村集体经济组织应当分设会计账套和银行账户。村集体资金严禁为他人或其它单位作经济担保，不允许村集体经济组织向村民（成员）借款。</w:t>
      </w:r>
    </w:p>
    <w:p>
      <w:pPr>
        <w:keepNext w:val="0"/>
        <w:keepLines w:val="0"/>
        <w:pageBreakBefore w:val="0"/>
        <w:widowControl/>
        <w:numPr>
          <w:ilvl w:val="0"/>
          <w:numId w:val="0"/>
        </w:numPr>
        <w:suppressLineNumbers w:val="0"/>
        <w:kinsoku/>
        <w:wordWrap/>
        <w:overflowPunct/>
        <w:topLinePunct w:val="0"/>
        <w:autoSpaceDE/>
        <w:autoSpaceDN/>
        <w:bidi w:val="0"/>
        <w:spacing w:beforeAutospacing="0" w:afterAutospacing="0" w:line="560" w:lineRule="exact"/>
        <w:ind w:firstLine="640" w:firstLineChars="200"/>
        <w:jc w:val="both"/>
        <w:textAlignment w:val="auto"/>
        <w:rPr>
          <w:rFonts w:hint="eastAsia"/>
          <w:lang w:val="en-US" w:eastAsia="zh-CN"/>
        </w:rPr>
      </w:pPr>
      <w:r>
        <w:rPr>
          <w:rFonts w:hint="eastAsia" w:ascii="仿宋_GB2312" w:hAnsi="仿宋_GB2312" w:eastAsia="仿宋_GB2312" w:cs="仿宋_GB2312"/>
          <w:sz w:val="32"/>
          <w:szCs w:val="32"/>
          <w:lang w:val="en-US" w:eastAsia="zh-CN"/>
        </w:rPr>
        <w:t>农村集体经济组织应当依法依规，科学配备专（兼）职财务人员，重大财务事项决策参照执行“四议三会两公开”机制，并报乡</w:t>
      </w:r>
      <w:r>
        <w:rPr>
          <w:rFonts w:hint="eastAsia" w:ascii="仿宋_GB2312" w:hAnsi="仿宋_GB2312" w:eastAsia="仿宋_GB2312" w:cs="仿宋_GB2312"/>
          <w:b w:val="0"/>
          <w:bCs w:val="0"/>
          <w:kern w:val="2"/>
          <w:sz w:val="32"/>
          <w:szCs w:val="32"/>
          <w:lang w:val="en-US" w:eastAsia="zh-CN" w:bidi="ar-SA"/>
        </w:rPr>
        <w:t>（镇）</w:t>
      </w:r>
      <w:r>
        <w:rPr>
          <w:rFonts w:hint="eastAsia" w:ascii="仿宋_GB2312" w:hAnsi="仿宋_GB2312" w:eastAsia="仿宋_GB2312" w:cs="仿宋_GB2312"/>
          <w:sz w:val="32"/>
          <w:szCs w:val="32"/>
          <w:lang w:val="en-US" w:eastAsia="zh-CN"/>
        </w:rPr>
        <w:t>党委、政府审核或备案。乡</w:t>
      </w:r>
      <w:r>
        <w:rPr>
          <w:rFonts w:hint="eastAsia" w:ascii="仿宋_GB2312" w:hAnsi="仿宋_GB2312" w:eastAsia="仿宋_GB2312" w:cs="仿宋_GB2312"/>
          <w:b w:val="0"/>
          <w:bCs w:val="0"/>
          <w:kern w:val="2"/>
          <w:sz w:val="32"/>
          <w:szCs w:val="32"/>
          <w:lang w:val="en-US" w:eastAsia="zh-CN" w:bidi="ar-SA"/>
        </w:rPr>
        <w:t>（镇）</w:t>
      </w:r>
      <w:r>
        <w:rPr>
          <w:rFonts w:hint="eastAsia" w:ascii="仿宋_GB2312" w:hAnsi="仿宋_GB2312" w:eastAsia="仿宋_GB2312" w:cs="仿宋_GB2312"/>
          <w:sz w:val="32"/>
          <w:szCs w:val="32"/>
          <w:lang w:val="en-US" w:eastAsia="zh-CN"/>
        </w:rPr>
        <w:t>落实村级经营规划计划、项目投资和人事调整的“三个把关”、强化村级重大经济合同和年度收益分红方案的“两个</w:t>
      </w:r>
      <w:r>
        <w:rPr>
          <w:rFonts w:hint="eastAsia" w:ascii="仿宋_GB2312" w:hAnsi="仿宋_GB2312" w:eastAsia="仿宋_GB2312" w:cs="仿宋_GB2312"/>
          <w:color w:val="auto"/>
          <w:sz w:val="32"/>
          <w:szCs w:val="32"/>
          <w:lang w:val="en-US" w:eastAsia="zh-CN"/>
        </w:rPr>
        <w:t>审核”、严把年度村</w:t>
      </w:r>
      <w:r>
        <w:rPr>
          <w:rFonts w:hint="eastAsia" w:ascii="仿宋_GB2312" w:hAnsi="仿宋_GB2312" w:eastAsia="仿宋_GB2312" w:cs="仿宋_GB2312"/>
          <w:sz w:val="32"/>
          <w:szCs w:val="32"/>
          <w:lang w:val="en-US" w:eastAsia="zh-CN"/>
        </w:rPr>
        <w:t>级财务审计报告“一个确认”相关工作。</w:t>
      </w:r>
    </w:p>
    <w:p>
      <w:pPr>
        <w:keepNext w:val="0"/>
        <w:keepLines w:val="0"/>
        <w:pageBreakBefore w:val="0"/>
        <w:widowControl/>
        <w:numPr>
          <w:ilvl w:val="0"/>
          <w:numId w:val="0"/>
        </w:numPr>
        <w:suppressLineNumbers w:val="0"/>
        <w:kinsoku/>
        <w:wordWrap/>
        <w:overflowPunct/>
        <w:topLinePunct w:val="0"/>
        <w:autoSpaceDE/>
        <w:autoSpaceDN/>
        <w:bidi w:val="0"/>
        <w:spacing w:beforeAutospacing="0" w:afterAutospacing="0"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第七条 </w:t>
      </w:r>
      <w:r>
        <w:rPr>
          <w:rFonts w:hint="eastAsia" w:ascii="仿宋_GB2312" w:hAnsi="仿宋_GB2312" w:eastAsia="仿宋_GB2312" w:cs="仿宋_GB2312"/>
          <w:sz w:val="32"/>
          <w:szCs w:val="32"/>
          <w:lang w:val="en-US" w:eastAsia="zh-CN"/>
        </w:rPr>
        <w:t>村级财务管理的主体是村委会、村集体股份（经济）合作社。财务活动本着“村财村管村用乡监督”的原则，应当依法依规接受乡</w:t>
      </w:r>
      <w:r>
        <w:rPr>
          <w:rFonts w:hint="eastAsia" w:ascii="仿宋_GB2312" w:hAnsi="仿宋_GB2312" w:eastAsia="仿宋_GB2312" w:cs="仿宋_GB2312"/>
          <w:b w:val="0"/>
          <w:bCs w:val="0"/>
          <w:kern w:val="2"/>
          <w:sz w:val="32"/>
          <w:szCs w:val="32"/>
          <w:lang w:val="en-US" w:eastAsia="zh-CN" w:bidi="ar-SA"/>
        </w:rPr>
        <w:t>（镇）</w:t>
      </w:r>
      <w:r>
        <w:rPr>
          <w:rFonts w:hint="eastAsia" w:ascii="仿宋_GB2312" w:hAnsi="仿宋_GB2312" w:eastAsia="仿宋_GB2312" w:cs="仿宋_GB2312"/>
          <w:sz w:val="32"/>
          <w:szCs w:val="32"/>
          <w:lang w:val="en-US" w:eastAsia="zh-CN"/>
        </w:rPr>
        <w:t>人民政府和财政部门、农业农村部门等监督指导，接受审计等相关部门监督。</w:t>
      </w:r>
    </w:p>
    <w:p>
      <w:pPr>
        <w:keepNext w:val="0"/>
        <w:keepLines w:val="0"/>
        <w:pageBreakBefore w:val="0"/>
        <w:widowControl/>
        <w:numPr>
          <w:ilvl w:val="0"/>
          <w:numId w:val="0"/>
        </w:numPr>
        <w:suppressLineNumbers w:val="0"/>
        <w:kinsoku/>
        <w:wordWrap/>
        <w:overflowPunct/>
        <w:topLinePunct w:val="0"/>
        <w:autoSpaceDE/>
        <w:autoSpaceDN/>
        <w:bidi w:val="0"/>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村民委员会账套名称为“XX村民委员会”，由乡</w:t>
      </w:r>
      <w:r>
        <w:rPr>
          <w:rFonts w:hint="eastAsia" w:ascii="仿宋_GB2312" w:hAnsi="仿宋_GB2312" w:eastAsia="仿宋_GB2312" w:cs="仿宋_GB2312"/>
          <w:b w:val="0"/>
          <w:bCs w:val="0"/>
          <w:kern w:val="2"/>
          <w:sz w:val="32"/>
          <w:szCs w:val="32"/>
          <w:lang w:val="en-US" w:eastAsia="zh-CN" w:bidi="ar-SA"/>
        </w:rPr>
        <w:t>（镇）</w:t>
      </w:r>
      <w:r>
        <w:rPr>
          <w:rFonts w:hint="eastAsia" w:ascii="仿宋_GB2312" w:hAnsi="仿宋_GB2312" w:eastAsia="仿宋_GB2312" w:cs="仿宋_GB2312"/>
          <w:sz w:val="32"/>
          <w:szCs w:val="32"/>
          <w:lang w:val="en-US" w:eastAsia="zh-CN"/>
        </w:rPr>
        <w:t>负责核算。村集体经济组织账套名称“XX村股份（经济）合作社”，执行《农村集体经济组织财务制度》和《农村集体经济组织会计制度》，村集体股份经济合作社委托县农村集体核算中心代理会计核算等相关工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sz w:val="32"/>
          <w:szCs w:val="32"/>
          <w:lang w:val="en-US" w:eastAsia="zh-CN"/>
        </w:rPr>
        <w:t xml:space="preserve">第九条 </w:t>
      </w:r>
      <w:r>
        <w:rPr>
          <w:rFonts w:hint="eastAsia" w:ascii="仿宋_GB2312" w:hAnsi="仿宋_GB2312" w:eastAsia="仿宋_GB2312" w:cs="仿宋_GB2312"/>
          <w:kern w:val="0"/>
          <w:sz w:val="32"/>
          <w:szCs w:val="32"/>
          <w:lang w:val="en-US" w:eastAsia="zh-CN"/>
        </w:rPr>
        <w:t>成员（代表）大会的财务管理职责主要包括：审议、决定本集体经济组织财务管理制度、年度财务计划、重大财务收支事项、年度收益分配方案；村集体经济组织资金筹集、资产资源发包租赁、对外投资、资产处置等事项；对理事会和监事会年度财务管理、监督工作提出质询和改进意见；其他需要成员（代表）大会决定的重大事项。</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 xml:space="preserve">第十条 </w:t>
      </w:r>
      <w:r>
        <w:rPr>
          <w:rFonts w:hint="eastAsia" w:ascii="仿宋_GB2312" w:hAnsi="仿宋_GB2312" w:eastAsia="仿宋_GB2312" w:cs="仿宋_GB2312"/>
          <w:kern w:val="0"/>
          <w:sz w:val="32"/>
          <w:szCs w:val="32"/>
          <w:lang w:val="en-US" w:eastAsia="zh-CN"/>
        </w:rPr>
        <w:t>理事会（村委会）财务管理职责主要包括：起草、执行本集体经济组织内部财务管理制度、年度财务计划、年度收益分配方案；实施本集体经济组织资金筹集、资产资源发包租赁、对外投资、资产处置等经营活动，签订经济合同并督促合同履行；向成员（代表）大会报告年度财务执行情况；执行本集体经济组织章程规定及成员（代表）大会决定的其他财务事项。</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 xml:space="preserve">第十一条 </w:t>
      </w:r>
      <w:r>
        <w:rPr>
          <w:rFonts w:hint="eastAsia" w:ascii="仿宋_GB2312" w:hAnsi="仿宋_GB2312" w:eastAsia="仿宋_GB2312" w:cs="仿宋_GB2312"/>
          <w:kern w:val="0"/>
          <w:sz w:val="32"/>
          <w:szCs w:val="32"/>
          <w:lang w:val="en-US" w:eastAsia="zh-CN"/>
        </w:rPr>
        <w:t>监事会（理财小组）的财务管理职责主要包括：监督农村集体经济组织财务活动，组织开展民主理财；监督理事会、主要经营管理人员和会计人员履职行为，</w:t>
      </w:r>
      <w:r>
        <w:rPr>
          <w:rFonts w:hint="eastAsia" w:ascii="仿宋_GB2312" w:hAnsi="仿宋_GB2312" w:eastAsia="仿宋_GB2312" w:cs="仿宋_GB2312"/>
          <w:color w:val="auto"/>
          <w:kern w:val="0"/>
          <w:sz w:val="32"/>
          <w:szCs w:val="32"/>
          <w:lang w:val="en-US" w:eastAsia="zh-CN"/>
        </w:rPr>
        <w:t>对损害本集体经济组织利益，违反法律、法规、行政规章、组织章程或者成员（代表）大会决议的财务行为提出质询和改进建议，</w:t>
      </w:r>
      <w:r>
        <w:rPr>
          <w:rFonts w:hint="eastAsia" w:ascii="仿宋_GB2312" w:hAnsi="仿宋_GB2312" w:eastAsia="仿宋_GB2312" w:cs="仿宋_GB2312"/>
          <w:kern w:val="0"/>
          <w:sz w:val="32"/>
          <w:szCs w:val="32"/>
          <w:lang w:val="en-US" w:eastAsia="zh-CN"/>
        </w:rPr>
        <w:t>确认该村集体相关审计报告；协助地方政府及有关部门做好对农村集体经济组织的审计监督工作；向成员（代表）大会报告年度财务监督情况；执行本集体经济组织章程规定及成员（代表）大会决定的其他财务监督事项。</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 xml:space="preserve">第十二条 </w:t>
      </w:r>
      <w:r>
        <w:rPr>
          <w:rFonts w:hint="eastAsia" w:ascii="仿宋_GB2312" w:hAnsi="仿宋_GB2312" w:eastAsia="仿宋_GB2312" w:cs="仿宋_GB2312"/>
          <w:sz w:val="32"/>
          <w:szCs w:val="32"/>
          <w:lang w:val="en-US" w:eastAsia="zh-CN"/>
        </w:rPr>
        <w:t>县农村集体资产核算中心，对全县村集体股份（经济）合作社的财务进行集中核算。</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会计人员的财务管理职责主要包括：对村集体经济组织资金结算情况、票证使用情况和财务收支情况进行审核，监督出纳履行职责情况;做到账表相符、账账相符、账实相符；及时记账，编报财务报表资料;做好村各类报表和统计资料的收集、汇总、编报、装订各类财务和统计表册工作;监督财务支出，拒绝不合规、不合法的票据入账;做好村集体经济组织资产的清理登记、核算和管理工作;保管和正确使用银行预留的印章；配合出纳做好财务公开工作，做好其它工作。</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kern w:val="0"/>
          <w:sz w:val="32"/>
          <w:szCs w:val="32"/>
          <w:lang w:val="en-US" w:eastAsia="zh-CN"/>
        </w:rPr>
        <w:t xml:space="preserve">第十三条 </w:t>
      </w:r>
      <w:r>
        <w:rPr>
          <w:rFonts w:hint="eastAsia" w:ascii="仿宋_GB2312" w:hAnsi="仿宋_GB2312" w:eastAsia="仿宋_GB2312" w:cs="仿宋_GB2312"/>
          <w:sz w:val="32"/>
          <w:szCs w:val="32"/>
          <w:lang w:val="en-US" w:eastAsia="zh-CN"/>
        </w:rPr>
        <w:t>县农村集体资产核算中心不再设置出纳岗位，由村集体股份（经济）合作社聘任，乡(镇)做好</w:t>
      </w:r>
      <w:r>
        <w:rPr>
          <w:rFonts w:hint="eastAsia" w:ascii="仿宋_GB2312" w:hAnsi="仿宋_GB2312" w:eastAsia="仿宋_GB2312" w:cs="仿宋_GB2312"/>
          <w:kern w:val="0"/>
          <w:sz w:val="32"/>
          <w:szCs w:val="32"/>
          <w:lang w:val="en-US" w:eastAsia="zh-CN"/>
        </w:rPr>
        <w:t>监督管理工作</w:t>
      </w:r>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出纳人员的财务管理职责主要包括：严格审查收款原始票证；付款时要严格审查原始凭证的真实性、合法性、完整性；做到每笔收支业务日清月结；每笔收支业务做到票款相符、票账相符、账账相符、账实相符；及时做好“银行存款日记账”的登记工作；保管和正确使用银行支票；负责与银行的各项收支、结算和对账工作；及时做好报税工作；做好现金保管工作；及时完成其他相关工作。</w:t>
      </w:r>
    </w:p>
    <w:p>
      <w:pPr>
        <w:keepNext w:val="0"/>
        <w:keepLines w:val="0"/>
        <w:pageBreakBefore w:val="0"/>
        <w:widowControl/>
        <w:numPr>
          <w:ilvl w:val="0"/>
          <w:numId w:val="0"/>
        </w:numPr>
        <w:suppressLineNumbers w:val="0"/>
        <w:kinsoku/>
        <w:wordWrap/>
        <w:overflowPunct/>
        <w:topLinePunct w:val="0"/>
        <w:autoSpaceDE/>
        <w:autoSpaceDN/>
        <w:bidi w:val="0"/>
        <w:spacing w:beforeAutospacing="0" w:afterAutospacing="0" w:line="560" w:lineRule="exact"/>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第四章  资金管理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 xml:space="preserve">第十四条 </w:t>
      </w:r>
      <w:r>
        <w:rPr>
          <w:rFonts w:hint="eastAsia" w:ascii="仿宋_GB2312" w:hAnsi="仿宋_GB2312" w:eastAsia="仿宋_GB2312" w:cs="仿宋_GB2312"/>
          <w:kern w:val="0"/>
          <w:sz w:val="32"/>
          <w:szCs w:val="32"/>
          <w:lang w:val="en-US" w:eastAsia="zh-CN"/>
        </w:rPr>
        <w:t>村集体经济组织所有资金严格执行收支两条线管理办法，村集体经济组织必须根据收入范围和标准及时组织收取，按时存入村集体经济组织银行账户，坚决禁止村集体经济组织坐收坐支或白条抵库。村集体经济组织为农民代办的生产性事业性经费，必须严格执行报账进账、单独核算、专款专用制度。自筹资金必须及时上缴入村集体经济组织账户，依据项目资金支付。</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 xml:space="preserve">第十五条 </w:t>
      </w:r>
      <w:r>
        <w:rPr>
          <w:rFonts w:hint="eastAsia" w:ascii="仿宋_GB2312" w:hAnsi="仿宋_GB2312" w:eastAsia="仿宋_GB2312" w:cs="仿宋_GB2312"/>
          <w:kern w:val="0"/>
          <w:sz w:val="32"/>
          <w:szCs w:val="32"/>
          <w:lang w:val="en-US" w:eastAsia="zh-CN"/>
        </w:rPr>
        <w:t>村集体经济组织不得</w:t>
      </w:r>
      <w:r>
        <w:rPr>
          <w:rFonts w:hint="default" w:ascii="仿宋_GB2312" w:hAnsi="仿宋_GB2312" w:eastAsia="仿宋_GB2312" w:cs="仿宋_GB2312"/>
          <w:kern w:val="0"/>
          <w:sz w:val="32"/>
          <w:szCs w:val="32"/>
          <w:lang w:val="en-US" w:eastAsia="zh-CN"/>
        </w:rPr>
        <w:t>出租或转借</w:t>
      </w:r>
      <w:r>
        <w:rPr>
          <w:rFonts w:hint="eastAsia" w:ascii="仿宋_GB2312" w:hAnsi="仿宋_GB2312" w:eastAsia="仿宋_GB2312" w:cs="仿宋_GB2312"/>
          <w:kern w:val="0"/>
          <w:sz w:val="32"/>
          <w:szCs w:val="32"/>
          <w:lang w:val="en-US" w:eastAsia="zh-CN"/>
        </w:rPr>
        <w:t>账</w:t>
      </w:r>
      <w:r>
        <w:rPr>
          <w:rFonts w:hint="default" w:ascii="仿宋_GB2312" w:hAnsi="仿宋_GB2312" w:eastAsia="仿宋_GB2312" w:cs="仿宋_GB2312"/>
          <w:kern w:val="0"/>
          <w:sz w:val="32"/>
          <w:szCs w:val="32"/>
          <w:lang w:val="en-US" w:eastAsia="zh-CN"/>
        </w:rPr>
        <w:t>户</w:t>
      </w:r>
      <w:r>
        <w:rPr>
          <w:rFonts w:hint="eastAsia" w:ascii="仿宋_GB2312" w:hAnsi="仿宋_GB2312" w:eastAsia="仿宋_GB2312" w:cs="仿宋_GB2312"/>
          <w:kern w:val="0"/>
          <w:sz w:val="32"/>
          <w:szCs w:val="32"/>
          <w:lang w:val="en-US" w:eastAsia="zh-CN"/>
        </w:rPr>
        <w:t>；村集体经济组织不准参加各种名义的赞助活动,不准用公款购买非农工具、通讯工具</w:t>
      </w:r>
      <w:r>
        <w:rPr>
          <w:rFonts w:hint="default" w:ascii="仿宋_GB2312" w:hAnsi="仿宋_GB2312" w:eastAsia="仿宋_GB2312" w:cs="仿宋_GB2312"/>
          <w:kern w:val="0"/>
          <w:sz w:val="32"/>
          <w:szCs w:val="32"/>
          <w:lang w:val="en-US" w:eastAsia="zh-CN"/>
        </w:rPr>
        <w:t>,对各种</w:t>
      </w:r>
      <w:r>
        <w:rPr>
          <w:rFonts w:hint="eastAsia" w:ascii="仿宋_GB2312" w:hAnsi="仿宋_GB2312" w:eastAsia="仿宋_GB2312" w:cs="仿宋_GB2312"/>
          <w:kern w:val="0"/>
          <w:sz w:val="32"/>
          <w:szCs w:val="32"/>
          <w:lang w:val="en-US" w:eastAsia="zh-CN"/>
        </w:rPr>
        <w:t>经营</w:t>
      </w:r>
      <w:r>
        <w:rPr>
          <w:rFonts w:hint="default" w:ascii="仿宋_GB2312" w:hAnsi="仿宋_GB2312" w:eastAsia="仿宋_GB2312" w:cs="仿宋_GB2312"/>
          <w:kern w:val="0"/>
          <w:sz w:val="32"/>
          <w:szCs w:val="32"/>
          <w:lang w:val="en-US" w:eastAsia="zh-CN"/>
        </w:rPr>
        <w:t>合同外的乱收费</w:t>
      </w:r>
      <w:r>
        <w:rPr>
          <w:rFonts w:hint="eastAsia" w:ascii="仿宋_GB2312" w:hAnsi="仿宋_GB2312" w:eastAsia="仿宋_GB2312" w:cs="仿宋_GB2312"/>
          <w:kern w:val="0"/>
          <w:sz w:val="32"/>
          <w:szCs w:val="32"/>
          <w:lang w:val="en-US" w:eastAsia="zh-CN"/>
        </w:rPr>
        <w:t>、</w:t>
      </w:r>
      <w:r>
        <w:rPr>
          <w:rFonts w:hint="default" w:ascii="仿宋_GB2312" w:hAnsi="仿宋_GB2312" w:eastAsia="仿宋_GB2312" w:cs="仿宋_GB2312"/>
          <w:kern w:val="0"/>
          <w:sz w:val="32"/>
          <w:szCs w:val="32"/>
          <w:lang w:val="en-US" w:eastAsia="zh-CN"/>
        </w:rPr>
        <w:t>乱集资、乱摊派,村集体经济组织有权拒付</w:t>
      </w:r>
      <w:r>
        <w:rPr>
          <w:rFonts w:hint="eastAsia" w:ascii="仿宋_GB2312" w:hAnsi="仿宋_GB2312" w:eastAsia="仿宋_GB2312" w:cs="仿宋_GB2312"/>
          <w:kern w:val="0"/>
          <w:sz w:val="32"/>
          <w:szCs w:val="32"/>
          <w:lang w:val="en-US" w:eastAsia="zh-CN"/>
        </w:rPr>
        <w:t>；村集体经济组织应及时清收债权，化解债务，严禁擅自向成员额外筹款，不得随意增加农民负担。</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kern w:val="0"/>
          <w:sz w:val="32"/>
          <w:szCs w:val="32"/>
          <w:lang w:val="en-US" w:eastAsia="zh-CN"/>
        </w:rPr>
        <w:t xml:space="preserve">第十六条 </w:t>
      </w:r>
      <w:r>
        <w:rPr>
          <w:rFonts w:hint="eastAsia" w:ascii="仿宋_GB2312" w:hAnsi="仿宋_GB2312" w:eastAsia="仿宋_GB2312" w:cs="仿宋_GB2312"/>
          <w:kern w:val="0"/>
          <w:sz w:val="32"/>
          <w:szCs w:val="32"/>
          <w:lang w:val="en-US" w:eastAsia="zh-CN"/>
        </w:rPr>
        <w:t>村集体经济组织各类资金的使用必须认真制定并严格执行预决算。年初本着量入为出、略有结余的原则，编制好年度资金使用计划，并逐项细分安排，提交村民（成员）代表大会讨论通过后，报乡（镇）人民政府审核备案。</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 xml:space="preserve">第十七条 </w:t>
      </w:r>
      <w:r>
        <w:rPr>
          <w:rFonts w:hint="eastAsia" w:ascii="仿宋_GB2312" w:hAnsi="仿宋_GB2312" w:eastAsia="仿宋_GB2312" w:cs="仿宋_GB2312"/>
          <w:kern w:val="0"/>
          <w:sz w:val="32"/>
          <w:szCs w:val="32"/>
          <w:lang w:val="en-US" w:eastAsia="zh-CN"/>
        </w:rPr>
        <w:t>规范报销凭据。</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（一）村集体经济组织支付的机械作业费、劳务费、租车费等，支付的发票票面应有相关的人员签名、盖章并注明事由，发票附件要真实齐全并附有相关会议记录。</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（二）村集体经济组织发生购买物品未开发票的，代开的发票报销时需有收款方的收款收据或购买清单（需加盖公章）；代开发票附件中，如没有购买方的收款收据或购买清单（需加盖公章）一律不得报销。</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（三）支付村集体经济组织工程款项需提供正规发票及支付所需要的其他附件材料，方可进行支付，严禁白条支付。</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 xml:space="preserve">第十八条 </w:t>
      </w:r>
      <w:r>
        <w:rPr>
          <w:rFonts w:hint="eastAsia" w:ascii="仿宋_GB2312" w:hAnsi="仿宋_GB2312" w:eastAsia="仿宋_GB2312" w:cs="仿宋_GB2312"/>
          <w:kern w:val="0"/>
          <w:sz w:val="32"/>
          <w:szCs w:val="32"/>
          <w:lang w:val="en-US" w:eastAsia="zh-CN"/>
        </w:rPr>
        <w:t>规范报账程序。</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具体限额由各乡（镇）根据实际情况制定。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（一）限额以内的开支：</w:t>
      </w:r>
      <w:r>
        <w:rPr>
          <w:rFonts w:hint="eastAsia" w:ascii="仿宋_GB2312" w:hAnsi="仿宋_GB2312" w:eastAsia="仿宋_GB2312" w:cs="仿宋_GB2312"/>
          <w:kern w:val="0"/>
          <w:sz w:val="32"/>
          <w:szCs w:val="32"/>
          <w:lang w:val="en-US" w:eastAsia="zh-CN"/>
        </w:rPr>
        <w:t>村委会（村民代表大会）、村集体经济组织（理事会）制定开支计划。村民代表大会（理财会）、村集体经济组织（理事会、监事会）讨论审核开支计划的可行性。讨论通过后由村党支部、村委会（村民代表大会、理财会）、村集体经济组织（理事会、监事会）审核批准、签字盖章后报乡</w:t>
      </w:r>
      <w:r>
        <w:rPr>
          <w:rFonts w:hint="eastAsia" w:ascii="仿宋_GB2312" w:hAnsi="仿宋_GB2312" w:eastAsia="仿宋_GB2312" w:cs="仿宋_GB2312"/>
          <w:sz w:val="32"/>
          <w:szCs w:val="32"/>
          <w:lang w:val="en-US" w:eastAsia="zh-CN"/>
        </w:rPr>
        <w:t>(镇)</w:t>
      </w:r>
      <w:r>
        <w:rPr>
          <w:rFonts w:hint="eastAsia" w:ascii="仿宋_GB2312" w:hAnsi="仿宋_GB2312" w:eastAsia="仿宋_GB2312" w:cs="仿宋_GB2312"/>
          <w:kern w:val="0"/>
          <w:sz w:val="32"/>
          <w:szCs w:val="32"/>
          <w:lang w:val="en-US" w:eastAsia="zh-CN"/>
        </w:rPr>
        <w:t>农村合作经济（统计）发展中心会计审核。村委会的资金支付由乡（镇）农村合作经济（统计）发展中心审核后支付；村集体股份（经济）合作社资金支付由乡（镇）农村合作经济（统计）发展中心进行合规性审核确认后，报县农村集体资产管理核算中心支付。</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（二）超限额外的开支：</w:t>
      </w:r>
      <w:r>
        <w:rPr>
          <w:rFonts w:hint="eastAsia" w:ascii="仿宋_GB2312" w:hAnsi="仿宋_GB2312" w:eastAsia="仿宋_GB2312" w:cs="仿宋_GB2312"/>
          <w:kern w:val="0"/>
          <w:sz w:val="32"/>
          <w:szCs w:val="32"/>
          <w:lang w:val="en-US" w:eastAsia="zh-CN"/>
        </w:rPr>
        <w:t>村委会（村民代表大会）、村集体经济组织（理事会）制定开支计划，同时报乡（镇）党委（政府）把关论证。乡（镇）党委（政府）把关论证同意后，经乡（镇）财经领导小组审核审批，由村委会（村民代表大会）、村集体经济组织（理事会、监事会）组织实施，村委会（村民代表大会）、村集体经济组织（理事会）对开支计划审核签字盖章。经乡（镇）农村合作经济（统计）发展中心审核的开支计划、票据提交乡（镇）财经领导小组会议审核、批准。注：村委会的资金支付由乡（镇）农村合作经济（统计）发展中心审核后支付；村集体股份（经济）合作社资金支付由乡（镇）农村合作经济（统计）发展中心进行合规性审核确认后报县农村集体资产管理核算中心支付。</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（三）管理费用支出：</w:t>
      </w:r>
      <w:r>
        <w:rPr>
          <w:rFonts w:hint="eastAsia" w:ascii="仿宋_GB2312" w:hAnsi="仿宋_GB2312" w:eastAsia="仿宋_GB2312" w:cs="仿宋_GB2312"/>
          <w:kern w:val="0"/>
          <w:sz w:val="32"/>
          <w:szCs w:val="32"/>
          <w:lang w:val="en-US" w:eastAsia="zh-CN"/>
        </w:rPr>
        <w:t>严格控制非生产性开支，村委会及村集体股份（经济）合作社年度运营产生的相关费用应本着量入为出，节约成本的原则，正常的管理费用主要包括村干部和经管管理人员的工资（各种补贴等）、办公费用、出差费（严禁非特殊情况出差使用包车）、学习、考察、培训等费用报乡（镇）审批同意后支出。</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（四）专项资金的管理：</w:t>
      </w:r>
      <w:r>
        <w:rPr>
          <w:rFonts w:hint="eastAsia" w:ascii="仿宋_GB2312" w:hAnsi="仿宋_GB2312" w:eastAsia="仿宋_GB2312" w:cs="仿宋_GB2312"/>
          <w:kern w:val="0"/>
          <w:sz w:val="32"/>
          <w:szCs w:val="32"/>
          <w:lang w:val="en-US" w:eastAsia="zh-CN"/>
        </w:rPr>
        <w:t>乡（镇）、村集体经济组织向财政等部门争取的各项资金，由会计审核把关，严格按其用途专款专用，禁止单位和个人挪用、合并、平调、占用专项资金。</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bCs/>
          <w:kern w:val="0"/>
          <w:sz w:val="32"/>
          <w:szCs w:val="32"/>
          <w:lang w:val="en-US" w:eastAsia="zh-CN"/>
        </w:rPr>
        <w:t xml:space="preserve">第十九条 </w:t>
      </w:r>
      <w:r>
        <w:rPr>
          <w:rFonts w:hint="eastAsia" w:ascii="仿宋_GB2312" w:hAnsi="仿宋_GB2312" w:eastAsia="仿宋_GB2312" w:cs="仿宋_GB2312"/>
          <w:b w:val="0"/>
          <w:bCs w:val="0"/>
          <w:kern w:val="0"/>
          <w:sz w:val="32"/>
          <w:szCs w:val="32"/>
          <w:lang w:val="en-US" w:eastAsia="zh-CN"/>
        </w:rPr>
        <w:t>各乡（镇）根据村集体经济发展</w:t>
      </w:r>
      <w:r>
        <w:rPr>
          <w:rFonts w:hint="eastAsia" w:ascii="仿宋_GB2312" w:hAnsi="仿宋_GB2312" w:eastAsia="仿宋_GB2312" w:cs="仿宋_GB2312"/>
          <w:kern w:val="0"/>
          <w:sz w:val="32"/>
          <w:szCs w:val="32"/>
          <w:lang w:val="en-US" w:eastAsia="zh-CN"/>
        </w:rPr>
        <w:t>壮大情况，坚持合法、公平、竞争、激励四大原则，探索开展集体收益分配权抵押担保、</w:t>
      </w:r>
      <w:r>
        <w:rPr>
          <w:rFonts w:hint="eastAsia" w:ascii="仿宋_GB2312" w:hAnsi="仿宋_GB2312" w:eastAsia="仿宋_GB2312" w:cs="仿宋_GB2312"/>
          <w:b w:val="0"/>
          <w:bCs w:val="0"/>
          <w:kern w:val="0"/>
          <w:sz w:val="32"/>
          <w:szCs w:val="32"/>
          <w:lang w:val="en-US" w:eastAsia="zh-CN"/>
        </w:rPr>
        <w:t>有偿退出等机制，赋予农民更加充分的财产权益。各乡（镇）可根据实际情况出台</w:t>
      </w:r>
      <w:r>
        <w:rPr>
          <w:rFonts w:hint="eastAsia" w:ascii="仿宋_GB2312" w:hAnsi="仿宋_GB2312" w:eastAsia="仿宋_GB2312" w:cs="仿宋_GB2312"/>
          <w:kern w:val="0"/>
          <w:sz w:val="32"/>
          <w:szCs w:val="32"/>
          <w:lang w:val="en-US" w:eastAsia="zh-CN"/>
        </w:rPr>
        <w:t>村干部绩效考核与集体经济收益挂钩奖励办法来</w:t>
      </w:r>
      <w:r>
        <w:rPr>
          <w:rFonts w:hint="eastAsia" w:ascii="仿宋_GB2312" w:hAnsi="仿宋_GB2312" w:eastAsia="仿宋_GB2312" w:cs="仿宋_GB2312"/>
          <w:b w:val="0"/>
          <w:bCs w:val="0"/>
          <w:kern w:val="0"/>
          <w:sz w:val="32"/>
          <w:szCs w:val="32"/>
          <w:lang w:val="en-US" w:eastAsia="zh-CN"/>
        </w:rPr>
        <w:t>激活经营班子活力，农村集体经济组织收益分配实施细则应明确分配原则、分配内容、分配监督，推动农村集体资产管理制度化、规范化、信息化。制定举债范围和防过度分配的措施，杜绝乱发福利、过度分配问题，为集体经济留出发展空间与后劲。</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jc w:val="center"/>
        <w:textAlignment w:val="auto"/>
        <w:rPr>
          <w:rStyle w:val="12"/>
          <w:rFonts w:hint="eastAsia" w:ascii="黑体" w:hAnsi="黑体" w:eastAsia="黑体" w:cs="黑体"/>
          <w:b w:val="0"/>
          <w:bCs/>
          <w:kern w:val="0"/>
          <w:sz w:val="32"/>
          <w:szCs w:val="32"/>
          <w:lang w:val="en-US" w:eastAsia="zh-CN"/>
        </w:rPr>
      </w:pPr>
      <w:r>
        <w:rPr>
          <w:rStyle w:val="12"/>
          <w:rFonts w:hint="eastAsia" w:ascii="黑体" w:hAnsi="黑体" w:eastAsia="黑体" w:cs="黑体"/>
          <w:b w:val="0"/>
          <w:bCs/>
          <w:kern w:val="0"/>
          <w:sz w:val="32"/>
          <w:szCs w:val="32"/>
          <w:lang w:val="en-US" w:eastAsia="zh-CN"/>
        </w:rPr>
        <w:t>第五章  资产管理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kern w:val="0"/>
          <w:sz w:val="32"/>
          <w:szCs w:val="32"/>
          <w:lang w:val="en-US" w:eastAsia="zh-CN"/>
        </w:rPr>
        <w:t xml:space="preserve">第二十条 </w:t>
      </w:r>
      <w:r>
        <w:rPr>
          <w:rFonts w:hint="eastAsia" w:ascii="仿宋_GB2312" w:hAnsi="仿宋_GB2312" w:eastAsia="仿宋_GB2312" w:cs="仿宋_GB2312"/>
          <w:kern w:val="0"/>
          <w:sz w:val="32"/>
          <w:szCs w:val="32"/>
          <w:lang w:val="en-US" w:eastAsia="zh-CN"/>
        </w:rPr>
        <w:t>农村集体经济组织应当按照有关法律、法规、政策以及组织章程加强现金、银行存款、短期投资、应收款项、存货、消耗性生物资产等流动资产管理，落实经营管理责任。</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56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 xml:space="preserve">第二十一条 </w:t>
      </w:r>
      <w:r>
        <w:rPr>
          <w:rFonts w:hint="eastAsia" w:ascii="仿宋_GB2312" w:hAnsi="仿宋_GB2312" w:eastAsia="仿宋_GB2312" w:cs="仿宋_GB2312"/>
          <w:kern w:val="0"/>
          <w:sz w:val="32"/>
          <w:szCs w:val="32"/>
          <w:lang w:val="en-US" w:eastAsia="zh-CN"/>
        </w:rPr>
        <w:t>村集体经济组织资产包括房屋、建筑物、设备、工具等，凡使用年限在一年以上，单位价值在2000元以上的列为固定资产;能够直接利用或经开发可以长期利用的村资产列入村集体经济组织资产范畴，必须建立明细台账进行核算管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 xml:space="preserve">第二十二条 </w:t>
      </w:r>
      <w:r>
        <w:rPr>
          <w:rFonts w:hint="eastAsia" w:ascii="仿宋_GB2312" w:hAnsi="仿宋_GB2312" w:eastAsia="仿宋_GB2312" w:cs="仿宋_GB2312"/>
          <w:kern w:val="0"/>
          <w:sz w:val="32"/>
          <w:szCs w:val="32"/>
          <w:lang w:val="en-US" w:eastAsia="zh-CN"/>
        </w:rPr>
        <w:t>农村集体经济组织应当按照有关法律、法规、政策以及组织章程加强固定资产购建、使用、处置管理，落实经营管理责任，依法合规计提折旧。在建工程项目验收合格、交付使用后，应当及时办理竣工决算手续。</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 xml:space="preserve">第二十三条 </w:t>
      </w:r>
      <w:r>
        <w:rPr>
          <w:rFonts w:hint="eastAsia" w:ascii="仿宋_GB2312" w:hAnsi="仿宋_GB2312" w:eastAsia="仿宋_GB2312" w:cs="仿宋_GB2312"/>
          <w:kern w:val="0"/>
          <w:sz w:val="32"/>
          <w:szCs w:val="32"/>
          <w:lang w:val="en-US" w:eastAsia="zh-CN"/>
        </w:rPr>
        <w:t>农村集体经济组织应当按照有关法律、法规、政策以及组织章程加强集体的牲畜、林木等生物资产管理，做好增减、摊销、死亡毁损等核算工作，落实经营管理责任。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 xml:space="preserve">第二十四条 </w:t>
      </w:r>
      <w:r>
        <w:rPr>
          <w:rFonts w:hint="eastAsia" w:ascii="仿宋_GB2312" w:hAnsi="仿宋_GB2312" w:eastAsia="仿宋_GB2312" w:cs="仿宋_GB2312"/>
          <w:kern w:val="0"/>
          <w:sz w:val="32"/>
          <w:szCs w:val="32"/>
          <w:lang w:val="en-US" w:eastAsia="zh-CN"/>
        </w:rPr>
        <w:t>农村集体经济组织以出售、置换、报废、核销等方式处置资产时，应当根据各自职能按照村级申请、乡（镇）审核、公示审批、村级确认，账务核算的程序进行。发生的资产损失，应当及时核实，查清责任，确认损失，并进行账务处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 xml:space="preserve">第二十五条 </w:t>
      </w:r>
      <w:r>
        <w:rPr>
          <w:rFonts w:hint="eastAsia" w:ascii="仿宋_GB2312" w:hAnsi="仿宋_GB2312" w:eastAsia="仿宋_GB2312" w:cs="仿宋_GB2312"/>
          <w:kern w:val="0"/>
          <w:sz w:val="32"/>
          <w:szCs w:val="32"/>
          <w:lang w:val="en-US" w:eastAsia="zh-CN"/>
        </w:rPr>
        <w:t>农村集体经济组织依法依规对外投资或进行集体资产转让、发包、租赁等情形时，应当签订书面合同，明确双方的权利义务，合理确定价格。农村集体经济组织以及农村集体经济组织经营管理人员，不得以本集体资产为其他单位和个人提供担保。</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jc w:val="center"/>
        <w:textAlignment w:val="auto"/>
        <w:rPr>
          <w:rStyle w:val="12"/>
          <w:rFonts w:hint="eastAsia" w:ascii="黑体" w:hAnsi="黑体" w:eastAsia="黑体" w:cs="黑体"/>
          <w:b w:val="0"/>
          <w:bCs/>
          <w:kern w:val="0"/>
          <w:sz w:val="32"/>
          <w:szCs w:val="32"/>
          <w:lang w:val="en-US" w:eastAsia="zh-CN"/>
        </w:rPr>
      </w:pPr>
      <w:r>
        <w:rPr>
          <w:rStyle w:val="12"/>
          <w:rFonts w:hint="eastAsia" w:ascii="黑体" w:hAnsi="黑体" w:eastAsia="黑体" w:cs="黑体"/>
          <w:b w:val="0"/>
          <w:bCs/>
          <w:kern w:val="0"/>
          <w:sz w:val="32"/>
          <w:szCs w:val="32"/>
          <w:lang w:val="en-US" w:eastAsia="zh-CN"/>
        </w:rPr>
        <w:t>第六章  资源管理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 xml:space="preserve">第二十六条 </w:t>
      </w:r>
      <w:r>
        <w:rPr>
          <w:rFonts w:hint="eastAsia" w:ascii="仿宋_GB2312" w:hAnsi="仿宋_GB2312" w:eastAsia="仿宋_GB2312" w:cs="仿宋_GB2312"/>
          <w:kern w:val="0"/>
          <w:sz w:val="32"/>
          <w:szCs w:val="32"/>
          <w:lang w:val="en-US" w:eastAsia="zh-CN"/>
        </w:rPr>
        <w:t>农村集体经济组织应将法律规定属于集体所有的资源性资产：耕地、林地、园地、草地、四荒、养殖水面、设施农用地和建设用地等清查核实，明确资产权属，登记资产台账，按照土地类型建立资源登记簿。</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 xml:space="preserve">第二十七条 </w:t>
      </w:r>
      <w:r>
        <w:rPr>
          <w:rFonts w:hint="eastAsia" w:ascii="仿宋_GB2312" w:hAnsi="仿宋_GB2312" w:eastAsia="仿宋_GB2312" w:cs="仿宋_GB2312"/>
          <w:kern w:val="0"/>
          <w:sz w:val="32"/>
          <w:szCs w:val="32"/>
          <w:lang w:val="en-US" w:eastAsia="zh-CN"/>
        </w:rPr>
        <w:t>农村集体经济组织的耕地、林地等采取农村集体经济组织内部的家庭承包方式的，应按其土地类别、依法签订的承包合同登记。机动地、林地、园地、草地、四荒养殖水面等土地采取招投标、拍卖、公开协商等方式发包、租赁，按照《农村土地承包法》等相关规定的程序，确定承包方或承租方，依法签订承包合同，按照合同登记。</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 xml:space="preserve">第二十八条 </w:t>
      </w:r>
      <w:r>
        <w:rPr>
          <w:rFonts w:hint="eastAsia" w:ascii="仿宋_GB2312" w:hAnsi="仿宋_GB2312" w:eastAsia="仿宋_GB2312" w:cs="仿宋_GB2312"/>
          <w:kern w:val="0"/>
          <w:sz w:val="32"/>
          <w:szCs w:val="32"/>
          <w:lang w:val="en-US" w:eastAsia="zh-CN"/>
        </w:rPr>
        <w:t>农村集体资源实行统一经营的，或以资源入股、合作等形式经营的，应在建立登记簿的基础上设立土地台账，保证账、簿相符。同时，明确经营管理者责任和经营目标、决策机制和收益分配机制，向全体村民（成员）公开。</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 xml:space="preserve">第二十九条 </w:t>
      </w:r>
      <w:r>
        <w:rPr>
          <w:rFonts w:hint="eastAsia" w:ascii="仿宋_GB2312" w:hAnsi="仿宋_GB2312" w:eastAsia="仿宋_GB2312" w:cs="仿宋_GB2312"/>
          <w:kern w:val="0"/>
          <w:sz w:val="32"/>
          <w:szCs w:val="32"/>
          <w:lang w:val="en-US" w:eastAsia="zh-CN"/>
        </w:rPr>
        <w:t>家庭承包方式或其他承包方式经营的，在登记簿登记以后，发生土地再流转的，依法签订流转合同后备案，应当及时变更登记，反映其增减变动情况，及时录入“三资”信息管理系统，公示不少于7天。账务处理前，乡（镇）、村应对权属合同和经营性等相关合同的合法性、真实性进行审核和确认，不得依据过期等无效合同做权属或资产等变更登记。</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jc w:val="center"/>
        <w:textAlignment w:val="auto"/>
        <w:rPr>
          <w:rStyle w:val="12"/>
          <w:rFonts w:hint="eastAsia" w:ascii="黑体" w:hAnsi="黑体" w:eastAsia="黑体" w:cs="黑体"/>
          <w:b w:val="0"/>
          <w:bCs/>
          <w:kern w:val="0"/>
          <w:sz w:val="32"/>
          <w:szCs w:val="32"/>
          <w:lang w:val="en-US" w:eastAsia="zh-CN"/>
        </w:rPr>
      </w:pPr>
      <w:r>
        <w:rPr>
          <w:rFonts w:hint="eastAsia" w:ascii="黑体" w:hAnsi="黑体" w:eastAsia="黑体" w:cs="黑体"/>
          <w:b w:val="0"/>
          <w:bCs/>
          <w:kern w:val="0"/>
          <w:sz w:val="32"/>
          <w:szCs w:val="32"/>
          <w:lang w:val="en-US" w:eastAsia="zh-CN" w:bidi="ar-SA"/>
        </w:rPr>
        <w:t>第七章</w:t>
      </w:r>
      <w:r>
        <w:rPr>
          <w:rStyle w:val="12"/>
          <w:rFonts w:hint="eastAsia" w:ascii="黑体" w:hAnsi="黑体" w:eastAsia="黑体" w:cs="黑体"/>
          <w:b w:val="0"/>
          <w:bCs/>
          <w:kern w:val="0"/>
          <w:sz w:val="32"/>
          <w:szCs w:val="32"/>
          <w:lang w:val="en-US" w:eastAsia="zh-CN"/>
        </w:rPr>
        <w:t xml:space="preserve"> 财务管理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 xml:space="preserve">第三十条 </w:t>
      </w:r>
      <w:r>
        <w:rPr>
          <w:rFonts w:hint="eastAsia" w:ascii="仿宋_GB2312" w:hAnsi="仿宋_GB2312" w:eastAsia="仿宋_GB2312" w:cs="仿宋_GB2312"/>
          <w:kern w:val="0"/>
          <w:sz w:val="32"/>
          <w:szCs w:val="32"/>
          <w:lang w:val="en-US" w:eastAsia="zh-CN"/>
        </w:rPr>
        <w:t>农村集体经济组织与村民委员会应当分设会计账套和银行账户。确保财务信息的真实性、完整性。农村集体经济组织应当按照国家统一的会计制度和有关规定编制年度财务会计报告，按要求报送乡（镇）人民政府和相关部门。</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第三十一条</w:t>
      </w:r>
      <w:r>
        <w:rPr>
          <w:rFonts w:hint="eastAsia" w:ascii="仿宋_GB2312" w:hAnsi="仿宋_GB2312" w:eastAsia="仿宋_GB2312" w:cs="仿宋_GB2312"/>
          <w:kern w:val="0"/>
          <w:sz w:val="32"/>
          <w:szCs w:val="32"/>
          <w:lang w:val="en-US" w:eastAsia="zh-CN"/>
        </w:rPr>
        <w:t xml:space="preserve"> 按照资金来源，分别划分至村民委员会或</w:t>
      </w:r>
      <w:r>
        <w:rPr>
          <w:rFonts w:hint="eastAsia" w:ascii="仿宋_GB2312" w:hAnsi="仿宋_GB2312" w:eastAsia="仿宋_GB2312" w:cs="仿宋_GB2312"/>
          <w:sz w:val="32"/>
          <w:szCs w:val="32"/>
          <w:lang w:val="en-US" w:eastAsia="zh-CN"/>
        </w:rPr>
        <w:t>村集体股份（经济）合作社等</w:t>
      </w:r>
      <w:r>
        <w:rPr>
          <w:rFonts w:hint="eastAsia" w:ascii="仿宋_GB2312" w:hAnsi="仿宋_GB2312" w:eastAsia="仿宋_GB2312" w:cs="仿宋_GB2312"/>
          <w:kern w:val="0"/>
          <w:sz w:val="32"/>
          <w:szCs w:val="32"/>
          <w:lang w:val="en-US" w:eastAsia="zh-CN"/>
        </w:rPr>
        <w:t>账套核算。政府部门拨付给村用于履行社会管理和公共服务职能、发放干部薪酬福利的资金，社会捐赠、资助给基层党组织、村民委员会用于公共服务和社会管理的资金，原则上划归村民委员会账务核算。</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lang w:val="en-US" w:eastAsia="zh-CN"/>
        </w:rPr>
      </w:pPr>
      <w:r>
        <w:rPr>
          <w:rFonts w:hint="eastAsia" w:ascii="仿宋_GB2312" w:hAnsi="仿宋_GB2312" w:eastAsia="仿宋_GB2312" w:cs="仿宋_GB2312"/>
          <w:kern w:val="0"/>
          <w:sz w:val="32"/>
          <w:szCs w:val="32"/>
          <w:lang w:val="en-US" w:eastAsia="zh-CN"/>
        </w:rPr>
        <w:t>由政府部门拨款给农村集体经济组织用于发展壮大集体经济的资金，社会捐赠、资助给</w:t>
      </w:r>
      <w:r>
        <w:rPr>
          <w:rFonts w:hint="eastAsia" w:ascii="仿宋_GB2312" w:hAnsi="仿宋_GB2312" w:eastAsia="仿宋_GB2312" w:cs="仿宋_GB2312"/>
          <w:sz w:val="32"/>
          <w:szCs w:val="32"/>
          <w:lang w:val="en-US" w:eastAsia="zh-CN"/>
        </w:rPr>
        <w:t>村集体股份（经济）合作社</w:t>
      </w:r>
      <w:r>
        <w:rPr>
          <w:rFonts w:hint="eastAsia" w:ascii="仿宋_GB2312" w:hAnsi="仿宋_GB2312" w:eastAsia="仿宋_GB2312" w:cs="仿宋_GB2312"/>
          <w:kern w:val="0"/>
          <w:sz w:val="32"/>
          <w:szCs w:val="32"/>
          <w:lang w:val="en-US" w:eastAsia="zh-CN"/>
        </w:rPr>
        <w:t>用于特色产业发展、基础设施建设、设施设备购置等资金，经营集体资产资源所得收益、村集体对外投资本金及收益等原则上划归</w:t>
      </w:r>
      <w:r>
        <w:rPr>
          <w:rFonts w:hint="eastAsia" w:ascii="仿宋_GB2312" w:hAnsi="仿宋_GB2312" w:eastAsia="仿宋_GB2312" w:cs="仿宋_GB2312"/>
          <w:sz w:val="32"/>
          <w:szCs w:val="32"/>
          <w:lang w:val="en-US" w:eastAsia="zh-CN"/>
        </w:rPr>
        <w:t>村集体股份（经济）合作社或村集体相关公司</w:t>
      </w:r>
      <w:r>
        <w:rPr>
          <w:rFonts w:hint="eastAsia" w:ascii="仿宋_GB2312" w:hAnsi="仿宋_GB2312" w:eastAsia="仿宋_GB2312" w:cs="仿宋_GB2312"/>
          <w:kern w:val="0"/>
          <w:sz w:val="32"/>
          <w:szCs w:val="32"/>
          <w:lang w:val="en-US" w:eastAsia="zh-CN"/>
        </w:rPr>
        <w:t>账务核算。</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 xml:space="preserve">第三十二条 </w:t>
      </w:r>
      <w:r>
        <w:rPr>
          <w:rFonts w:hint="eastAsia" w:ascii="仿宋_GB2312" w:hAnsi="仿宋_GB2312" w:eastAsia="仿宋_GB2312" w:cs="仿宋_GB2312"/>
          <w:kern w:val="0"/>
          <w:sz w:val="32"/>
          <w:szCs w:val="32"/>
          <w:lang w:val="en-US" w:eastAsia="zh-CN"/>
        </w:rPr>
        <w:t>农村集体经济组织应当建立财务公开制度，按季度公开，以易于理解和村民（成员）接受的传统形式和网络方式公开财务等信息，接受村民（成员）监督。</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农村集体经济组织应当按照《会计档案管理办法》等有关规定，加强会计档案建设和管理，做好会计资料的保管工作。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jc w:val="center"/>
        <w:textAlignment w:val="auto"/>
        <w:rPr>
          <w:rStyle w:val="12"/>
          <w:rFonts w:hint="eastAsia" w:ascii="黑体" w:hAnsi="黑体" w:eastAsia="黑体" w:cs="黑体"/>
          <w:b w:val="0"/>
          <w:bCs/>
          <w:kern w:val="0"/>
          <w:sz w:val="32"/>
          <w:szCs w:val="32"/>
          <w:lang w:val="en-US" w:eastAsia="zh-CN"/>
        </w:rPr>
      </w:pPr>
      <w:r>
        <w:rPr>
          <w:rStyle w:val="12"/>
          <w:rFonts w:hint="eastAsia" w:ascii="黑体" w:hAnsi="黑体" w:eastAsia="黑体" w:cs="黑体"/>
          <w:b w:val="0"/>
          <w:bCs/>
          <w:kern w:val="0"/>
          <w:sz w:val="32"/>
          <w:szCs w:val="32"/>
          <w:lang w:val="en-US" w:eastAsia="zh-CN"/>
        </w:rPr>
        <w:t>第八章  不良资产及债权债务的处置</w:t>
      </w:r>
    </w:p>
    <w:p>
      <w:pPr>
        <w:keepNext w:val="0"/>
        <w:keepLines w:val="0"/>
        <w:pageBreakBefore w:val="0"/>
        <w:kinsoku/>
        <w:wordWrap/>
        <w:overflowPunct/>
        <w:topLinePunct w:val="0"/>
        <w:autoSpaceDE/>
        <w:autoSpaceDN/>
        <w:bidi w:val="0"/>
        <w:spacing w:beforeAutospacing="0" w:afterAutospacing="0" w:line="560" w:lineRule="exact"/>
        <w:ind w:firstLine="643"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 xml:space="preserve">第三十三条 </w:t>
      </w:r>
      <w:r>
        <w:rPr>
          <w:rFonts w:hint="eastAsia" w:ascii="仿宋_GB2312" w:hAnsi="仿宋_GB2312" w:eastAsia="仿宋_GB2312" w:cs="仿宋_GB2312"/>
          <w:kern w:val="0"/>
          <w:sz w:val="32"/>
          <w:szCs w:val="32"/>
          <w:lang w:val="en-US" w:eastAsia="zh-CN"/>
        </w:rPr>
        <w:t>因社会事务、公共管理和服务产生的债权债务留在村委会；因村集体生产经营等活动产生的债权债务应划分给</w:t>
      </w:r>
      <w:r>
        <w:rPr>
          <w:rFonts w:hint="eastAsia" w:ascii="仿宋_GB2312" w:hAnsi="仿宋_GB2312" w:eastAsia="仿宋_GB2312" w:cs="仿宋_GB2312"/>
          <w:sz w:val="32"/>
          <w:szCs w:val="32"/>
          <w:lang w:val="en-US" w:eastAsia="zh-CN"/>
        </w:rPr>
        <w:t>村集体股份（经济）合作社</w:t>
      </w:r>
      <w:r>
        <w:rPr>
          <w:rFonts w:hint="eastAsia" w:ascii="仿宋_GB2312" w:hAnsi="仿宋_GB2312" w:eastAsia="仿宋_GB2312" w:cs="仿宋_GB2312"/>
          <w:kern w:val="0"/>
          <w:sz w:val="32"/>
          <w:szCs w:val="32"/>
          <w:lang w:val="en-US" w:eastAsia="zh-CN"/>
        </w:rPr>
        <w:t>；对债权债务成因复杂，一时难以厘清的，继续保留在村民委员会；已经成为坏账、呆账等不良资产及债权债务的由村级核查、乡（镇）审批、乡村公示、村委会或村集体股份（经济）合</w:t>
      </w:r>
      <w:r>
        <w:rPr>
          <w:rFonts w:hint="eastAsia" w:ascii="仿宋_GB2312" w:hAnsi="仿宋_GB2312" w:eastAsia="仿宋_GB2312" w:cs="仿宋_GB2312"/>
          <w:sz w:val="32"/>
          <w:szCs w:val="32"/>
          <w:lang w:val="en-US" w:eastAsia="zh-CN"/>
        </w:rPr>
        <w:t>作社</w:t>
      </w:r>
      <w:r>
        <w:rPr>
          <w:rFonts w:hint="eastAsia" w:ascii="仿宋_GB2312" w:hAnsi="仿宋_GB2312" w:eastAsia="仿宋_GB2312" w:cs="仿宋_GB2312"/>
          <w:b w:val="0"/>
          <w:bCs w:val="0"/>
          <w:kern w:val="2"/>
          <w:sz w:val="32"/>
          <w:szCs w:val="32"/>
          <w:lang w:val="en-US" w:eastAsia="zh-CN" w:bidi="ar-SA"/>
        </w:rPr>
        <w:t>确认后</w:t>
      </w:r>
      <w:r>
        <w:rPr>
          <w:rFonts w:hint="eastAsia" w:ascii="仿宋_GB2312" w:hAnsi="仿宋_GB2312" w:eastAsia="仿宋_GB2312" w:cs="仿宋_GB2312"/>
          <w:kern w:val="0"/>
          <w:sz w:val="32"/>
          <w:szCs w:val="32"/>
          <w:lang w:val="en-US" w:eastAsia="zh-CN"/>
        </w:rPr>
        <w:t>可依规进行核销，账务处理结果应及时反馈所在乡（镇）和村级组织。</w:t>
      </w:r>
    </w:p>
    <w:p>
      <w:pPr>
        <w:keepNext w:val="0"/>
        <w:keepLines w:val="0"/>
        <w:pageBreakBefore w:val="0"/>
        <w:kinsoku/>
        <w:wordWrap/>
        <w:overflowPunct/>
        <w:topLinePunct w:val="0"/>
        <w:autoSpaceDE/>
        <w:autoSpaceDN/>
        <w:bidi w:val="0"/>
        <w:spacing w:beforeAutospacing="0" w:afterAutospacing="0" w:line="560" w:lineRule="exact"/>
        <w:ind w:firstLine="643" w:firstLineChars="200"/>
        <w:textAlignment w:val="auto"/>
        <w:rPr>
          <w:rFonts w:hint="eastAsia"/>
          <w:lang w:val="en-US" w:eastAsia="zh-CN"/>
        </w:rPr>
      </w:pPr>
      <w:r>
        <w:rPr>
          <w:rFonts w:hint="eastAsia" w:ascii="仿宋_GB2312" w:hAnsi="仿宋_GB2312" w:eastAsia="仿宋_GB2312" w:cs="仿宋_GB2312"/>
          <w:b/>
          <w:bCs/>
          <w:kern w:val="0"/>
          <w:sz w:val="32"/>
          <w:szCs w:val="32"/>
          <w:lang w:val="en-US" w:eastAsia="zh-CN"/>
        </w:rPr>
        <w:t xml:space="preserve">第三十四条 </w:t>
      </w:r>
      <w:r>
        <w:rPr>
          <w:rFonts w:hint="eastAsia" w:ascii="仿宋_GB2312" w:hAnsi="仿宋_GB2312" w:eastAsia="仿宋_GB2312" w:cs="仿宋_GB2312"/>
          <w:kern w:val="0"/>
          <w:sz w:val="32"/>
          <w:szCs w:val="32"/>
          <w:lang w:val="en-US" w:eastAsia="zh-CN"/>
        </w:rPr>
        <w:t>村委会、村集体股份（经济）合</w:t>
      </w:r>
      <w:r>
        <w:rPr>
          <w:rFonts w:hint="eastAsia" w:ascii="仿宋_GB2312" w:hAnsi="仿宋_GB2312" w:eastAsia="仿宋_GB2312" w:cs="仿宋_GB2312"/>
          <w:sz w:val="32"/>
          <w:szCs w:val="32"/>
          <w:lang w:val="en-US" w:eastAsia="zh-CN"/>
        </w:rPr>
        <w:t>作社</w:t>
      </w:r>
      <w:r>
        <w:rPr>
          <w:rFonts w:hint="eastAsia" w:ascii="仿宋_GB2312" w:hAnsi="仿宋_GB2312" w:eastAsia="仿宋_GB2312" w:cs="仿宋_GB2312"/>
          <w:kern w:val="0"/>
          <w:sz w:val="32"/>
          <w:szCs w:val="32"/>
          <w:lang w:val="en-US" w:eastAsia="zh-CN"/>
        </w:rPr>
        <w:t>固定资产、坏账、投资损失等不实资产处置按照此办法处置。坚持程序合规，民主决策原则，充分保障农村集体经济组织成员等对集体资产处置的知情权、表决权和监督权；坚持公开透明原则，处置结果应向全体村民（成员）公示。</w:t>
      </w:r>
    </w:p>
    <w:p>
      <w:pPr>
        <w:keepNext w:val="0"/>
        <w:keepLines w:val="0"/>
        <w:pageBreakBefore w:val="0"/>
        <w:kinsoku/>
        <w:wordWrap/>
        <w:overflowPunct/>
        <w:topLinePunct w:val="0"/>
        <w:autoSpaceDE/>
        <w:autoSpaceDN/>
        <w:bidi w:val="0"/>
        <w:spacing w:beforeAutospacing="0" w:afterAutospacing="0" w:line="560" w:lineRule="exact"/>
        <w:ind w:firstLine="643"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 xml:space="preserve">第三十五条 </w:t>
      </w:r>
      <w:r>
        <w:rPr>
          <w:rFonts w:hint="eastAsia" w:ascii="仿宋_GB2312" w:hAnsi="仿宋_GB2312" w:eastAsia="仿宋_GB2312" w:cs="仿宋_GB2312"/>
          <w:kern w:val="0"/>
          <w:sz w:val="32"/>
          <w:szCs w:val="32"/>
          <w:lang w:val="en-US" w:eastAsia="zh-CN"/>
        </w:rPr>
        <w:t>不良资产及债权债务的认定。</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（一）已发生的超过五年（含五年），有确凿的证据表明确实无法收回的短期投资；</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（二）因债务单位撤销或债务人死亡，且既无遗产清偿，又无义务承担人，确实无法收回的应收款项（“内部往来”账户核算的村民（成员）发生的应收及暂付款项等）；</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（三）损坏、变质灭失的库存物资；</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（四）死亡、毁损灭失的牲畜（禽）等生物资产；</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（五）毁损、自然灭失的林木资产；</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（六）债券丢失、投资对象灭失等致使15年及以上无法正常收回的长期投资；</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（七）报废、毁损灭失的固定资产；</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（八）因自然灾害等原因毁损的在建工程；</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（九）因不再受法律保护或者已被其他新技术所代替而报废的无形资产等；</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十）因债权单位撤销或债权人死亡，且既无继承者，又无权利接收人，确实无需偿还的应付款项（含“应付款”账户核算的农村集体经济组织与外部单位或外部个人发生的各种应付及暂收款项，“内部往来”账户核算发生的各种应付及暂收款项）。</w:t>
      </w:r>
    </w:p>
    <w:p>
      <w:pPr>
        <w:keepNext w:val="0"/>
        <w:keepLines w:val="0"/>
        <w:pageBreakBefore w:val="0"/>
        <w:kinsoku/>
        <w:wordWrap/>
        <w:overflowPunct/>
        <w:topLinePunct w:val="0"/>
        <w:autoSpaceDE/>
        <w:autoSpaceDN/>
        <w:bidi w:val="0"/>
        <w:spacing w:beforeAutospacing="0" w:afterAutospacing="0" w:line="560" w:lineRule="exact"/>
        <w:ind w:firstLine="643"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 xml:space="preserve">第三十六条 </w:t>
      </w:r>
      <w:r>
        <w:rPr>
          <w:rFonts w:hint="eastAsia" w:ascii="仿宋_GB2312" w:hAnsi="仿宋_GB2312" w:eastAsia="仿宋_GB2312" w:cs="仿宋_GB2312"/>
          <w:kern w:val="0"/>
          <w:sz w:val="32"/>
          <w:szCs w:val="32"/>
          <w:lang w:val="en-US" w:eastAsia="zh-CN"/>
        </w:rPr>
        <w:t>处置范围</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（一）固定资产损失是指房屋建筑、运输设备、机器设备、办公室设备等发生报废、毁损、淘汰等造成的损失。</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（二）坏账损失是指应收账款、其他应收款、预付账款等应收款项中的坏账。确认坏账的标准为：</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1.债务人死亡，以其遗产清偿后仍然无法收回；</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2.债务人破产，以其破产财产清偿后仍然无法收回；</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3.逾期3年以上，确实无法收回的应收款项。</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（三）投资损失是指被投资单位因破产、清算、被撤销、关闭或被注销、吊销营业执照等而造成难以收回的不实投资。确认投资损失的标准为：</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1.法院出具的破产公告或破产清单的清偿文件；</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2.市场管理部门出具的注销、吊销文件；</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3.政府部门的有关行政决定文件。</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4.法律法规等依法确定的其它。</w:t>
      </w:r>
    </w:p>
    <w:p>
      <w:pPr>
        <w:keepNext w:val="0"/>
        <w:keepLines w:val="0"/>
        <w:pageBreakBefore w:val="0"/>
        <w:kinsoku/>
        <w:wordWrap/>
        <w:overflowPunct/>
        <w:topLinePunct w:val="0"/>
        <w:autoSpaceDE/>
        <w:autoSpaceDN/>
        <w:bidi w:val="0"/>
        <w:spacing w:beforeAutospacing="0" w:afterAutospacing="0" w:line="560" w:lineRule="exact"/>
        <w:ind w:firstLine="643"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第三十七条</w:t>
      </w:r>
      <w:r>
        <w:rPr>
          <w:rFonts w:hint="eastAsia" w:ascii="仿宋_GB2312" w:hAnsi="仿宋_GB2312" w:eastAsia="仿宋_GB2312" w:cs="仿宋_GB2312"/>
          <w:kern w:val="0"/>
          <w:sz w:val="32"/>
          <w:szCs w:val="32"/>
          <w:lang w:val="en-US" w:eastAsia="zh-CN"/>
        </w:rPr>
        <w:t>不良资产及债权债务的核销处置程序。不良资产及债权债务清查核实认定后，编制报表台账，核销须经党员、村民代表（成员代表）会议民主表决通过，形成决议，张榜公示，并在规定时间内将审批表、党员和村民代表会议记录及成员签字表一并上报乡（镇）农村集体“三资”管理领导小组审核批示后备案所有关联性档案资料；乡（镇）财经领导小组应及时把关审核，对于不合格或有疑问的审批表退回并限期更正。民主讨论的核销处置决议、审批表、民主讨论会议记录和公示资料作为记账凭证的附件。</w:t>
      </w:r>
    </w:p>
    <w:p>
      <w:pPr>
        <w:keepNext w:val="0"/>
        <w:keepLines w:val="0"/>
        <w:pageBreakBefore w:val="0"/>
        <w:kinsoku/>
        <w:wordWrap/>
        <w:overflowPunct/>
        <w:topLinePunct w:val="0"/>
        <w:autoSpaceDE/>
        <w:autoSpaceDN/>
        <w:bidi w:val="0"/>
        <w:spacing w:beforeAutospacing="0" w:afterAutospacing="0" w:line="560" w:lineRule="exact"/>
        <w:ind w:firstLine="643"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 xml:space="preserve">第三十八条 </w:t>
      </w:r>
      <w:r>
        <w:rPr>
          <w:rFonts w:hint="eastAsia" w:ascii="仿宋_GB2312" w:hAnsi="仿宋_GB2312" w:eastAsia="仿宋_GB2312" w:cs="仿宋_GB2312"/>
          <w:kern w:val="0"/>
          <w:sz w:val="32"/>
          <w:szCs w:val="32"/>
          <w:lang w:val="en-US" w:eastAsia="zh-CN"/>
        </w:rPr>
        <w:t>不良资产及债权债务核销的账务处理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（一）已发生的超过三年及以上，有确凿的证据表明确实无法收回的短期投资账务处理，借记“公积公益金”科目，同时调整账簿记录。</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（二）因债务单位撤销，或债务人死亡，且既无遗产清偿，又无义务承担人，确实无法收回的应收款项账务处理，借记“其他支出”科目。</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（三）损坏、变质灭失的库存物资账务处理。库存物资盘亏时，借记“其他支出”科目。</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（四）死亡、毁损灭失的牲畜（禽）资产账务处理。盘亏的牲畜（禽）资产，借记“其他支出”科目。</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（五）毁损、自然灭失的林木资产账务处理，借记“其他支出”科目。</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（六）债券丢失、投资对象灭失等致使无法正常收回的长期投资账务处理，借记“公积公益金”科目。</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（七）出售、报废、毁损灭失的固定资产账务处理。固定资产盘亏时，借记“其他支出”；属于固定资产报废等核销的，按照固定资产账面价值，借记“固定资产清理”科目。</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（八）因自然灾害等原因毁损的在建工程账务处理，损失的在建工程借记“经营支出”科目、“公益支出”科目、“其他支出”科目，贷记“在建工程”科目。</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（九）因不再受法律保护或者已被其他新技术所代替而报废的无形资产账务处理。借记“其他支出”科目，贷记“无形资产”科目，金额较大的可借记“公积公益金”科目。</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（十）因债权单位撤销，或债权人死亡，且既无继承者，又无权利接收人，确实无需偿还的应付款项账务处理，贷记“其他收入”科目。</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集体经济组织财务人员依据资产核销的申请、决议、审批等相关资料及时做好相应的账务处理工作。</w:t>
      </w:r>
    </w:p>
    <w:p>
      <w:pPr>
        <w:keepNext w:val="0"/>
        <w:keepLines w:val="0"/>
        <w:pageBreakBefore w:val="0"/>
        <w:kinsoku/>
        <w:wordWrap/>
        <w:overflowPunct/>
        <w:topLinePunct w:val="0"/>
        <w:autoSpaceDE/>
        <w:autoSpaceDN/>
        <w:bidi w:val="0"/>
        <w:spacing w:beforeAutospacing="0" w:afterAutospacing="0" w:line="560" w:lineRule="exact"/>
        <w:ind w:firstLine="643"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第三十九条</w:t>
      </w:r>
      <w:r>
        <w:rPr>
          <w:rFonts w:hint="eastAsia" w:ascii="仿宋_GB2312" w:hAnsi="仿宋_GB2312" w:eastAsia="仿宋_GB2312" w:cs="仿宋_GB2312"/>
          <w:kern w:val="0"/>
          <w:sz w:val="32"/>
          <w:szCs w:val="32"/>
          <w:lang w:val="en-US" w:eastAsia="zh-CN"/>
        </w:rPr>
        <w:t xml:space="preserve"> 其他说明</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（一）批准核销的固定资产，应及时在“三资”监管平台中做好账务处理。同时，清理固定资产卡片，确保账实、账证、账账和账表相符。</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（二）坏账的批准核销应采取审慎的原则，从严把握。应建立详细的备查账，乡（镇）和村集体经济组织应继续组织人员进行催讨，如重新收回，应及时入账。</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（三）村民委员会、</w:t>
      </w:r>
      <w:r>
        <w:rPr>
          <w:rFonts w:hint="eastAsia" w:ascii="仿宋_GB2312" w:hAnsi="仿宋_GB2312" w:eastAsia="仿宋_GB2312" w:cs="仿宋_GB2312"/>
          <w:b w:val="0"/>
          <w:bCs w:val="0"/>
          <w:kern w:val="2"/>
          <w:sz w:val="32"/>
          <w:szCs w:val="32"/>
          <w:lang w:val="en-US" w:eastAsia="zh-CN" w:bidi="ar-SA"/>
        </w:rPr>
        <w:t>村集体股份（经济）合作社</w:t>
      </w:r>
      <w:r>
        <w:rPr>
          <w:rFonts w:hint="eastAsia" w:ascii="仿宋_GB2312" w:hAnsi="仿宋_GB2312" w:eastAsia="仿宋_GB2312" w:cs="仿宋_GB2312"/>
          <w:kern w:val="0"/>
          <w:sz w:val="32"/>
          <w:szCs w:val="32"/>
          <w:lang w:val="en-US" w:eastAsia="zh-CN"/>
        </w:rPr>
        <w:t>应将资产处置清单、审核批复意见、法律意见书、会议决议、公示资料等相关材料报乡（镇）备案归档长期保存，确保资产处置工作得到长效监督。</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jc w:val="center"/>
        <w:textAlignment w:val="auto"/>
        <w:rPr>
          <w:rStyle w:val="12"/>
          <w:rFonts w:hint="eastAsia" w:ascii="黑体" w:hAnsi="黑体" w:eastAsia="黑体" w:cs="黑体"/>
          <w:b w:val="0"/>
          <w:bCs/>
          <w:kern w:val="0"/>
          <w:sz w:val="32"/>
          <w:szCs w:val="32"/>
          <w:lang w:val="en-US" w:eastAsia="zh-CN"/>
        </w:rPr>
      </w:pPr>
      <w:r>
        <w:rPr>
          <w:rStyle w:val="12"/>
          <w:rFonts w:hint="eastAsia" w:ascii="黑体" w:hAnsi="黑体" w:eastAsia="黑体" w:cs="黑体"/>
          <w:b w:val="0"/>
          <w:bCs/>
          <w:kern w:val="0"/>
          <w:sz w:val="32"/>
          <w:szCs w:val="32"/>
          <w:lang w:val="en-US" w:eastAsia="zh-CN"/>
        </w:rPr>
        <w:t>第九章  监督审计与违规处理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第四十条</w:t>
      </w:r>
      <w:r>
        <w:rPr>
          <w:rFonts w:hint="eastAsia" w:ascii="仿宋_GB2312" w:hAnsi="仿宋_GB2312" w:eastAsia="仿宋_GB2312" w:cs="仿宋_GB2312"/>
          <w:kern w:val="0"/>
          <w:sz w:val="32"/>
          <w:szCs w:val="32"/>
          <w:lang w:val="en-US" w:eastAsia="zh-CN"/>
        </w:rPr>
        <w:t xml:space="preserve"> 农村财务审计是对村民委员会、村集体股份（经济）合作社、村集体兴办的企业</w:t>
      </w:r>
      <w:r>
        <w:rPr>
          <w:rFonts w:hint="default" w:ascii="仿宋_GB2312" w:hAnsi="仿宋_GB2312" w:eastAsia="仿宋_GB2312" w:cs="仿宋_GB2312"/>
          <w:kern w:val="0"/>
          <w:sz w:val="32"/>
          <w:szCs w:val="32"/>
          <w:lang w:val="en-US" w:eastAsia="zh-CN"/>
        </w:rPr>
        <w:t>和其它村属经营单位</w:t>
      </w:r>
      <w:r>
        <w:rPr>
          <w:rFonts w:hint="eastAsia" w:ascii="仿宋_GB2312" w:hAnsi="仿宋_GB2312" w:eastAsia="仿宋_GB2312" w:cs="仿宋_GB2312"/>
          <w:kern w:val="0"/>
          <w:sz w:val="32"/>
          <w:szCs w:val="32"/>
          <w:lang w:val="en-US" w:eastAsia="zh-CN"/>
        </w:rPr>
        <w:t>的财务收支合规性、重大经济事项的决策与执行、债权债务的增减、相关资产管理、村级项目账务真实性、干部个人党风廉政审计调查等方面进行审查和评价，以书面报告形式确定其是否真实、准确、合法、合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村集体经济组织财务实行理财小组（监事会）监督审核：村集体经济组织理财小组（监事会）对村集体经济组织的每笔收支事项，每张原始凭证监督审核，加盖理财小组（监事会）专用章，并按规定程序审批后，方可入账。理财小组（监事会）监督审核完成后，理财小组（监事会）全体成员必须在监督审核报告单上签名，并加盖理财小组（监事会）公章。</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 xml:space="preserve">第四十一条 </w:t>
      </w:r>
      <w:r>
        <w:rPr>
          <w:rFonts w:hint="eastAsia" w:ascii="仿宋_GB2312" w:hAnsi="仿宋_GB2312" w:eastAsia="仿宋_GB2312" w:cs="仿宋_GB2312"/>
          <w:kern w:val="0"/>
          <w:sz w:val="32"/>
          <w:szCs w:val="32"/>
          <w:lang w:val="en-US" w:eastAsia="zh-CN"/>
        </w:rPr>
        <w:t>乡（镇）结合实际对</w:t>
      </w:r>
      <w:r>
        <w:rPr>
          <w:rFonts w:hint="eastAsia" w:ascii="仿宋_GB2312" w:hAnsi="仿宋_GB2312" w:eastAsia="仿宋_GB2312" w:cs="仿宋_GB2312"/>
          <w:sz w:val="32"/>
          <w:szCs w:val="32"/>
          <w:lang w:val="en-US" w:eastAsia="zh-CN"/>
        </w:rPr>
        <w:t>村民委员会和村集体股份（经济）合作社及相关企业</w:t>
      </w:r>
      <w:r>
        <w:rPr>
          <w:rFonts w:hint="eastAsia" w:ascii="仿宋_GB2312" w:hAnsi="仿宋_GB2312" w:eastAsia="仿宋_GB2312" w:cs="仿宋_GB2312"/>
          <w:kern w:val="0"/>
          <w:sz w:val="32"/>
          <w:szCs w:val="32"/>
          <w:lang w:val="en-US" w:eastAsia="zh-CN"/>
        </w:rPr>
        <w:t>开展年度或专项审计。做好财务收支等定期审计和村干部经济责任等专项审计，建立问题移交、定期通报和责任追究制度，切实维护集体经济组织及其成员的财产权益，切实防止发生在农民群众身边的腐败行为。上级业务部门及审计部门按照要求不定期对村集体经济组织财务进行监督检查或抽样审计。</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 xml:space="preserve">第四十二条 </w:t>
      </w:r>
      <w:r>
        <w:rPr>
          <w:rFonts w:hint="eastAsia" w:ascii="仿宋_GB2312" w:hAnsi="仿宋_GB2312" w:eastAsia="仿宋_GB2312" w:cs="仿宋_GB2312"/>
          <w:kern w:val="0"/>
          <w:sz w:val="32"/>
          <w:szCs w:val="32"/>
          <w:lang w:val="en-US" w:eastAsia="zh-CN"/>
        </w:rPr>
        <w:t>村集体经济组织的负责人任期届满或离任时须完成审计评价，村级财务审计主要内容包括项目工程、固定资产、机动地管理、往来资金、收入支出、收益分配，相关政策及制度执行情况等，必要时应进行专项审计。</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 xml:space="preserve">第四十三条 </w:t>
      </w:r>
      <w:r>
        <w:rPr>
          <w:rFonts w:hint="eastAsia" w:ascii="仿宋_GB2312" w:hAnsi="仿宋_GB2312" w:eastAsia="仿宋_GB2312" w:cs="仿宋_GB2312"/>
          <w:kern w:val="0"/>
          <w:sz w:val="32"/>
          <w:szCs w:val="32"/>
          <w:lang w:val="en-US" w:eastAsia="zh-CN"/>
        </w:rPr>
        <w:t>财务审计以乡（镇）为单位统一组织，村民委员会、村集体股份（经济）合作社、村集体兴办的企业</w:t>
      </w:r>
      <w:r>
        <w:rPr>
          <w:rFonts w:hint="default" w:ascii="仿宋_GB2312" w:hAnsi="仿宋_GB2312" w:eastAsia="仿宋_GB2312" w:cs="仿宋_GB2312"/>
          <w:kern w:val="0"/>
          <w:sz w:val="32"/>
          <w:szCs w:val="32"/>
          <w:lang w:val="en-US" w:eastAsia="zh-CN"/>
        </w:rPr>
        <w:t>和其它村属经营单位</w:t>
      </w:r>
      <w:r>
        <w:rPr>
          <w:rFonts w:hint="eastAsia" w:ascii="仿宋_GB2312" w:hAnsi="仿宋_GB2312" w:eastAsia="仿宋_GB2312" w:cs="仿宋_GB2312"/>
          <w:kern w:val="0"/>
          <w:sz w:val="32"/>
          <w:szCs w:val="32"/>
          <w:lang w:val="en-US" w:eastAsia="zh-CN"/>
        </w:rPr>
        <w:t>为被审计主体，委托有资质的第三方机构进行审计。</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 xml:space="preserve">第四十四条 </w:t>
      </w:r>
      <w:r>
        <w:rPr>
          <w:rFonts w:hint="eastAsia" w:ascii="仿宋_GB2312" w:hAnsi="仿宋_GB2312" w:eastAsia="仿宋_GB2312" w:cs="仿宋_GB2312"/>
          <w:kern w:val="0"/>
          <w:sz w:val="32"/>
          <w:szCs w:val="32"/>
          <w:lang w:val="en-US" w:eastAsia="zh-CN"/>
        </w:rPr>
        <w:t>审计工作结束，形成书面审计报告，由审计负责人签章后，报乡（镇）人民政府备案，审计结果在财务公开栏和村民（成员）代表会议上进行公开。</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kern w:val="0"/>
          <w:sz w:val="32"/>
          <w:szCs w:val="32"/>
          <w:lang w:val="en-US" w:eastAsia="zh-CN"/>
        </w:rPr>
        <w:t xml:space="preserve">第四十五条 </w:t>
      </w:r>
      <w:r>
        <w:rPr>
          <w:rFonts w:hint="eastAsia" w:ascii="仿宋_GB2312" w:hAnsi="仿宋_GB2312" w:eastAsia="仿宋_GB2312" w:cs="仿宋_GB2312"/>
          <w:kern w:val="0"/>
          <w:sz w:val="32"/>
          <w:szCs w:val="32"/>
          <w:lang w:val="en-US" w:eastAsia="zh-CN"/>
        </w:rPr>
        <w:t>违反规定的，由县、乡（镇）农经部门，协同相关部门责令其限期改正，并视其情节轻重，参照《会计法》《村集体经济组织会计制度》有关规定给予处罚；构成违纪的，报纪检监察部门给予其相应的党纪政纪处分；构成犯罪的，移交司法部门依法追究刑事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jc w:val="center"/>
        <w:textAlignment w:val="auto"/>
        <w:rPr>
          <w:rStyle w:val="12"/>
          <w:rFonts w:hint="eastAsia" w:ascii="黑体" w:hAnsi="黑体" w:eastAsia="黑体" w:cs="黑体"/>
          <w:b w:val="0"/>
          <w:bCs/>
          <w:kern w:val="0"/>
          <w:sz w:val="32"/>
          <w:szCs w:val="32"/>
          <w:lang w:val="en-US" w:eastAsia="zh-CN"/>
        </w:rPr>
      </w:pPr>
      <w:r>
        <w:rPr>
          <w:rStyle w:val="12"/>
          <w:rFonts w:hint="eastAsia" w:ascii="黑体" w:hAnsi="黑体" w:eastAsia="黑体" w:cs="黑体"/>
          <w:b w:val="0"/>
          <w:bCs/>
          <w:kern w:val="0"/>
          <w:sz w:val="32"/>
          <w:szCs w:val="32"/>
          <w:lang w:val="en-US" w:eastAsia="zh-CN"/>
        </w:rPr>
        <w:t>第十章  内控制度</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3"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 xml:space="preserve">第四十六条 </w:t>
      </w:r>
      <w:r>
        <w:rPr>
          <w:rFonts w:hint="eastAsia" w:ascii="仿宋_GB2312" w:hAnsi="仿宋_GB2312" w:eastAsia="仿宋_GB2312" w:cs="仿宋_GB2312"/>
          <w:kern w:val="0"/>
          <w:sz w:val="32"/>
          <w:szCs w:val="32"/>
          <w:lang w:val="en-US" w:eastAsia="zh-CN"/>
        </w:rPr>
        <w:t>村干部不得直接办理财务的相关事项。不得直接经手票据和现金；不得以任何理由给自己派工或领取规定外的其它费用。村集体经济组织负责人的直系亲属不得担任本集体经济组织的财务人员，需要回避的直系亲属为夫妻关系、直系血亲关系，三代以内旁系血亲关系。</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3"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 xml:space="preserve">第四十七条 </w:t>
      </w:r>
      <w:r>
        <w:rPr>
          <w:rFonts w:hint="eastAsia" w:ascii="仿宋_GB2312" w:hAnsi="仿宋_GB2312" w:eastAsia="仿宋_GB2312" w:cs="仿宋_GB2312"/>
          <w:kern w:val="0"/>
          <w:sz w:val="32"/>
          <w:szCs w:val="32"/>
          <w:lang w:val="en-US" w:eastAsia="zh-CN"/>
        </w:rPr>
        <w:t>财务开支必须接受审核监督</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一）财务开支必须符合本集体经济组织“财务收支审批制度”的规定。财务活动的发生禁止一人全过程办理完毕，必须有两人以上分工负责。支出票据，必须有经办人、证明人、村委会主任（监事会）、村党支部书记（理事会）负责人的签字，交乡（镇）农村合作经济（统计）发展中心和村集体资产核算中心主管审核。</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二）非出纳岗位的会计人员不得保管现金、支票和有价证券。出纳人员不得编制记账凭证，不得兼任稽核、会计档案保管和收入、支出、费用、债权、债务账目的相关工作。空白支票和印鉴分开保管。出纳人员保管空白支票，财务负责人或会计员保管印鉴和使用印鉴。财会人员不得代理它人签章领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jc w:val="center"/>
        <w:textAlignment w:val="auto"/>
        <w:rPr>
          <w:rStyle w:val="12"/>
          <w:rFonts w:hint="eastAsia" w:ascii="黑体" w:hAnsi="黑体" w:eastAsia="黑体" w:cs="黑体"/>
          <w:b w:val="0"/>
          <w:bCs/>
          <w:kern w:val="0"/>
          <w:sz w:val="32"/>
          <w:szCs w:val="32"/>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jc w:val="center"/>
        <w:textAlignment w:val="auto"/>
        <w:rPr>
          <w:rStyle w:val="12"/>
          <w:rFonts w:hint="eastAsia" w:ascii="黑体" w:hAnsi="黑体" w:eastAsia="黑体" w:cs="黑体"/>
          <w:b w:val="0"/>
          <w:bCs/>
          <w:kern w:val="0"/>
          <w:sz w:val="32"/>
          <w:szCs w:val="32"/>
          <w:lang w:val="en-US" w:eastAsia="zh-CN"/>
        </w:rPr>
      </w:pPr>
      <w:r>
        <w:rPr>
          <w:rStyle w:val="12"/>
          <w:rFonts w:hint="eastAsia" w:ascii="黑体" w:hAnsi="黑体" w:eastAsia="黑体" w:cs="黑体"/>
          <w:b w:val="0"/>
          <w:bCs/>
          <w:kern w:val="0"/>
          <w:sz w:val="32"/>
          <w:szCs w:val="32"/>
          <w:lang w:val="en-US" w:eastAsia="zh-CN"/>
        </w:rPr>
        <w:t>第十一章  附则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 xml:space="preserve">第四十八条 </w:t>
      </w:r>
      <w:r>
        <w:rPr>
          <w:rFonts w:hint="eastAsia" w:ascii="仿宋_GB2312" w:hAnsi="仿宋_GB2312" w:eastAsia="仿宋_GB2312" w:cs="仿宋_GB2312"/>
          <w:kern w:val="0"/>
          <w:sz w:val="32"/>
          <w:szCs w:val="32"/>
          <w:lang w:val="en-US" w:eastAsia="zh-CN"/>
        </w:rPr>
        <w:t>依法依规执行《农村集体经济组织会计制度》的村民委员会、村集体股份（经济）合作社、村集体兴办的企业</w:t>
      </w:r>
      <w:r>
        <w:rPr>
          <w:rFonts w:hint="default" w:ascii="仿宋_GB2312" w:hAnsi="仿宋_GB2312" w:eastAsia="仿宋_GB2312" w:cs="仿宋_GB2312"/>
          <w:kern w:val="0"/>
          <w:sz w:val="32"/>
          <w:szCs w:val="32"/>
          <w:lang w:val="en-US" w:eastAsia="zh-CN"/>
        </w:rPr>
        <w:t>和其它村属经营单位</w:t>
      </w:r>
      <w:r>
        <w:rPr>
          <w:rFonts w:hint="eastAsia" w:ascii="仿宋_GB2312" w:hAnsi="仿宋_GB2312" w:eastAsia="仿宋_GB2312" w:cs="仿宋_GB2312"/>
          <w:kern w:val="0"/>
          <w:sz w:val="32"/>
          <w:szCs w:val="32"/>
          <w:lang w:val="en-US" w:eastAsia="zh-CN"/>
        </w:rPr>
        <w:t>参照执行本办法。</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 xml:space="preserve">第四十九条 </w:t>
      </w:r>
      <w:r>
        <w:rPr>
          <w:rFonts w:hint="eastAsia" w:ascii="仿宋_GB2312" w:hAnsi="仿宋_GB2312" w:eastAsia="仿宋_GB2312" w:cs="仿宋_GB2312"/>
          <w:kern w:val="0"/>
          <w:sz w:val="32"/>
          <w:szCs w:val="32"/>
          <w:lang w:val="en-US" w:eastAsia="zh-CN"/>
        </w:rPr>
        <w:t>各乡（镇）参照本管理办法依据《农村集体经济组织财务制度》《农村集体经济组织会计制度》等细化本乡（镇）村集体经济组织财务管理办法。</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b w:val="0"/>
          <w:bCs/>
          <w:i w:val="0"/>
          <w:caps w:val="0"/>
          <w:color w:val="000000" w:themeColor="text1"/>
          <w:spacing w:val="0"/>
          <w:kern w:val="2"/>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b/>
          <w:bCs/>
          <w:kern w:val="0"/>
          <w:sz w:val="32"/>
          <w:szCs w:val="32"/>
          <w:lang w:val="en-US" w:eastAsia="zh-CN"/>
        </w:rPr>
        <w:t xml:space="preserve">第五十条 </w:t>
      </w:r>
      <w:r>
        <w:rPr>
          <w:rFonts w:hint="eastAsia" w:ascii="仿宋_GB2312" w:hAnsi="仿宋_GB2312" w:eastAsia="仿宋_GB2312" w:cs="仿宋_GB2312"/>
          <w:b w:val="0"/>
          <w:bCs/>
          <w:i w:val="0"/>
          <w:caps w:val="0"/>
          <w:color w:val="000000" w:themeColor="text1"/>
          <w:spacing w:val="0"/>
          <w:kern w:val="2"/>
          <w:sz w:val="32"/>
          <w:szCs w:val="32"/>
          <w:shd w:val="clear" w:fill="FFFFFF"/>
          <w:lang w:val="en-US" w:eastAsia="zh-CN" w:bidi="ar-SA"/>
          <w14:textFill>
            <w14:solidFill>
              <w14:schemeClr w14:val="tx1"/>
            </w14:solidFill>
          </w14:textFill>
        </w:rPr>
        <w:t>本办法及其附件由县农经局负责解释，自发布之日起30日后施行。</w:t>
      </w:r>
    </w:p>
    <w:p>
      <w:pPr>
        <w:rPr>
          <w:rFonts w:hint="default"/>
          <w:lang w:val="en-US" w:eastAsia="zh-CN"/>
        </w:rPr>
      </w:pPr>
      <w:r>
        <w:rPr>
          <w:rFonts w:hint="eastAsia" w:ascii="仿宋_GB2312" w:hAnsi="仿宋_GB2312" w:eastAsia="仿宋_GB2312" w:cs="仿宋_GB2312"/>
          <w:b w:val="0"/>
          <w:bCs/>
          <w:i w:val="0"/>
          <w:caps w:val="0"/>
          <w:color w:val="000000" w:themeColor="text1"/>
          <w:spacing w:val="0"/>
          <w:kern w:val="2"/>
          <w:sz w:val="32"/>
          <w:szCs w:val="32"/>
          <w:shd w:val="clear" w:fill="FFFFFF"/>
          <w:lang w:val="en-US" w:eastAsia="zh-CN" w:bidi="ar-SA"/>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附件2</w:t>
      </w: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玛纳斯县农村集体经济组织机动地管理办法</w:t>
      </w:r>
    </w:p>
    <w:p>
      <w:pPr>
        <w:keepNext w:val="0"/>
        <w:keepLines w:val="0"/>
        <w:pageBreakBefore w:val="0"/>
        <w:widowControl w:val="0"/>
        <w:kinsoku/>
        <w:wordWrap/>
        <w:overflowPunct/>
        <w:topLinePunct w:val="0"/>
        <w:autoSpaceDE/>
        <w:autoSpaceDN/>
        <w:bidi w:val="0"/>
        <w:adjustRightInd/>
        <w:snapToGrid/>
        <w:spacing w:line="560" w:lineRule="exact"/>
        <w:ind w:left="0"/>
        <w:jc w:val="both"/>
        <w:textAlignment w:val="auto"/>
        <w:rPr>
          <w:rFonts w:hint="eastAsia" w:ascii="仿宋" w:hAnsi="仿宋" w:eastAsia="仿宋" w:cs="仿宋"/>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第一章  总则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 xml:space="preserve">第一条 </w:t>
      </w:r>
      <w:r>
        <w:rPr>
          <w:rFonts w:hint="eastAsia" w:ascii="仿宋_GB2312" w:hAnsi="仿宋_GB2312" w:eastAsia="仿宋_GB2312" w:cs="仿宋_GB2312"/>
          <w:b w:val="0"/>
          <w:bCs/>
          <w:i w:val="0"/>
          <w:caps w:val="0"/>
          <w:color w:val="000000" w:themeColor="text1"/>
          <w:spacing w:val="0"/>
          <w:sz w:val="32"/>
          <w:szCs w:val="32"/>
          <w:shd w:val="clear" w:fill="FFFFFF"/>
          <w:lang w:val="en-US" w:eastAsia="zh-CN"/>
          <w14:textFill>
            <w14:solidFill>
              <w14:schemeClr w14:val="tx1"/>
            </w14:solidFill>
          </w14:textFill>
        </w:rPr>
        <w:t>为规范村集体经济组织集体土地承包管理，盘活农村集体土地资源，确保集体“三资”保值、增值，推动集体经济发展壮大，保护农村集体经济组织、各类新型农业经营主体和农牧民的合法权益，促进乡村振兴持续、稳定、协调发展，依据有关法律法规和政策规定，结合我县农村集体产权制度改革实际，制定本办法。</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left"/>
        <w:textAlignment w:val="auto"/>
        <w:rPr>
          <w:rFonts w:hint="eastAsia" w:ascii="仿宋_GB2312" w:hAnsi="仿宋_GB2312" w:eastAsia="仿宋_GB2312" w:cs="仿宋_GB2312"/>
          <w:b w:val="0"/>
          <w:bCs/>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bCs w:val="0"/>
          <w:i w:val="0"/>
          <w:caps w:val="0"/>
          <w:color w:val="000000" w:themeColor="text1"/>
          <w:spacing w:val="0"/>
          <w:sz w:val="32"/>
          <w:szCs w:val="32"/>
          <w:shd w:val="clear" w:fill="FFFFFF"/>
          <w:lang w:eastAsia="zh-CN"/>
          <w14:textFill>
            <w14:solidFill>
              <w14:schemeClr w14:val="tx1"/>
            </w14:solidFill>
          </w14:textFill>
        </w:rPr>
        <w:t>第二条</w:t>
      </w:r>
      <w:r>
        <w:rPr>
          <w:rFonts w:hint="eastAsia" w:ascii="仿宋_GB2312" w:hAnsi="仿宋_GB2312" w:eastAsia="仿宋_GB2312" w:cs="仿宋_GB2312"/>
          <w:b/>
          <w:bCs w:val="0"/>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b w:val="0"/>
          <w:bCs/>
          <w:i w:val="0"/>
          <w:caps w:val="0"/>
          <w:color w:val="000000" w:themeColor="text1"/>
          <w:spacing w:val="0"/>
          <w:sz w:val="32"/>
          <w:szCs w:val="32"/>
          <w:shd w:val="clear" w:fill="FFFFFF"/>
          <w:lang w:val="en-US" w:eastAsia="zh-CN"/>
          <w14:textFill>
            <w14:solidFill>
              <w14:schemeClr w14:val="tx1"/>
            </w14:solidFill>
          </w14:textFill>
        </w:rPr>
        <w:t>农村集体经济组织（村股份经济合作社）是农村集体土地的运营主体，负责本集体土地的发包、管理、用途监督等工作；乡（镇）人民政府是农村集体土地的管理主体，负责本行政区域内土地经营权流转、农村土地承包纠纷、农村集体土地承包经营及合同管理和监管等工作；县人民政府是农村集体土地权属登记确认机构，农业农村局负责向承包方颁发土地承包经营权证及农村土地承包经营管理的指导工作；县农经局和农村产权交易中心制定统一的集体土地承包合同范本、发布农村集体土地流转交易信息、发包及审核、监管及交易鉴证等工作。</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val="0"/>
          <w:i w:val="0"/>
          <w:caps w:val="0"/>
          <w:color w:val="000000" w:themeColor="text1"/>
          <w:spacing w:val="0"/>
          <w:sz w:val="32"/>
          <w:szCs w:val="32"/>
          <w:shd w:val="clear" w:fill="FFFFFF"/>
          <w14:textFill>
            <w14:solidFill>
              <w14:schemeClr w14:val="tx1"/>
            </w14:solidFill>
          </w14:textFill>
        </w:rPr>
        <w:t>第</w:t>
      </w:r>
      <w:r>
        <w:rPr>
          <w:rFonts w:hint="eastAsia" w:ascii="仿宋_GB2312" w:hAnsi="仿宋_GB2312" w:eastAsia="仿宋_GB2312" w:cs="仿宋_GB2312"/>
          <w:b/>
          <w:bCs w:val="0"/>
          <w:i w:val="0"/>
          <w:caps w:val="0"/>
          <w:color w:val="000000" w:themeColor="text1"/>
          <w:spacing w:val="0"/>
          <w:sz w:val="32"/>
          <w:szCs w:val="32"/>
          <w:shd w:val="clear" w:fill="FFFFFF"/>
          <w:lang w:eastAsia="zh-CN"/>
          <w14:textFill>
            <w14:solidFill>
              <w14:schemeClr w14:val="tx1"/>
            </w14:solidFill>
          </w14:textFill>
        </w:rPr>
        <w:t>三</w:t>
      </w:r>
      <w:r>
        <w:rPr>
          <w:rFonts w:hint="eastAsia" w:ascii="仿宋_GB2312" w:hAnsi="仿宋_GB2312" w:eastAsia="仿宋_GB2312" w:cs="仿宋_GB2312"/>
          <w:b/>
          <w:bCs w:val="0"/>
          <w:i w:val="0"/>
          <w:caps w:val="0"/>
          <w:color w:val="000000" w:themeColor="text1"/>
          <w:spacing w:val="0"/>
          <w:sz w:val="32"/>
          <w:szCs w:val="32"/>
          <w:shd w:val="clear" w:fill="FFFFFF"/>
          <w14:textFill>
            <w14:solidFill>
              <w14:schemeClr w14:val="tx1"/>
            </w14:solidFill>
          </w14:textFill>
        </w:rPr>
        <w:t>条</w:t>
      </w:r>
      <w:r>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t xml:space="preserve"> </w:t>
      </w:r>
      <w:r>
        <w:rPr>
          <w:rFonts w:hint="eastAsia" w:ascii="仿宋_GB2312" w:hAnsi="仿宋_GB2312" w:eastAsia="仿宋_GB2312" w:cs="仿宋_GB2312"/>
          <w:b w:val="0"/>
          <w:bCs/>
          <w:i w:val="0"/>
          <w:caps w:val="0"/>
          <w:color w:val="000000" w:themeColor="text1"/>
          <w:spacing w:val="0"/>
          <w:sz w:val="32"/>
          <w:szCs w:val="32"/>
          <w:shd w:val="clear" w:fill="FFFFFF"/>
          <w:lang w:val="en-US" w:eastAsia="zh-CN"/>
          <w14:textFill>
            <w14:solidFill>
              <w14:schemeClr w14:val="tx1"/>
            </w14:solidFill>
          </w14:textFill>
        </w:rPr>
        <w:t>农村集体机动地承包主体的承包经营权、承包形式、承包期限等，由集体经济组织（村股份经济合作社）按照程序召开会议后确定实施。任何组织和个人不得以任何形式侵占、截留、挪用、扣缴农村集体机动地承包经营收益。</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left"/>
        <w:textAlignment w:val="auto"/>
        <w:rPr>
          <w:rFonts w:hint="eastAsia" w:ascii="仿宋_GB2312" w:hAnsi="仿宋_GB2312" w:eastAsia="仿宋_GB2312" w:cs="仿宋_GB2312"/>
          <w:b w:val="0"/>
          <w:bCs/>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bCs w:val="0"/>
          <w:i w:val="0"/>
          <w:caps w:val="0"/>
          <w:color w:val="000000" w:themeColor="text1"/>
          <w:spacing w:val="0"/>
          <w:sz w:val="32"/>
          <w:szCs w:val="32"/>
          <w:shd w:val="clear" w:fill="FFFFFF"/>
          <w14:textFill>
            <w14:solidFill>
              <w14:schemeClr w14:val="tx1"/>
            </w14:solidFill>
          </w14:textFill>
        </w:rPr>
        <w:t>第</w:t>
      </w:r>
      <w:r>
        <w:rPr>
          <w:rFonts w:hint="eastAsia" w:ascii="仿宋_GB2312" w:hAnsi="仿宋_GB2312" w:eastAsia="仿宋_GB2312" w:cs="仿宋_GB2312"/>
          <w:b/>
          <w:bCs w:val="0"/>
          <w:i w:val="0"/>
          <w:caps w:val="0"/>
          <w:color w:val="000000" w:themeColor="text1"/>
          <w:spacing w:val="0"/>
          <w:sz w:val="32"/>
          <w:szCs w:val="32"/>
          <w:shd w:val="clear" w:fill="FFFFFF"/>
          <w:lang w:eastAsia="zh-CN"/>
          <w14:textFill>
            <w14:solidFill>
              <w14:schemeClr w14:val="tx1"/>
            </w14:solidFill>
          </w14:textFill>
        </w:rPr>
        <w:t>四</w:t>
      </w:r>
      <w:r>
        <w:rPr>
          <w:rFonts w:hint="eastAsia" w:ascii="仿宋_GB2312" w:hAnsi="仿宋_GB2312" w:eastAsia="仿宋_GB2312" w:cs="仿宋_GB2312"/>
          <w:b/>
          <w:bCs w:val="0"/>
          <w:i w:val="0"/>
          <w:caps w:val="0"/>
          <w:color w:val="000000" w:themeColor="text1"/>
          <w:spacing w:val="0"/>
          <w:sz w:val="32"/>
          <w:szCs w:val="32"/>
          <w:shd w:val="clear" w:fill="FFFFFF"/>
          <w14:textFill>
            <w14:solidFill>
              <w14:schemeClr w14:val="tx1"/>
            </w14:solidFill>
          </w14:textFill>
        </w:rPr>
        <w:t>条</w:t>
      </w:r>
      <w:r>
        <w:rPr>
          <w:rFonts w:hint="eastAsia" w:ascii="仿宋_GB2312" w:hAnsi="仿宋_GB2312" w:eastAsia="仿宋_GB2312" w:cs="仿宋_GB2312"/>
          <w:b w:val="0"/>
          <w:bCs/>
          <w:i w:val="0"/>
          <w:caps w:val="0"/>
          <w:color w:val="000000" w:themeColor="text1"/>
          <w:spacing w:val="0"/>
          <w:sz w:val="32"/>
          <w:szCs w:val="32"/>
          <w:shd w:val="clear" w:fill="FFFFFF"/>
          <w:lang w:val="en-US" w:eastAsia="zh-CN"/>
          <w14:textFill>
            <w14:solidFill>
              <w14:schemeClr w14:val="tx1"/>
            </w14:solidFill>
          </w14:textFill>
        </w:rPr>
        <w:t xml:space="preserve"> 机动地面积确定后不得无故减少,严禁发包方以增加集体积累为名随意增加机动地而减少农户的二轮承包地。</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sz w:val="32"/>
          <w:szCs w:val="32"/>
          <w:shd w:val="clear" w:fill="FFFFFF"/>
          <w:lang w:val="en-US" w:eastAsia="zh-CN"/>
          <w14:textFill>
            <w14:solidFill>
              <w14:schemeClr w14:val="tx1"/>
            </w14:solidFill>
          </w14:textFill>
        </w:rPr>
        <w:t>任何组织或个人不得以任何方式向农村集体经济组织及其成员进行摊派，不得强制农村集体经济组织及其成员提供劳务或者捐助，不得将二轮承包地收回</w:t>
      </w:r>
      <w:r>
        <w:rPr>
          <w:rFonts w:hint="default" w:ascii="仿宋_GB2312" w:hAnsi="仿宋_GB2312" w:eastAsia="仿宋_GB2312" w:cs="仿宋_GB2312"/>
          <w:b w:val="0"/>
          <w:bCs/>
          <w:i w:val="0"/>
          <w:caps w:val="0"/>
          <w:color w:val="000000" w:themeColor="text1"/>
          <w:spacing w:val="0"/>
          <w:sz w:val="32"/>
          <w:szCs w:val="32"/>
          <w:shd w:val="clear" w:fill="FFFFFF"/>
          <w:lang w:val="en-US" w:eastAsia="zh-CN"/>
          <w14:textFill>
            <w14:solidFill>
              <w14:schemeClr w14:val="tx1"/>
            </w14:solidFill>
          </w14:textFill>
        </w:rPr>
        <w:t>抵顶欠款</w:t>
      </w:r>
      <w:r>
        <w:rPr>
          <w:rFonts w:hint="eastAsia" w:ascii="仿宋_GB2312" w:hAnsi="仿宋_GB2312" w:eastAsia="仿宋_GB2312" w:cs="仿宋_GB2312"/>
          <w:b w:val="0"/>
          <w:bCs/>
          <w:i w:val="0"/>
          <w:caps w:val="0"/>
          <w:color w:val="000000" w:themeColor="text1"/>
          <w:spacing w:val="0"/>
          <w:sz w:val="32"/>
          <w:szCs w:val="32"/>
          <w:shd w:val="clear" w:fill="FFFFFF"/>
          <w:lang w:val="en-US" w:eastAsia="zh-CN"/>
          <w14:textFill>
            <w14:solidFill>
              <w14:schemeClr w14:val="tx1"/>
            </w14:solidFill>
          </w14:textFill>
        </w:rPr>
        <w:t>或各种名目的费用。</w:t>
      </w: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第二章  机动地的范围、用途和发包原则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jc w:val="left"/>
        <w:textAlignment w:val="auto"/>
        <w:rPr>
          <w:rFonts w:hint="eastAsia" w:ascii="仿宋_GB2312" w:hAnsi="仿宋_GB2312" w:eastAsia="仿宋_GB2312" w:cs="仿宋_GB2312"/>
          <w:b w:val="0"/>
          <w:bCs/>
          <w:i w:val="0"/>
          <w:caps w:val="0"/>
          <w:color w:val="000000" w:themeColor="text1"/>
          <w:spacing w:val="0"/>
          <w:sz w:val="32"/>
          <w:szCs w:val="32"/>
          <w:shd w:val="clear" w:fill="FFFFFF"/>
          <w:lang w:eastAsia="zh-CN"/>
          <w14:textFill>
            <w14:solidFill>
              <w14:schemeClr w14:val="tx1"/>
            </w14:solidFill>
          </w14:textFill>
        </w:rPr>
      </w:pPr>
      <w:r>
        <w:rPr>
          <w:rFonts w:hint="eastAsia" w:ascii="仿宋_GB2312" w:hAnsi="仿宋_GB2312" w:eastAsia="仿宋_GB2312" w:cs="仿宋_GB2312"/>
          <w:b/>
          <w:bCs w:val="0"/>
          <w:i w:val="0"/>
          <w:caps w:val="0"/>
          <w:color w:val="000000" w:themeColor="text1"/>
          <w:spacing w:val="0"/>
          <w:sz w:val="32"/>
          <w:szCs w:val="32"/>
          <w:shd w:val="clear" w:fill="FFFFFF"/>
          <w:lang w:eastAsia="zh-CN"/>
          <w14:textFill>
            <w14:solidFill>
              <w14:schemeClr w14:val="tx1"/>
            </w14:solidFill>
          </w14:textFill>
        </w:rPr>
        <w:t>第</w:t>
      </w:r>
      <w:r>
        <w:rPr>
          <w:rFonts w:hint="eastAsia" w:ascii="仿宋_GB2312" w:hAnsi="仿宋_GB2312" w:eastAsia="仿宋_GB2312" w:cs="仿宋_GB2312"/>
          <w:b/>
          <w:bCs w:val="0"/>
          <w:i w:val="0"/>
          <w:caps w:val="0"/>
          <w:color w:val="000000" w:themeColor="text1"/>
          <w:spacing w:val="0"/>
          <w:sz w:val="32"/>
          <w:szCs w:val="32"/>
          <w:shd w:val="clear" w:fill="FFFFFF"/>
          <w:lang w:val="en-US" w:eastAsia="zh-CN"/>
          <w14:textFill>
            <w14:solidFill>
              <w14:schemeClr w14:val="tx1"/>
            </w14:solidFill>
          </w14:textFill>
        </w:rPr>
        <w:t>五</w:t>
      </w:r>
      <w:r>
        <w:rPr>
          <w:rFonts w:hint="eastAsia" w:ascii="仿宋_GB2312" w:hAnsi="仿宋_GB2312" w:eastAsia="仿宋_GB2312" w:cs="仿宋_GB2312"/>
          <w:b/>
          <w:bCs w:val="0"/>
          <w:i w:val="0"/>
          <w:caps w:val="0"/>
          <w:color w:val="000000" w:themeColor="text1"/>
          <w:spacing w:val="0"/>
          <w:sz w:val="32"/>
          <w:szCs w:val="32"/>
          <w:shd w:val="clear" w:fill="FFFFFF"/>
          <w:lang w:eastAsia="zh-CN"/>
          <w14:textFill>
            <w14:solidFill>
              <w14:schemeClr w14:val="tx1"/>
            </w14:solidFill>
          </w14:textFill>
        </w:rPr>
        <w:t>条</w:t>
      </w:r>
      <w:r>
        <w:rPr>
          <w:rFonts w:hint="eastAsia" w:ascii="仿宋_GB2312" w:hAnsi="仿宋_GB2312" w:eastAsia="仿宋_GB2312" w:cs="仿宋_GB2312"/>
          <w:b w:val="0"/>
          <w:bCs/>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t>机动地</w:t>
      </w:r>
      <w:r>
        <w:rPr>
          <w:rFonts w:hint="eastAsia" w:ascii="仿宋_GB2312" w:hAnsi="仿宋_GB2312" w:eastAsia="仿宋_GB2312" w:cs="仿宋_GB2312"/>
          <w:b w:val="0"/>
          <w:bCs/>
          <w:i w:val="0"/>
          <w:caps w:val="0"/>
          <w:color w:val="000000" w:themeColor="text1"/>
          <w:spacing w:val="0"/>
          <w:sz w:val="32"/>
          <w:szCs w:val="32"/>
          <w:shd w:val="clear" w:fill="FFFFFF"/>
          <w:lang w:eastAsia="zh-CN"/>
          <w14:textFill>
            <w14:solidFill>
              <w14:schemeClr w14:val="tx1"/>
            </w14:solidFill>
          </w14:textFill>
        </w:rPr>
        <w:t>的</w:t>
      </w:r>
      <w:r>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t>范围</w:t>
      </w:r>
      <w:r>
        <w:rPr>
          <w:rFonts w:hint="eastAsia" w:ascii="仿宋_GB2312" w:hAnsi="仿宋_GB2312" w:eastAsia="仿宋_GB2312" w:cs="仿宋_GB2312"/>
          <w:b w:val="0"/>
          <w:bCs/>
          <w:i w:val="0"/>
          <w:caps w:val="0"/>
          <w:color w:val="000000" w:themeColor="text1"/>
          <w:spacing w:val="0"/>
          <w:sz w:val="32"/>
          <w:szCs w:val="32"/>
          <w:shd w:val="clear" w:fill="FFFFFF"/>
          <w:lang w:eastAsia="zh-CN"/>
          <w14:textFill>
            <w14:solidFill>
              <w14:schemeClr w14:val="tx1"/>
            </w14:solidFill>
          </w14:textFill>
        </w:rPr>
        <w:t>是</w:t>
      </w:r>
      <w:r>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t>二轮承包地以外的</w:t>
      </w:r>
      <w:r>
        <w:rPr>
          <w:rFonts w:hint="eastAsia" w:ascii="仿宋_GB2312" w:hAnsi="仿宋_GB2312" w:eastAsia="仿宋_GB2312" w:cs="仿宋_GB2312"/>
          <w:b w:val="0"/>
          <w:bCs/>
          <w:i w:val="0"/>
          <w:caps w:val="0"/>
          <w:color w:val="000000" w:themeColor="text1"/>
          <w:spacing w:val="0"/>
          <w:sz w:val="32"/>
          <w:szCs w:val="32"/>
          <w:shd w:val="clear" w:fill="FFFFFF"/>
          <w:lang w:val="en-US" w:eastAsia="zh-CN"/>
          <w14:textFill>
            <w14:solidFill>
              <w14:schemeClr w14:val="tx1"/>
            </w14:solidFill>
          </w14:textFill>
        </w:rPr>
        <w:t>村</w:t>
      </w:r>
      <w:r>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t>集体</w:t>
      </w:r>
      <w:r>
        <w:rPr>
          <w:rFonts w:hint="eastAsia" w:ascii="仿宋_GB2312" w:hAnsi="仿宋_GB2312" w:eastAsia="仿宋_GB2312" w:cs="仿宋_GB2312"/>
          <w:b w:val="0"/>
          <w:bCs/>
          <w:i w:val="0"/>
          <w:caps w:val="0"/>
          <w:color w:val="000000" w:themeColor="text1"/>
          <w:spacing w:val="0"/>
          <w:sz w:val="32"/>
          <w:szCs w:val="32"/>
          <w:shd w:val="clear" w:fill="FFFFFF"/>
          <w:lang w:eastAsia="zh-CN"/>
          <w14:textFill>
            <w14:solidFill>
              <w14:schemeClr w14:val="tx1"/>
            </w14:solidFill>
          </w14:textFill>
        </w:rPr>
        <w:t>依法所有和国</w:t>
      </w:r>
      <w:r>
        <w:rPr>
          <w:rFonts w:hint="eastAsia" w:ascii="仿宋_GB2312" w:hAnsi="仿宋_GB2312" w:eastAsia="仿宋_GB2312" w:cs="仿宋_GB2312"/>
          <w:b w:val="0"/>
          <w:bCs/>
          <w:i w:val="0"/>
          <w:caps w:val="0"/>
          <w:color w:val="000000" w:themeColor="text1"/>
          <w:spacing w:val="0"/>
          <w:sz w:val="32"/>
          <w:szCs w:val="32"/>
          <w:shd w:val="clear" w:fill="FFFFFF"/>
          <w:lang w:val="en-US" w:eastAsia="zh-CN"/>
          <w14:textFill>
            <w14:solidFill>
              <w14:schemeClr w14:val="tx1"/>
            </w14:solidFill>
          </w14:textFill>
        </w:rPr>
        <w:t>家</w:t>
      </w:r>
      <w:r>
        <w:rPr>
          <w:rFonts w:hint="eastAsia" w:ascii="仿宋_GB2312" w:hAnsi="仿宋_GB2312" w:eastAsia="仿宋_GB2312" w:cs="仿宋_GB2312"/>
          <w:b w:val="0"/>
          <w:bCs/>
          <w:i w:val="0"/>
          <w:caps w:val="0"/>
          <w:color w:val="000000" w:themeColor="text1"/>
          <w:spacing w:val="0"/>
          <w:sz w:val="32"/>
          <w:szCs w:val="32"/>
          <w:shd w:val="clear" w:fill="FFFFFF"/>
          <w:lang w:eastAsia="zh-CN"/>
          <w14:textFill>
            <w14:solidFill>
              <w14:schemeClr w14:val="tx1"/>
            </w14:solidFill>
          </w14:textFill>
        </w:rPr>
        <w:t>所有依法由村民集体使用的耕地、未利用地以及其他方式承包的农村集体土地。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t>主要包括：</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t>（一）村集体所有依法预留的耕地、草地、林地、集体果园、</w:t>
      </w:r>
      <w:r>
        <w:rPr>
          <w:rFonts w:hint="eastAsia" w:ascii="仿宋_GB2312" w:hAnsi="仿宋_GB2312" w:eastAsia="仿宋_GB2312" w:cs="仿宋_GB2312"/>
          <w:b w:val="0"/>
          <w:bCs/>
          <w:i w:val="0"/>
          <w:caps w:val="0"/>
          <w:color w:val="000000" w:themeColor="text1"/>
          <w:spacing w:val="0"/>
          <w:sz w:val="32"/>
          <w:szCs w:val="32"/>
          <w:shd w:val="clear" w:fill="FFFFFF"/>
          <w:lang w:eastAsia="zh-CN"/>
          <w14:textFill>
            <w14:solidFill>
              <w14:schemeClr w14:val="tx1"/>
            </w14:solidFill>
          </w14:textFill>
        </w:rPr>
        <w:t>种</w:t>
      </w:r>
      <w:r>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t>养业用地、水面以及按照土地使用总体规定预留的林、渠、路、宅基地等公用设施用地；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t>（二）国家所有依法由农民集体使用的耕地、林地、草地以及其他依法用于农业的土地；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b w:val="0"/>
          <w:bCs/>
          <w:i w:val="0"/>
          <w:caps w:val="0"/>
          <w:color w:val="000000" w:themeColor="text1"/>
          <w:spacing w:val="0"/>
          <w:sz w:val="32"/>
          <w:szCs w:val="32"/>
          <w:shd w:val="clear" w:fill="FFFFFF"/>
          <w:lang w:val="en-US" w:eastAsia="zh-CN"/>
          <w14:textFill>
            <w14:solidFill>
              <w14:schemeClr w14:val="tx1"/>
            </w14:solidFill>
          </w14:textFill>
        </w:rPr>
        <w:t>三）</w:t>
      </w:r>
      <w:r>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t>农民自愿退回的承包耕地、草地、林地等；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t>（四）家庭承包方式承包地的</w:t>
      </w:r>
      <w:r>
        <w:rPr>
          <w:rFonts w:hint="eastAsia" w:ascii="仿宋_GB2312" w:hAnsi="仿宋_GB2312" w:eastAsia="仿宋_GB2312" w:cs="仿宋_GB2312"/>
          <w:b w:val="0"/>
          <w:bCs/>
          <w:i w:val="0"/>
          <w:caps w:val="0"/>
          <w:color w:val="000000" w:themeColor="text1"/>
          <w:spacing w:val="0"/>
          <w:sz w:val="32"/>
          <w:szCs w:val="32"/>
          <w:shd w:val="clear" w:fill="FFFFFF"/>
          <w:lang w:eastAsia="zh-CN"/>
          <w14:textFill>
            <w14:solidFill>
              <w14:schemeClr w14:val="tx1"/>
            </w14:solidFill>
          </w14:textFill>
        </w:rPr>
        <w:t>地</w:t>
      </w:r>
      <w:r>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t>边、</w:t>
      </w:r>
      <w:r>
        <w:rPr>
          <w:rFonts w:hint="eastAsia" w:ascii="仿宋_GB2312" w:hAnsi="仿宋_GB2312" w:eastAsia="仿宋_GB2312" w:cs="仿宋_GB2312"/>
          <w:b w:val="0"/>
          <w:bCs/>
          <w:i w:val="0"/>
          <w:caps w:val="0"/>
          <w:color w:val="000000" w:themeColor="text1"/>
          <w:spacing w:val="0"/>
          <w:sz w:val="32"/>
          <w:szCs w:val="32"/>
          <w:shd w:val="clear" w:fill="FFFFFF"/>
          <w:lang w:eastAsia="zh-CN"/>
          <w14:textFill>
            <w14:solidFill>
              <w14:schemeClr w14:val="tx1"/>
            </w14:solidFill>
          </w14:textFill>
        </w:rPr>
        <w:t>地</w:t>
      </w:r>
      <w:r>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t>头等零</w:t>
      </w:r>
      <w:r>
        <w:rPr>
          <w:rFonts w:hint="eastAsia" w:ascii="仿宋_GB2312" w:hAnsi="仿宋_GB2312" w:eastAsia="仿宋_GB2312" w:cs="仿宋_GB2312"/>
          <w:b w:val="0"/>
          <w:bCs/>
          <w:i w:val="0"/>
          <w:caps w:val="0"/>
          <w:color w:val="000000" w:themeColor="text1"/>
          <w:spacing w:val="0"/>
          <w:sz w:val="32"/>
          <w:szCs w:val="32"/>
          <w:shd w:val="clear" w:fill="FFFFFF"/>
          <w:lang w:eastAsia="zh-CN"/>
          <w14:textFill>
            <w14:solidFill>
              <w14:schemeClr w14:val="tx1"/>
            </w14:solidFill>
          </w14:textFill>
        </w:rPr>
        <w:t>散</w:t>
      </w:r>
      <w:r>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t>土地</w:t>
      </w:r>
      <w:r>
        <w:rPr>
          <w:rFonts w:hint="eastAsia" w:ascii="仿宋_GB2312" w:hAnsi="仿宋_GB2312" w:eastAsia="仿宋_GB2312" w:cs="仿宋_GB2312"/>
          <w:b w:val="0"/>
          <w:bCs/>
          <w:i w:val="0"/>
          <w:caps w:val="0"/>
          <w:color w:val="000000" w:themeColor="text1"/>
          <w:spacing w:val="0"/>
          <w:sz w:val="32"/>
          <w:szCs w:val="32"/>
          <w:shd w:val="clear" w:fill="FFFFFF"/>
          <w:lang w:eastAsia="zh-CN"/>
          <w14:textFill>
            <w14:solidFill>
              <w14:schemeClr w14:val="tx1"/>
            </w14:solidFill>
          </w14:textFill>
        </w:rPr>
        <w:t>或承包的土地靠近渠道、林带等超过确权面积或相关合同面积的集体土地</w:t>
      </w:r>
      <w:r>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t>（</w:t>
      </w:r>
      <w:r>
        <w:rPr>
          <w:rFonts w:hint="eastAsia" w:ascii="仿宋_GB2312" w:hAnsi="仿宋_GB2312" w:eastAsia="仿宋_GB2312" w:cs="仿宋_GB2312"/>
          <w:b w:val="0"/>
          <w:bCs/>
          <w:i w:val="0"/>
          <w:caps w:val="0"/>
          <w:color w:val="000000" w:themeColor="text1"/>
          <w:spacing w:val="0"/>
          <w:sz w:val="32"/>
          <w:szCs w:val="32"/>
          <w:shd w:val="clear" w:fill="FFFFFF"/>
          <w:lang w:eastAsia="zh-CN"/>
          <w14:textFill>
            <w14:solidFill>
              <w14:schemeClr w14:val="tx1"/>
            </w14:solidFill>
          </w14:textFill>
        </w:rPr>
        <w:t>五</w:t>
      </w:r>
      <w:r>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t>）集体所有通过依法开垦等方式增加的土地；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t>（</w:t>
      </w:r>
      <w:r>
        <w:rPr>
          <w:rFonts w:hint="eastAsia" w:ascii="仿宋_GB2312" w:hAnsi="仿宋_GB2312" w:eastAsia="仿宋_GB2312" w:cs="仿宋_GB2312"/>
          <w:b w:val="0"/>
          <w:bCs/>
          <w:i w:val="0"/>
          <w:caps w:val="0"/>
          <w:color w:val="000000" w:themeColor="text1"/>
          <w:spacing w:val="0"/>
          <w:sz w:val="32"/>
          <w:szCs w:val="32"/>
          <w:shd w:val="clear" w:fill="FFFFFF"/>
          <w:lang w:eastAsia="zh-CN"/>
          <w14:textFill>
            <w14:solidFill>
              <w14:schemeClr w14:val="tx1"/>
            </w14:solidFill>
          </w14:textFill>
        </w:rPr>
        <w:t>六</w:t>
      </w:r>
      <w:r>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t>）集体留用居民点、林、渠、路、工副业用地及暂时可耕种的土地；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t>（</w:t>
      </w:r>
      <w:r>
        <w:rPr>
          <w:rFonts w:hint="eastAsia" w:ascii="仿宋_GB2312" w:hAnsi="仿宋_GB2312" w:eastAsia="仿宋_GB2312" w:cs="仿宋_GB2312"/>
          <w:b w:val="0"/>
          <w:bCs/>
          <w:i w:val="0"/>
          <w:caps w:val="0"/>
          <w:color w:val="000000" w:themeColor="text1"/>
          <w:spacing w:val="0"/>
          <w:sz w:val="32"/>
          <w:szCs w:val="32"/>
          <w:shd w:val="clear" w:fill="FFFFFF"/>
          <w:lang w:eastAsia="zh-CN"/>
          <w14:textFill>
            <w14:solidFill>
              <w14:schemeClr w14:val="tx1"/>
            </w14:solidFill>
          </w14:textFill>
        </w:rPr>
        <w:t>七</w:t>
      </w:r>
      <w:r>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t>）依法收回的其他土地。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jc w:val="left"/>
        <w:textAlignment w:val="auto"/>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b/>
          <w:bCs w:val="0"/>
          <w:i w:val="0"/>
          <w:caps w:val="0"/>
          <w:color w:val="000000" w:themeColor="text1"/>
          <w:spacing w:val="0"/>
          <w:sz w:val="32"/>
          <w:szCs w:val="32"/>
          <w:shd w:val="clear" w:fill="FFFFFF"/>
          <w:lang w:eastAsia="zh-CN"/>
          <w14:textFill>
            <w14:solidFill>
              <w14:schemeClr w14:val="tx1"/>
            </w14:solidFill>
          </w14:textFill>
        </w:rPr>
        <w:t>第</w:t>
      </w:r>
      <w:r>
        <w:rPr>
          <w:rFonts w:hint="eastAsia" w:ascii="仿宋_GB2312" w:hAnsi="仿宋_GB2312" w:eastAsia="仿宋_GB2312" w:cs="仿宋_GB2312"/>
          <w:b/>
          <w:bCs w:val="0"/>
          <w:i w:val="0"/>
          <w:caps w:val="0"/>
          <w:color w:val="000000" w:themeColor="text1"/>
          <w:spacing w:val="0"/>
          <w:sz w:val="32"/>
          <w:szCs w:val="32"/>
          <w:shd w:val="clear" w:fill="FFFFFF"/>
          <w:lang w:val="en-US" w:eastAsia="zh-CN"/>
          <w14:textFill>
            <w14:solidFill>
              <w14:schemeClr w14:val="tx1"/>
            </w14:solidFill>
          </w14:textFill>
        </w:rPr>
        <w:t>六</w:t>
      </w:r>
      <w:r>
        <w:rPr>
          <w:rFonts w:hint="eastAsia" w:ascii="仿宋_GB2312" w:hAnsi="仿宋_GB2312" w:eastAsia="仿宋_GB2312" w:cs="仿宋_GB2312"/>
          <w:b/>
          <w:bCs w:val="0"/>
          <w:i w:val="0"/>
          <w:caps w:val="0"/>
          <w:color w:val="000000" w:themeColor="text1"/>
          <w:spacing w:val="0"/>
          <w:sz w:val="32"/>
          <w:szCs w:val="32"/>
          <w:shd w:val="clear" w:fill="FFFFFF"/>
          <w:lang w:eastAsia="zh-CN"/>
          <w14:textFill>
            <w14:solidFill>
              <w14:schemeClr w14:val="tx1"/>
            </w14:solidFill>
          </w14:textFill>
        </w:rPr>
        <w:t>条</w:t>
      </w:r>
      <w:r>
        <w:rPr>
          <w:rFonts w:hint="eastAsia" w:ascii="仿宋_GB2312" w:hAnsi="仿宋_GB2312" w:eastAsia="仿宋_GB2312" w:cs="仿宋_GB2312"/>
          <w:b w:val="0"/>
          <w:bCs/>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t>机动地的用途:</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sz w:val="32"/>
          <w:szCs w:val="32"/>
          <w:shd w:val="clear" w:fill="FFFFFF"/>
          <w:lang w:eastAsia="zh-CN"/>
          <w14:textFill>
            <w14:solidFill>
              <w14:schemeClr w14:val="tx1"/>
            </w14:solidFill>
          </w14:textFill>
        </w:rPr>
        <w:t>（一）</w:t>
      </w:r>
      <w:r>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t>用于壮大集体经济，增加集体和农</w:t>
      </w:r>
      <w:r>
        <w:rPr>
          <w:rFonts w:hint="eastAsia" w:ascii="仿宋_GB2312" w:hAnsi="仿宋_GB2312" w:eastAsia="仿宋_GB2312" w:cs="仿宋_GB2312"/>
          <w:b w:val="0"/>
          <w:bCs/>
          <w:i w:val="0"/>
          <w:caps w:val="0"/>
          <w:color w:val="000000" w:themeColor="text1"/>
          <w:spacing w:val="0"/>
          <w:sz w:val="32"/>
          <w:szCs w:val="32"/>
          <w:shd w:val="clear" w:fill="FFFFFF"/>
          <w:lang w:eastAsia="zh-CN"/>
          <w14:textFill>
            <w14:solidFill>
              <w14:schemeClr w14:val="tx1"/>
            </w14:solidFill>
          </w14:textFill>
        </w:rPr>
        <w:t>牧</w:t>
      </w:r>
      <w:r>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t>民收入;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t>（二）解决</w:t>
      </w:r>
      <w:r>
        <w:rPr>
          <w:rFonts w:hint="eastAsia" w:ascii="仿宋_GB2312" w:hAnsi="仿宋_GB2312" w:eastAsia="仿宋_GB2312" w:cs="仿宋_GB2312"/>
          <w:b w:val="0"/>
          <w:bCs/>
          <w:i w:val="0"/>
          <w:caps w:val="0"/>
          <w:color w:val="000000" w:themeColor="text1"/>
          <w:spacing w:val="0"/>
          <w:sz w:val="32"/>
          <w:szCs w:val="32"/>
          <w:shd w:val="clear" w:fill="FFFFFF"/>
          <w:lang w:eastAsia="zh-CN"/>
          <w14:textFill>
            <w14:solidFill>
              <w14:schemeClr w14:val="tx1"/>
            </w14:solidFill>
          </w14:textFill>
        </w:rPr>
        <w:t>新增人口或历史遗留问题</w:t>
      </w:r>
      <w:r>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t>用地;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t>（三）政策法规允许的二三产业用地；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t>（四）推广新技术、新耕作制度、新品种的试验、繁育及种植</w:t>
      </w:r>
      <w:r>
        <w:rPr>
          <w:rFonts w:hint="eastAsia" w:ascii="仿宋_GB2312" w:hAnsi="仿宋_GB2312" w:eastAsia="仿宋_GB2312" w:cs="仿宋_GB2312"/>
          <w:b w:val="0"/>
          <w:bCs/>
          <w:i w:val="0"/>
          <w:caps w:val="0"/>
          <w:color w:val="000000" w:themeColor="text1"/>
          <w:spacing w:val="0"/>
          <w:sz w:val="32"/>
          <w:szCs w:val="32"/>
          <w:shd w:val="clear" w:fill="FFFFFF"/>
          <w:lang w:eastAsia="zh-CN"/>
          <w14:textFill>
            <w14:solidFill>
              <w14:schemeClr w14:val="tx1"/>
            </w14:solidFill>
          </w14:textFill>
        </w:rPr>
        <w:t>等</w:t>
      </w:r>
      <w:r>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t>的示范用地;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t>（</w:t>
      </w:r>
      <w:r>
        <w:rPr>
          <w:rFonts w:hint="eastAsia" w:ascii="仿宋_GB2312" w:hAnsi="仿宋_GB2312" w:eastAsia="仿宋_GB2312" w:cs="仿宋_GB2312"/>
          <w:b w:val="0"/>
          <w:bCs/>
          <w:i w:val="0"/>
          <w:caps w:val="0"/>
          <w:color w:val="000000" w:themeColor="text1"/>
          <w:spacing w:val="0"/>
          <w:sz w:val="32"/>
          <w:szCs w:val="32"/>
          <w:shd w:val="clear" w:fill="FFFFFF"/>
          <w:lang w:eastAsia="zh-CN"/>
          <w14:textFill>
            <w14:solidFill>
              <w14:schemeClr w14:val="tx1"/>
            </w14:solidFill>
          </w14:textFill>
        </w:rPr>
        <w:t>五</w:t>
      </w:r>
      <w:r>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t>）国家法律、法规规定的社会救济、</w:t>
      </w:r>
      <w:r>
        <w:rPr>
          <w:rFonts w:hint="eastAsia" w:ascii="仿宋_GB2312" w:hAnsi="仿宋_GB2312" w:eastAsia="仿宋_GB2312" w:cs="仿宋_GB2312"/>
          <w:b w:val="0"/>
          <w:bCs/>
          <w:i w:val="0"/>
          <w:caps w:val="0"/>
          <w:color w:val="000000" w:themeColor="text1"/>
          <w:spacing w:val="0"/>
          <w:sz w:val="32"/>
          <w:szCs w:val="32"/>
          <w:shd w:val="clear" w:fill="FFFFFF"/>
          <w:lang w:eastAsia="zh-CN"/>
          <w14:textFill>
            <w14:solidFill>
              <w14:schemeClr w14:val="tx1"/>
            </w14:solidFill>
          </w14:textFill>
        </w:rPr>
        <w:t>赈</w:t>
      </w:r>
      <w:r>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t>灾救助等性质的临时用地</w:t>
      </w:r>
      <w:r>
        <w:rPr>
          <w:rFonts w:hint="eastAsia" w:ascii="仿宋_GB2312" w:hAnsi="仿宋_GB2312" w:eastAsia="仿宋_GB2312" w:cs="仿宋_GB2312"/>
          <w:b w:val="0"/>
          <w:bCs/>
          <w:i w:val="0"/>
          <w:caps w:val="0"/>
          <w:color w:val="000000" w:themeColor="text1"/>
          <w:spacing w:val="0"/>
          <w:sz w:val="32"/>
          <w:szCs w:val="32"/>
          <w:shd w:val="clear" w:fill="FFFFFF"/>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jc w:val="left"/>
        <w:textAlignment w:val="auto"/>
        <w:rPr>
          <w:rFonts w:hint="eastAsia" w:ascii="仿宋_GB2312" w:hAnsi="仿宋_GB2312" w:eastAsia="仿宋_GB2312" w:cs="仿宋_GB2312"/>
          <w:b w:val="0"/>
          <w:bCs/>
          <w:i w:val="0"/>
          <w:caps w:val="0"/>
          <w:color w:val="000000" w:themeColor="text1"/>
          <w:spacing w:val="0"/>
          <w:sz w:val="32"/>
          <w:szCs w:val="32"/>
          <w:shd w:val="clear" w:fill="FFFFFF"/>
          <w:lang w:eastAsia="zh-CN"/>
          <w14:textFill>
            <w14:solidFill>
              <w14:schemeClr w14:val="tx1"/>
            </w14:solidFill>
          </w14:textFill>
        </w:rPr>
      </w:pPr>
      <w:r>
        <w:rPr>
          <w:rFonts w:hint="eastAsia" w:ascii="仿宋_GB2312" w:hAnsi="仿宋_GB2312" w:eastAsia="仿宋_GB2312" w:cs="仿宋_GB2312"/>
          <w:b/>
          <w:bCs w:val="0"/>
          <w:i w:val="0"/>
          <w:caps w:val="0"/>
          <w:color w:val="000000" w:themeColor="text1"/>
          <w:spacing w:val="0"/>
          <w:sz w:val="32"/>
          <w:szCs w:val="32"/>
          <w:shd w:val="clear" w:fill="FFFFFF"/>
          <w:lang w:eastAsia="zh-CN"/>
          <w14:textFill>
            <w14:solidFill>
              <w14:schemeClr w14:val="tx1"/>
            </w14:solidFill>
          </w14:textFill>
        </w:rPr>
        <w:t>第</w:t>
      </w:r>
      <w:r>
        <w:rPr>
          <w:rFonts w:hint="eastAsia" w:ascii="仿宋_GB2312" w:hAnsi="仿宋_GB2312" w:eastAsia="仿宋_GB2312" w:cs="仿宋_GB2312"/>
          <w:b/>
          <w:bCs w:val="0"/>
          <w:i w:val="0"/>
          <w:caps w:val="0"/>
          <w:color w:val="000000" w:themeColor="text1"/>
          <w:spacing w:val="0"/>
          <w:sz w:val="32"/>
          <w:szCs w:val="32"/>
          <w:shd w:val="clear" w:fill="FFFFFF"/>
          <w:lang w:val="en-US" w:eastAsia="zh-CN"/>
          <w14:textFill>
            <w14:solidFill>
              <w14:schemeClr w14:val="tx1"/>
            </w14:solidFill>
          </w14:textFill>
        </w:rPr>
        <w:t>七</w:t>
      </w:r>
      <w:r>
        <w:rPr>
          <w:rFonts w:hint="eastAsia" w:ascii="仿宋_GB2312" w:hAnsi="仿宋_GB2312" w:eastAsia="仿宋_GB2312" w:cs="仿宋_GB2312"/>
          <w:b/>
          <w:bCs w:val="0"/>
          <w:i w:val="0"/>
          <w:caps w:val="0"/>
          <w:color w:val="000000" w:themeColor="text1"/>
          <w:spacing w:val="0"/>
          <w:sz w:val="32"/>
          <w:szCs w:val="32"/>
          <w:shd w:val="clear" w:fill="FFFFFF"/>
          <w:lang w:eastAsia="zh-CN"/>
          <w14:textFill>
            <w14:solidFill>
              <w14:schemeClr w14:val="tx1"/>
            </w14:solidFill>
          </w14:textFill>
        </w:rPr>
        <w:t>条</w:t>
      </w:r>
      <w:r>
        <w:rPr>
          <w:rFonts w:hint="eastAsia" w:ascii="仿宋_GB2312" w:hAnsi="仿宋_GB2312" w:eastAsia="仿宋_GB2312" w:cs="仿宋_GB2312"/>
          <w:b w:val="0"/>
          <w:bCs/>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t>机动地发包坚持的原则</w:t>
      </w:r>
      <w:r>
        <w:rPr>
          <w:rFonts w:hint="eastAsia" w:ascii="仿宋_GB2312" w:hAnsi="仿宋_GB2312" w:eastAsia="仿宋_GB2312" w:cs="仿宋_GB2312"/>
          <w:b w:val="0"/>
          <w:bCs/>
          <w:i w:val="0"/>
          <w:caps w:val="0"/>
          <w:color w:val="000000" w:themeColor="text1"/>
          <w:spacing w:val="0"/>
          <w:sz w:val="32"/>
          <w:szCs w:val="32"/>
          <w:shd w:val="clear" w:fill="FFFFFF"/>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sz w:val="32"/>
          <w:szCs w:val="32"/>
          <w:shd w:val="clear" w:fill="FFFFFF"/>
          <w:lang w:eastAsia="zh-CN"/>
          <w14:textFill>
            <w14:solidFill>
              <w14:schemeClr w14:val="tx1"/>
            </w14:solidFill>
          </w14:textFill>
        </w:rPr>
        <w:t>（一）</w:t>
      </w:r>
      <w:r>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t>坚持</w:t>
      </w:r>
      <w:r>
        <w:rPr>
          <w:rFonts w:hint="eastAsia" w:ascii="仿宋_GB2312" w:hAnsi="仿宋_GB2312" w:eastAsia="仿宋_GB2312" w:cs="仿宋_GB2312"/>
          <w:b w:val="0"/>
          <w:bCs/>
          <w:i w:val="0"/>
          <w:caps w:val="0"/>
          <w:color w:val="000000" w:themeColor="text1"/>
          <w:spacing w:val="0"/>
          <w:sz w:val="32"/>
          <w:szCs w:val="32"/>
          <w:shd w:val="clear" w:fill="FFFFFF"/>
          <w:lang w:eastAsia="zh-CN"/>
          <w14:textFill>
            <w14:solidFill>
              <w14:schemeClr w14:val="tx1"/>
            </w14:solidFill>
          </w14:textFill>
        </w:rPr>
        <w:t>党的领导和</w:t>
      </w:r>
      <w:r>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t>民主协商、</w:t>
      </w:r>
      <w:r>
        <w:rPr>
          <w:rFonts w:hint="default"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t>公平合理</w:t>
      </w:r>
      <w:r>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t>、成员优先的原则。在机动地</w:t>
      </w:r>
      <w:r>
        <w:rPr>
          <w:rFonts w:hint="eastAsia" w:ascii="仿宋_GB2312" w:hAnsi="仿宋_GB2312" w:eastAsia="仿宋_GB2312" w:cs="仿宋_GB2312"/>
          <w:b w:val="0"/>
          <w:bCs/>
          <w:i w:val="0"/>
          <w:caps w:val="0"/>
          <w:color w:val="000000" w:themeColor="text1"/>
          <w:spacing w:val="0"/>
          <w:sz w:val="32"/>
          <w:szCs w:val="32"/>
          <w:shd w:val="clear" w:fill="FFFFFF"/>
          <w:lang w:eastAsia="zh-CN"/>
          <w14:textFill>
            <w14:solidFill>
              <w14:schemeClr w14:val="tx1"/>
            </w14:solidFill>
          </w14:textFill>
        </w:rPr>
        <w:t>发</w:t>
      </w:r>
      <w:r>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t>包过程中，落实招投标的有关规定，确保同等条件下，集体经济组织成员</w:t>
      </w:r>
      <w:r>
        <w:rPr>
          <w:rFonts w:hint="eastAsia" w:ascii="仿宋_GB2312" w:hAnsi="仿宋_GB2312" w:eastAsia="仿宋_GB2312" w:cs="仿宋_GB2312"/>
          <w:b w:val="0"/>
          <w:bCs/>
          <w:i w:val="0"/>
          <w:caps w:val="0"/>
          <w:color w:val="000000" w:themeColor="text1"/>
          <w:spacing w:val="0"/>
          <w:sz w:val="32"/>
          <w:szCs w:val="32"/>
          <w:shd w:val="clear" w:fill="FFFFFF"/>
          <w:lang w:eastAsia="zh-CN"/>
          <w14:textFill>
            <w14:solidFill>
              <w14:schemeClr w14:val="tx1"/>
            </w14:solidFill>
          </w14:textFill>
        </w:rPr>
        <w:t>和该村村民</w:t>
      </w:r>
      <w:r>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t>优先承包</w:t>
      </w:r>
      <w:r>
        <w:rPr>
          <w:rFonts w:hint="eastAsia" w:ascii="仿宋_GB2312" w:hAnsi="仿宋_GB2312" w:eastAsia="仿宋_GB2312" w:cs="仿宋_GB2312"/>
          <w:b w:val="0"/>
          <w:bCs/>
          <w:i w:val="0"/>
          <w:caps w:val="0"/>
          <w:color w:val="000000" w:themeColor="text1"/>
          <w:spacing w:val="0"/>
          <w:sz w:val="32"/>
          <w:szCs w:val="32"/>
          <w:shd w:val="clear" w:fill="FFFFFF"/>
          <w:lang w:eastAsia="zh-CN"/>
          <w14:textFill>
            <w14:solidFill>
              <w14:schemeClr w14:val="tx1"/>
            </w14:solidFill>
          </w14:textFill>
        </w:rPr>
        <w:t>。除规定的粮食种植外，</w:t>
      </w:r>
      <w:r>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t>严禁</w:t>
      </w:r>
      <w:r>
        <w:rPr>
          <w:rFonts w:hint="eastAsia" w:ascii="仿宋_GB2312" w:hAnsi="仿宋_GB2312" w:eastAsia="仿宋_GB2312" w:cs="仿宋_GB2312"/>
          <w:b w:val="0"/>
          <w:bCs/>
          <w:i w:val="0"/>
          <w:caps w:val="0"/>
          <w:color w:val="000000" w:themeColor="text1"/>
          <w:spacing w:val="0"/>
          <w:sz w:val="32"/>
          <w:szCs w:val="32"/>
          <w:shd w:val="clear" w:fill="FFFFFF"/>
          <w:lang w:eastAsia="zh-CN"/>
          <w14:textFill>
            <w14:solidFill>
              <w14:schemeClr w14:val="tx1"/>
            </w14:solidFill>
          </w14:textFill>
        </w:rPr>
        <w:t>将大范围</w:t>
      </w:r>
      <w:r>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t>机动地平均划分和低价均包</w:t>
      </w:r>
      <w:r>
        <w:rPr>
          <w:rFonts w:hint="eastAsia" w:ascii="仿宋_GB2312" w:hAnsi="仿宋_GB2312" w:eastAsia="仿宋_GB2312" w:cs="仿宋_GB2312"/>
          <w:b w:val="0"/>
          <w:bCs/>
          <w:i w:val="0"/>
          <w:caps w:val="0"/>
          <w:color w:val="000000" w:themeColor="text1"/>
          <w:spacing w:val="0"/>
          <w:sz w:val="32"/>
          <w:szCs w:val="32"/>
          <w:shd w:val="clear" w:fill="FFFFFF"/>
          <w:lang w:eastAsia="zh-CN"/>
          <w14:textFill>
            <w14:solidFill>
              <w14:schemeClr w14:val="tx1"/>
            </w14:solidFill>
          </w14:textFill>
        </w:rPr>
        <w:t>，禁止</w:t>
      </w:r>
      <w:r>
        <w:rPr>
          <w:rFonts w:hint="eastAsia" w:ascii="仿宋_GB2312" w:hAnsi="仿宋_GB2312" w:eastAsia="仿宋_GB2312" w:cs="仿宋_GB2312"/>
          <w:b w:val="0"/>
          <w:bCs/>
          <w:i w:val="0"/>
          <w:caps w:val="0"/>
          <w:color w:val="000000" w:themeColor="text1"/>
          <w:spacing w:val="0"/>
          <w:sz w:val="32"/>
          <w:szCs w:val="32"/>
          <w:shd w:val="clear" w:fill="FFFFFF"/>
          <w:lang w:val="en-US" w:eastAsia="zh-CN"/>
          <w14:textFill>
            <w14:solidFill>
              <w14:schemeClr w14:val="tx1"/>
            </w14:solidFill>
          </w14:textFill>
        </w:rPr>
        <w:t>反租倒包或</w:t>
      </w:r>
      <w:r>
        <w:rPr>
          <w:rFonts w:hint="eastAsia" w:ascii="仿宋_GB2312" w:hAnsi="仿宋_GB2312" w:eastAsia="仿宋_GB2312" w:cs="仿宋_GB2312"/>
          <w:b w:val="0"/>
          <w:bCs/>
          <w:i w:val="0"/>
          <w:caps w:val="0"/>
          <w:color w:val="000000" w:themeColor="text1"/>
          <w:spacing w:val="0"/>
          <w:sz w:val="32"/>
          <w:szCs w:val="32"/>
          <w:shd w:val="clear" w:fill="FFFFFF"/>
          <w:lang w:eastAsia="zh-CN"/>
          <w14:textFill>
            <w14:solidFill>
              <w14:schemeClr w14:val="tx1"/>
            </w14:solidFill>
          </w14:textFill>
        </w:rPr>
        <w:t>低价流转后</w:t>
      </w:r>
      <w:r>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t>高价强包给</w:t>
      </w:r>
      <w:r>
        <w:rPr>
          <w:rFonts w:hint="eastAsia" w:ascii="仿宋_GB2312" w:hAnsi="仿宋_GB2312" w:eastAsia="仿宋_GB2312" w:cs="仿宋_GB2312"/>
          <w:b w:val="0"/>
          <w:bCs/>
          <w:i w:val="0"/>
          <w:caps w:val="0"/>
          <w:color w:val="000000" w:themeColor="text1"/>
          <w:spacing w:val="0"/>
          <w:sz w:val="32"/>
          <w:szCs w:val="32"/>
          <w:shd w:val="clear" w:fill="FFFFFF"/>
          <w:lang w:eastAsia="zh-CN"/>
          <w14:textFill>
            <w14:solidFill>
              <w14:schemeClr w14:val="tx1"/>
            </w14:solidFill>
          </w14:textFill>
        </w:rPr>
        <w:t>农牧民</w:t>
      </w:r>
      <w:r>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t>（二）兼顾国家、集体、个人三者利益；</w:t>
      </w:r>
      <w:r>
        <w:rPr>
          <w:rFonts w:hint="eastAsia" w:ascii="仿宋_GB2312" w:hAnsi="仿宋_GB2312" w:eastAsia="仿宋_GB2312" w:cs="仿宋_GB2312"/>
          <w:b w:val="0"/>
          <w:bCs/>
          <w:i w:val="0"/>
          <w:caps w:val="0"/>
          <w:color w:val="000000" w:themeColor="text1"/>
          <w:spacing w:val="0"/>
          <w:sz w:val="32"/>
          <w:szCs w:val="32"/>
          <w:shd w:val="clear" w:fill="FFFFFF"/>
          <w:lang w:eastAsia="zh-CN"/>
          <w14:textFill>
            <w14:solidFill>
              <w14:schemeClr w14:val="tx1"/>
            </w14:solidFill>
          </w14:textFill>
        </w:rPr>
        <w:t>为解决历史遗留问题等，确权切割地，村集体地边子，林边子、渠边子、路边子等零</w:t>
      </w:r>
      <w:r>
        <w:rPr>
          <w:rFonts w:hint="eastAsia" w:ascii="仿宋_GB2312" w:hAnsi="仿宋_GB2312" w:eastAsia="仿宋_GB2312" w:cs="仿宋_GB2312"/>
          <w:b w:val="0"/>
          <w:bCs/>
          <w:i w:val="0"/>
          <w:caps w:val="0"/>
          <w:color w:val="000000" w:themeColor="text1"/>
          <w:spacing w:val="0"/>
          <w:sz w:val="32"/>
          <w:szCs w:val="32"/>
          <w:shd w:val="clear" w:fill="FFFFFF"/>
          <w:lang w:val="en-US" w:eastAsia="zh-CN"/>
          <w14:textFill>
            <w14:solidFill>
              <w14:schemeClr w14:val="tx1"/>
            </w14:solidFill>
          </w14:textFill>
        </w:rPr>
        <w:t>散边角地归集体所有，由村集体经济组织向乡（镇）人民政府书面申请议价承包，经乡（镇）分管领导批复同意，公示确认后由村集体经济组织负责实施</w:t>
      </w:r>
      <w:r>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t>（三）</w:t>
      </w:r>
      <w:r>
        <w:rPr>
          <w:rFonts w:hint="eastAsia" w:ascii="仿宋_GB2312" w:hAnsi="仿宋_GB2312" w:eastAsia="仿宋_GB2312" w:cs="仿宋_GB2312"/>
          <w:b w:val="0"/>
          <w:bCs/>
          <w:i w:val="0"/>
          <w:caps w:val="0"/>
          <w:color w:val="000000" w:themeColor="text1"/>
          <w:spacing w:val="0"/>
          <w:sz w:val="32"/>
          <w:szCs w:val="32"/>
          <w:shd w:val="clear" w:fill="FFFFFF"/>
          <w:lang w:val="en-US" w:eastAsia="zh-CN"/>
          <w14:textFill>
            <w14:solidFill>
              <w14:schemeClr w14:val="tx1"/>
            </w14:solidFill>
          </w14:textFill>
        </w:rPr>
        <w:t>不得以村集体经济组织班子成员、成员代表通过联合签名等形式代替集体经济组织的“三会”决议；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t>（</w:t>
      </w:r>
      <w:r>
        <w:rPr>
          <w:rFonts w:hint="eastAsia" w:ascii="仿宋_GB2312" w:hAnsi="仿宋_GB2312" w:eastAsia="仿宋_GB2312" w:cs="仿宋_GB2312"/>
          <w:b w:val="0"/>
          <w:bCs/>
          <w:i w:val="0"/>
          <w:caps w:val="0"/>
          <w:color w:val="000000" w:themeColor="text1"/>
          <w:spacing w:val="0"/>
          <w:sz w:val="32"/>
          <w:szCs w:val="32"/>
          <w:shd w:val="clear" w:fill="FFFFFF"/>
          <w:lang w:eastAsia="zh-CN"/>
          <w14:textFill>
            <w14:solidFill>
              <w14:schemeClr w14:val="tx1"/>
            </w14:solidFill>
          </w14:textFill>
        </w:rPr>
        <w:t>四</w:t>
      </w:r>
      <w:r>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t>）合理开发、</w:t>
      </w:r>
      <w:r>
        <w:rPr>
          <w:rFonts w:hint="eastAsia" w:ascii="仿宋_GB2312" w:hAnsi="仿宋_GB2312" w:eastAsia="仿宋_GB2312" w:cs="仿宋_GB2312"/>
          <w:b w:val="0"/>
          <w:bCs/>
          <w:i w:val="0"/>
          <w:caps w:val="0"/>
          <w:color w:val="000000" w:themeColor="text1"/>
          <w:spacing w:val="0"/>
          <w:sz w:val="32"/>
          <w:szCs w:val="32"/>
          <w:shd w:val="clear" w:fill="FFFFFF"/>
          <w:lang w:eastAsia="zh-CN"/>
          <w14:textFill>
            <w14:solidFill>
              <w14:schemeClr w14:val="tx1"/>
            </w14:solidFill>
          </w14:textFill>
        </w:rPr>
        <w:t>生态</w:t>
      </w:r>
      <w:r>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t>保护和可持续利用土地资源；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t>（</w:t>
      </w:r>
      <w:r>
        <w:rPr>
          <w:rFonts w:hint="eastAsia" w:ascii="仿宋_GB2312" w:hAnsi="仿宋_GB2312" w:eastAsia="仿宋_GB2312" w:cs="仿宋_GB2312"/>
          <w:b w:val="0"/>
          <w:bCs/>
          <w:i w:val="0"/>
          <w:caps w:val="0"/>
          <w:color w:val="000000" w:themeColor="text1"/>
          <w:spacing w:val="0"/>
          <w:sz w:val="32"/>
          <w:szCs w:val="32"/>
          <w:shd w:val="clear" w:fill="FFFFFF"/>
          <w:lang w:eastAsia="zh-CN"/>
          <w14:textFill>
            <w14:solidFill>
              <w14:schemeClr w14:val="tx1"/>
            </w14:solidFill>
          </w14:textFill>
        </w:rPr>
        <w:t>五</w:t>
      </w:r>
      <w:r>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t>）有利于</w:t>
      </w:r>
      <w:r>
        <w:rPr>
          <w:rFonts w:hint="eastAsia" w:ascii="仿宋_GB2312" w:hAnsi="仿宋_GB2312" w:eastAsia="仿宋_GB2312" w:cs="仿宋_GB2312"/>
          <w:b w:val="0"/>
          <w:bCs/>
          <w:i w:val="0"/>
          <w:caps w:val="0"/>
          <w:color w:val="000000" w:themeColor="text1"/>
          <w:spacing w:val="0"/>
          <w:sz w:val="32"/>
          <w:szCs w:val="32"/>
          <w:shd w:val="clear" w:fill="FFFFFF"/>
          <w:lang w:eastAsia="zh-CN"/>
          <w14:textFill>
            <w14:solidFill>
              <w14:schemeClr w14:val="tx1"/>
            </w14:solidFill>
          </w14:textFill>
        </w:rPr>
        <w:t>集体经济的发展壮大</w:t>
      </w:r>
      <w:r>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t>（</w:t>
      </w:r>
      <w:r>
        <w:rPr>
          <w:rFonts w:hint="eastAsia" w:ascii="仿宋_GB2312" w:hAnsi="仿宋_GB2312" w:eastAsia="仿宋_GB2312" w:cs="仿宋_GB2312"/>
          <w:b w:val="0"/>
          <w:bCs/>
          <w:i w:val="0"/>
          <w:caps w:val="0"/>
          <w:color w:val="000000" w:themeColor="text1"/>
          <w:spacing w:val="0"/>
          <w:sz w:val="32"/>
          <w:szCs w:val="32"/>
          <w:shd w:val="clear" w:fill="FFFFFF"/>
          <w:lang w:eastAsia="zh-CN"/>
          <w14:textFill>
            <w14:solidFill>
              <w14:schemeClr w14:val="tx1"/>
            </w14:solidFill>
          </w14:textFill>
        </w:rPr>
        <w:t>六</w:t>
      </w:r>
      <w:r>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t>）承包程序合法；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t>（</w:t>
      </w:r>
      <w:r>
        <w:rPr>
          <w:rFonts w:hint="eastAsia" w:ascii="仿宋_GB2312" w:hAnsi="仿宋_GB2312" w:eastAsia="仿宋_GB2312" w:cs="仿宋_GB2312"/>
          <w:b w:val="0"/>
          <w:bCs/>
          <w:i w:val="0"/>
          <w:caps w:val="0"/>
          <w:color w:val="000000" w:themeColor="text1"/>
          <w:spacing w:val="0"/>
          <w:sz w:val="32"/>
          <w:szCs w:val="32"/>
          <w:shd w:val="clear" w:fill="FFFFFF"/>
          <w:lang w:eastAsia="zh-CN"/>
          <w14:textFill>
            <w14:solidFill>
              <w14:schemeClr w14:val="tx1"/>
            </w14:solidFill>
          </w14:textFill>
        </w:rPr>
        <w:t>七</w:t>
      </w:r>
      <w:r>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t>）遵守有关法律、法规</w:t>
      </w:r>
      <w:r>
        <w:rPr>
          <w:rFonts w:hint="eastAsia" w:ascii="仿宋_GB2312" w:hAnsi="仿宋_GB2312" w:eastAsia="仿宋_GB2312" w:cs="仿宋_GB2312"/>
          <w:b w:val="0"/>
          <w:bCs/>
          <w:i w:val="0"/>
          <w:caps w:val="0"/>
          <w:color w:val="000000" w:themeColor="text1"/>
          <w:spacing w:val="0"/>
          <w:sz w:val="32"/>
          <w:szCs w:val="32"/>
          <w:shd w:val="clear" w:fill="FFFFFF"/>
          <w:lang w:eastAsia="zh-CN"/>
          <w14:textFill>
            <w14:solidFill>
              <w14:schemeClr w14:val="tx1"/>
            </w14:solidFill>
          </w14:textFill>
        </w:rPr>
        <w:t>和政策</w:t>
      </w:r>
      <w:r>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jc w:val="left"/>
        <w:textAlignment w:val="auto"/>
        <w:rPr>
          <w:rFonts w:hint="eastAsia" w:ascii="仿宋_GB2312" w:hAnsi="仿宋_GB2312" w:eastAsia="仿宋_GB2312" w:cs="仿宋_GB2312"/>
          <w:b w:val="0"/>
          <w:bCs/>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bCs w:val="0"/>
          <w:i w:val="0"/>
          <w:caps w:val="0"/>
          <w:color w:val="000000" w:themeColor="text1"/>
          <w:spacing w:val="0"/>
          <w:sz w:val="32"/>
          <w:szCs w:val="32"/>
          <w:shd w:val="clear" w:fill="FFFFFF"/>
          <w:lang w:eastAsia="zh-CN"/>
          <w14:textFill>
            <w14:solidFill>
              <w14:schemeClr w14:val="tx1"/>
            </w14:solidFill>
          </w14:textFill>
        </w:rPr>
        <w:t>第</w:t>
      </w:r>
      <w:r>
        <w:rPr>
          <w:rFonts w:hint="eastAsia" w:ascii="仿宋_GB2312" w:hAnsi="仿宋_GB2312" w:eastAsia="仿宋_GB2312" w:cs="仿宋_GB2312"/>
          <w:b/>
          <w:bCs w:val="0"/>
          <w:i w:val="0"/>
          <w:caps w:val="0"/>
          <w:color w:val="000000" w:themeColor="text1"/>
          <w:spacing w:val="0"/>
          <w:sz w:val="32"/>
          <w:szCs w:val="32"/>
          <w:shd w:val="clear" w:fill="FFFFFF"/>
          <w:lang w:val="en-US" w:eastAsia="zh-CN"/>
          <w14:textFill>
            <w14:solidFill>
              <w14:schemeClr w14:val="tx1"/>
            </w14:solidFill>
          </w14:textFill>
        </w:rPr>
        <w:t>八</w:t>
      </w:r>
      <w:r>
        <w:rPr>
          <w:rFonts w:hint="eastAsia" w:ascii="仿宋_GB2312" w:hAnsi="仿宋_GB2312" w:eastAsia="仿宋_GB2312" w:cs="仿宋_GB2312"/>
          <w:b/>
          <w:bCs w:val="0"/>
          <w:i w:val="0"/>
          <w:caps w:val="0"/>
          <w:color w:val="000000" w:themeColor="text1"/>
          <w:spacing w:val="0"/>
          <w:sz w:val="32"/>
          <w:szCs w:val="32"/>
          <w:shd w:val="clear" w:fill="FFFFFF"/>
          <w:lang w:eastAsia="zh-CN"/>
          <w14:textFill>
            <w14:solidFill>
              <w14:schemeClr w14:val="tx1"/>
            </w14:solidFill>
          </w14:textFill>
        </w:rPr>
        <w:t>条</w:t>
      </w:r>
      <w:r>
        <w:rPr>
          <w:rFonts w:hint="eastAsia" w:ascii="仿宋_GB2312" w:hAnsi="仿宋_GB2312" w:eastAsia="仿宋_GB2312" w:cs="仿宋_GB2312"/>
          <w:b w:val="0"/>
          <w:bCs/>
          <w:i w:val="0"/>
          <w:caps w:val="0"/>
          <w:color w:val="000000" w:themeColor="text1"/>
          <w:spacing w:val="0"/>
          <w:sz w:val="32"/>
          <w:szCs w:val="32"/>
          <w:shd w:val="clear" w:fill="FFFFFF"/>
          <w:lang w:val="en-US" w:eastAsia="zh-CN"/>
          <w14:textFill>
            <w14:solidFill>
              <w14:schemeClr w14:val="tx1"/>
            </w14:solidFill>
          </w14:textFill>
        </w:rPr>
        <w:t xml:space="preserve"> 土地经营权流转不得损害农村集体经济组织和利害关系人的合法权益，不得破坏农业综合生产能力和农业生态环境，不得改变承包土地的所有权性质及其农业用途，确保农地农用，优先用于粮食生产，制止耕地“非农化”、防止耕地“撂荒化”。分类明确耕地用途，严格落实耕地利用优先序，耕地主要用于粮食和棉、油、糖、蔬菜等农产品及饲草饲料生产，引导新发展林果业上山上坡，鼓励利用“四荒”资源，不与粮争地。引导和鼓励农民群众树牢粮食安全意识，发展粮食生产的浓厚氛围。鼓励农牧民在二轮承包地上多种粮、种好粮，县、乡（镇）、村集体经济组织可以给予相应的政策倾斜或适当的资金奖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jc w:val="left"/>
        <w:textAlignment w:val="auto"/>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b/>
          <w:bCs w:val="0"/>
          <w:i w:val="0"/>
          <w:caps w:val="0"/>
          <w:color w:val="000000" w:themeColor="text1"/>
          <w:spacing w:val="0"/>
          <w:sz w:val="32"/>
          <w:szCs w:val="32"/>
          <w:shd w:val="clear" w:fill="FFFFFF"/>
          <w:lang w:eastAsia="zh-CN"/>
          <w14:textFill>
            <w14:solidFill>
              <w14:schemeClr w14:val="tx1"/>
            </w14:solidFill>
          </w14:textFill>
        </w:rPr>
        <w:t>第</w:t>
      </w:r>
      <w:r>
        <w:rPr>
          <w:rFonts w:hint="eastAsia" w:ascii="仿宋_GB2312" w:hAnsi="仿宋_GB2312" w:eastAsia="仿宋_GB2312" w:cs="仿宋_GB2312"/>
          <w:b/>
          <w:bCs w:val="0"/>
          <w:i w:val="0"/>
          <w:caps w:val="0"/>
          <w:color w:val="000000" w:themeColor="text1"/>
          <w:spacing w:val="0"/>
          <w:sz w:val="32"/>
          <w:szCs w:val="32"/>
          <w:shd w:val="clear" w:fill="FFFFFF"/>
          <w:lang w:val="en-US" w:eastAsia="zh-CN"/>
          <w14:textFill>
            <w14:solidFill>
              <w14:schemeClr w14:val="tx1"/>
            </w14:solidFill>
          </w14:textFill>
        </w:rPr>
        <w:t>九</w:t>
      </w:r>
      <w:r>
        <w:rPr>
          <w:rFonts w:hint="eastAsia" w:ascii="仿宋_GB2312" w:hAnsi="仿宋_GB2312" w:eastAsia="仿宋_GB2312" w:cs="仿宋_GB2312"/>
          <w:b/>
          <w:bCs w:val="0"/>
          <w:i w:val="0"/>
          <w:caps w:val="0"/>
          <w:color w:val="000000" w:themeColor="text1"/>
          <w:spacing w:val="0"/>
          <w:sz w:val="32"/>
          <w:szCs w:val="32"/>
          <w:shd w:val="clear" w:fill="FFFFFF"/>
          <w:lang w:eastAsia="zh-CN"/>
          <w14:textFill>
            <w14:solidFill>
              <w14:schemeClr w14:val="tx1"/>
            </w14:solidFill>
          </w14:textFill>
        </w:rPr>
        <w:t>条</w:t>
      </w:r>
      <w:r>
        <w:rPr>
          <w:rFonts w:hint="eastAsia" w:ascii="仿宋_GB2312" w:hAnsi="仿宋_GB2312" w:eastAsia="仿宋_GB2312" w:cs="仿宋_GB2312"/>
          <w:b/>
          <w:bCs w:val="0"/>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b w:val="0"/>
          <w:bCs/>
          <w:i w:val="0"/>
          <w:caps w:val="0"/>
          <w:color w:val="000000" w:themeColor="text1"/>
          <w:spacing w:val="0"/>
          <w:sz w:val="32"/>
          <w:szCs w:val="32"/>
          <w:shd w:val="clear" w:fill="FFFFFF"/>
          <w:lang w:val="en-US" w:eastAsia="zh-CN"/>
          <w14:textFill>
            <w14:solidFill>
              <w14:schemeClr w14:val="tx1"/>
            </w14:solidFill>
          </w14:textFill>
        </w:rPr>
        <w:t>鼓励村集体通过流转或利用集体机动地、荒地以及其它土地和资源，依法开展规模化种粮，发展现代特色农业、品牌农业和生态循环农业。用于粮食种植的土地可采取协商议价，防止种粮承包户收益倒挂，合理保障承包方种粮收益。鼓励村集体经济组织通过“土地托管”等方式种植粮食等作物，形成规模化种植，体现土地整合规划、种植技术、农资价格、亩产效益等方面的集中优势和增收效果。支持村集体经济组织和村党支部创办或领办农业经营、劳务服务等各类农民专业合作社，为各类市场主体尤其是粮食等生产经营主体提供产前、产中、产后服务，促进农业产业链延伸，在更高层次、更大范围内实现一二三产业融合发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jc w:val="left"/>
        <w:textAlignment w:val="auto"/>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b/>
          <w:bCs w:val="0"/>
          <w:i w:val="0"/>
          <w:caps w:val="0"/>
          <w:color w:val="000000" w:themeColor="text1"/>
          <w:spacing w:val="0"/>
          <w:sz w:val="32"/>
          <w:szCs w:val="32"/>
          <w:shd w:val="clear" w:fill="FFFFFF"/>
          <w:lang w:eastAsia="zh-CN"/>
          <w14:textFill>
            <w14:solidFill>
              <w14:schemeClr w14:val="tx1"/>
            </w14:solidFill>
          </w14:textFill>
        </w:rPr>
        <w:t>第十条</w:t>
      </w:r>
      <w:r>
        <w:rPr>
          <w:rFonts w:hint="eastAsia" w:ascii="仿宋_GB2312" w:hAnsi="仿宋_GB2312" w:eastAsia="仿宋_GB2312" w:cs="仿宋_GB2312"/>
          <w:b/>
          <w:bCs w:val="0"/>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b w:val="0"/>
          <w:bCs/>
          <w:i w:val="0"/>
          <w:caps w:val="0"/>
          <w:color w:val="000000" w:themeColor="text1"/>
          <w:spacing w:val="0"/>
          <w:sz w:val="32"/>
          <w:szCs w:val="32"/>
          <w:shd w:val="clear" w:fill="FFFFFF"/>
          <w:lang w:val="en-US" w:eastAsia="zh-CN"/>
          <w14:textFill>
            <w14:solidFill>
              <w14:schemeClr w14:val="tx1"/>
            </w14:solidFill>
          </w14:textFill>
        </w:rPr>
        <w:t>机动地权属关系不得随意改变，属于村、组（社）所有的机动地，应当分别归村、组（社）所有，机动地的发包收入归机动地所有者所有。机动地的发包期限原则上依法依规发包，最长承包期不超过5年，为解决历史遗留问题，个别发包不得超过该村二轮土地承包的剩余期间。</w:t>
      </w:r>
      <w:bookmarkStart w:id="0" w:name="16"/>
    </w:p>
    <w:bookmarkEnd w:id="0"/>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center"/>
        <w:textAlignment w:val="auto"/>
        <w:rPr>
          <w:rFonts w:hint="eastAsia" w:ascii="黑体" w:hAnsi="黑体" w:eastAsia="黑体" w:cs="黑体"/>
          <w:b w:val="0"/>
          <w:bCs/>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b w:val="0"/>
          <w:bCs/>
          <w:i w:val="0"/>
          <w:caps w:val="0"/>
          <w:color w:val="000000" w:themeColor="text1"/>
          <w:spacing w:val="0"/>
          <w:sz w:val="32"/>
          <w:szCs w:val="32"/>
          <w:shd w:val="clear" w:fill="FFFFFF"/>
          <w:lang w:eastAsia="zh-CN"/>
          <w14:textFill>
            <w14:solidFill>
              <w14:schemeClr w14:val="tx1"/>
            </w14:solidFill>
          </w14:textFill>
        </w:rPr>
        <w:t>第三章</w:t>
      </w:r>
      <w:r>
        <w:rPr>
          <w:rFonts w:hint="eastAsia" w:ascii="黑体" w:hAnsi="黑体" w:eastAsia="黑体" w:cs="黑体"/>
          <w:b w:val="0"/>
          <w:bCs/>
          <w:i w:val="0"/>
          <w:caps w:val="0"/>
          <w:color w:val="000000" w:themeColor="text1"/>
          <w:spacing w:val="0"/>
          <w:sz w:val="32"/>
          <w:szCs w:val="32"/>
          <w:shd w:val="clear" w:fill="FFFFFF"/>
          <w:lang w:val="en-US" w:eastAsia="zh-CN"/>
          <w14:textFill>
            <w14:solidFill>
              <w14:schemeClr w14:val="tx1"/>
            </w14:solidFill>
          </w14:textFill>
        </w:rPr>
        <w:t xml:space="preserve">  合同及管理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jc w:val="left"/>
        <w:textAlignment w:val="auto"/>
        <w:rPr>
          <w:rFonts w:hint="eastAsia" w:ascii="仿宋_GB2312" w:hAnsi="仿宋_GB2312" w:eastAsia="仿宋_GB2312" w:cs="仿宋_GB2312"/>
          <w:b w:val="0"/>
          <w:bCs/>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bCs w:val="0"/>
          <w:i w:val="0"/>
          <w:caps w:val="0"/>
          <w:color w:val="000000" w:themeColor="text1"/>
          <w:spacing w:val="0"/>
          <w:sz w:val="32"/>
          <w:szCs w:val="32"/>
          <w:shd w:val="clear" w:fill="FFFFFF"/>
          <w:lang w:eastAsia="zh-CN"/>
          <w14:textFill>
            <w14:solidFill>
              <w14:schemeClr w14:val="tx1"/>
            </w14:solidFill>
          </w14:textFill>
        </w:rPr>
        <w:t>第十一条</w:t>
      </w:r>
      <w:r>
        <w:rPr>
          <w:rFonts w:hint="eastAsia" w:ascii="仿宋_GB2312" w:hAnsi="仿宋_GB2312" w:eastAsia="仿宋_GB2312" w:cs="仿宋_GB2312"/>
          <w:b/>
          <w:bCs w:val="0"/>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b w:val="0"/>
          <w:bCs/>
          <w:i w:val="0"/>
          <w:caps w:val="0"/>
          <w:color w:val="000000" w:themeColor="text1"/>
          <w:spacing w:val="0"/>
          <w:sz w:val="32"/>
          <w:szCs w:val="32"/>
          <w:shd w:val="clear" w:fill="FFFFFF"/>
          <w:lang w:val="en-US" w:eastAsia="zh-CN"/>
          <w14:textFill>
            <w14:solidFill>
              <w14:schemeClr w14:val="tx1"/>
            </w14:solidFill>
          </w14:textFill>
        </w:rPr>
        <w:t>合同签订的主体不再是村民委员会，以村集体经济组织（村股份经济合作社）签订的合同有效。县、乡两级应及时录入合同等信息到农村综合产权交易管理平台。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jc w:val="left"/>
        <w:textAlignment w:val="auto"/>
        <w:rPr>
          <w:rFonts w:hint="eastAsia" w:ascii="仿宋_GB2312" w:hAnsi="仿宋_GB2312" w:eastAsia="仿宋_GB2312" w:cs="仿宋_GB2312"/>
          <w:b w:val="0"/>
          <w:bCs/>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bCs w:val="0"/>
          <w:i w:val="0"/>
          <w:caps w:val="0"/>
          <w:color w:val="000000" w:themeColor="text1"/>
          <w:spacing w:val="0"/>
          <w:sz w:val="32"/>
          <w:szCs w:val="32"/>
          <w:shd w:val="clear" w:fill="FFFFFF"/>
          <w:lang w:eastAsia="zh-CN"/>
          <w14:textFill>
            <w14:solidFill>
              <w14:schemeClr w14:val="tx1"/>
            </w14:solidFill>
          </w14:textFill>
        </w:rPr>
        <w:t>第十二条</w:t>
      </w:r>
      <w:r>
        <w:rPr>
          <w:rFonts w:hint="eastAsia" w:ascii="仿宋_GB2312" w:hAnsi="仿宋_GB2312" w:eastAsia="仿宋_GB2312" w:cs="仿宋_GB2312"/>
          <w:b/>
          <w:bCs w:val="0"/>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b w:val="0"/>
          <w:bCs/>
          <w:i w:val="0"/>
          <w:caps w:val="0"/>
          <w:color w:val="000000" w:themeColor="text1"/>
          <w:spacing w:val="0"/>
          <w:sz w:val="32"/>
          <w:szCs w:val="32"/>
          <w:shd w:val="clear" w:fill="FFFFFF"/>
          <w:lang w:val="en-US" w:eastAsia="zh-CN"/>
          <w14:textFill>
            <w14:solidFill>
              <w14:schemeClr w14:val="tx1"/>
            </w14:solidFill>
          </w14:textFill>
        </w:rPr>
        <w:t>严格合同签订程序。村集体经济组织在签订机动地发包合同前，乡（镇）农村合作经济（统计）发展中心、县农村产权交易中心严格审查发包方案、村集体经济组织经营班子讨论研究会议记录和“三会”表决结果，对合标准的、权利、义务、责任等逐项复核。机动地承包合同须经发包方和承包方双方签字，加盖集体经济组织或相关单位公章，发包方和乡（镇）农村合作经济（统计）发展中心备案后生效、县农村产权交易中心做好鉴证、合同网签等相关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jc w:val="left"/>
        <w:textAlignment w:val="auto"/>
        <w:rPr>
          <w:rFonts w:hint="eastAsia" w:ascii="仿宋_GB2312" w:hAnsi="仿宋_GB2312" w:eastAsia="仿宋_GB2312" w:cs="仿宋_GB2312"/>
          <w:b w:val="0"/>
          <w:bCs/>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bCs w:val="0"/>
          <w:i w:val="0"/>
          <w:caps w:val="0"/>
          <w:color w:val="000000" w:themeColor="text1"/>
          <w:spacing w:val="0"/>
          <w:sz w:val="32"/>
          <w:szCs w:val="32"/>
          <w:shd w:val="clear" w:fill="FFFFFF"/>
          <w:lang w:eastAsia="zh-CN"/>
          <w14:textFill>
            <w14:solidFill>
              <w14:schemeClr w14:val="tx1"/>
            </w14:solidFill>
          </w14:textFill>
        </w:rPr>
        <w:t>第十三条</w:t>
      </w:r>
      <w:r>
        <w:rPr>
          <w:rFonts w:hint="eastAsia" w:ascii="仿宋_GB2312" w:hAnsi="仿宋_GB2312" w:eastAsia="仿宋_GB2312" w:cs="仿宋_GB2312"/>
          <w:b/>
          <w:bCs w:val="0"/>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b w:val="0"/>
          <w:bCs/>
          <w:i w:val="0"/>
          <w:caps w:val="0"/>
          <w:color w:val="000000" w:themeColor="text1"/>
          <w:spacing w:val="0"/>
          <w:sz w:val="32"/>
          <w:szCs w:val="32"/>
          <w:shd w:val="clear" w:fill="FFFFFF"/>
          <w:lang w:val="en-US" w:eastAsia="zh-CN"/>
          <w14:textFill>
            <w14:solidFill>
              <w14:schemeClr w14:val="tx1"/>
            </w14:solidFill>
          </w14:textFill>
        </w:rPr>
        <w:t>资金管理。农村土地承包及流转相关费用应及时足额存入县农村集体财务核算中心规定的资金专户，纳入账内管理，任何单位和个人不得平调或挪用，不得坐支、转移、私设小金库或侵占挪用，要定期向集体经济组织成员公布。承包费用于发展壮大农村集体经济、公益事业、偿还村级债务等。农村集体机动地、四荒地承包费按合同约定交清当年的承包费，未及时缴纳承包的，发包方有权利解除承包合同并收回承包土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jc w:val="left"/>
        <w:textAlignment w:val="auto"/>
        <w:rPr>
          <w:rFonts w:hint="eastAsia" w:ascii="仿宋_GB2312" w:hAnsi="仿宋_GB2312" w:eastAsia="仿宋_GB2312" w:cs="仿宋_GB2312"/>
          <w:b w:val="0"/>
          <w:bCs/>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bCs w:val="0"/>
          <w:i w:val="0"/>
          <w:caps w:val="0"/>
          <w:color w:val="000000" w:themeColor="text1"/>
          <w:spacing w:val="0"/>
          <w:sz w:val="32"/>
          <w:szCs w:val="32"/>
          <w:shd w:val="clear" w:fill="FFFFFF"/>
          <w:lang w:eastAsia="zh-CN"/>
          <w14:textFill>
            <w14:solidFill>
              <w14:schemeClr w14:val="tx1"/>
            </w14:solidFill>
          </w14:textFill>
        </w:rPr>
        <w:t>第</w:t>
      </w:r>
      <w:r>
        <w:rPr>
          <w:rFonts w:hint="eastAsia" w:ascii="仿宋_GB2312" w:hAnsi="仿宋_GB2312" w:eastAsia="仿宋_GB2312" w:cs="仿宋_GB2312"/>
          <w:b/>
          <w:bCs w:val="0"/>
          <w:i w:val="0"/>
          <w:caps w:val="0"/>
          <w:color w:val="000000" w:themeColor="text1"/>
          <w:spacing w:val="0"/>
          <w:sz w:val="32"/>
          <w:szCs w:val="32"/>
          <w:shd w:val="clear" w:fill="FFFFFF"/>
          <w:lang w:val="en-US" w:eastAsia="zh-CN"/>
          <w14:textFill>
            <w14:solidFill>
              <w14:schemeClr w14:val="tx1"/>
            </w14:solidFill>
          </w14:textFill>
        </w:rPr>
        <w:t>十四</w:t>
      </w:r>
      <w:r>
        <w:rPr>
          <w:rFonts w:hint="eastAsia" w:ascii="仿宋_GB2312" w:hAnsi="仿宋_GB2312" w:eastAsia="仿宋_GB2312" w:cs="仿宋_GB2312"/>
          <w:b/>
          <w:bCs w:val="0"/>
          <w:i w:val="0"/>
          <w:caps w:val="0"/>
          <w:color w:val="000000" w:themeColor="text1"/>
          <w:spacing w:val="0"/>
          <w:sz w:val="32"/>
          <w:szCs w:val="32"/>
          <w:shd w:val="clear" w:fill="FFFFFF"/>
          <w:lang w:eastAsia="zh-CN"/>
          <w14:textFill>
            <w14:solidFill>
              <w14:schemeClr w14:val="tx1"/>
            </w14:solidFill>
          </w14:textFill>
        </w:rPr>
        <w:t>条</w:t>
      </w:r>
      <w:r>
        <w:rPr>
          <w:rFonts w:hint="eastAsia" w:ascii="仿宋_GB2312" w:hAnsi="仿宋_GB2312" w:eastAsia="仿宋_GB2312" w:cs="仿宋_GB2312"/>
          <w:b/>
          <w:bCs w:val="0"/>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b w:val="0"/>
          <w:bCs/>
          <w:i w:val="0"/>
          <w:caps w:val="0"/>
          <w:color w:val="000000" w:themeColor="text1"/>
          <w:spacing w:val="0"/>
          <w:sz w:val="32"/>
          <w:szCs w:val="32"/>
          <w:shd w:val="clear" w:fill="FFFFFF"/>
          <w:lang w:val="en-US" w:eastAsia="zh-CN"/>
          <w14:textFill>
            <w14:solidFill>
              <w14:schemeClr w14:val="tx1"/>
            </w14:solidFill>
          </w14:textFill>
        </w:rPr>
        <w:t>合同到期的管理。合同期限届满后，在公开发包的前提下受让方依法享有以同等条件优先续约的权利。农村集体机动地承包到期后，发包方有权收回所承包的土地。承包方在所承包土地的生产设施及相关投入，承包合同有约定的遵循合同执行；承包合同中双方未约定的，承包方自行处理，所造成的经济损失由承包方自行承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jc w:val="left"/>
        <w:textAlignment w:val="auto"/>
        <w:rPr>
          <w:rFonts w:hint="eastAsia" w:ascii="仿宋_GB2312" w:hAnsi="仿宋_GB2312" w:eastAsia="仿宋_GB2312" w:cs="仿宋_GB2312"/>
          <w:b w:val="0"/>
          <w:bCs/>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bCs w:val="0"/>
          <w:i w:val="0"/>
          <w:caps w:val="0"/>
          <w:color w:val="000000" w:themeColor="text1"/>
          <w:spacing w:val="0"/>
          <w:sz w:val="32"/>
          <w:szCs w:val="32"/>
          <w:shd w:val="clear" w:fill="FFFFFF"/>
          <w:lang w:eastAsia="zh-CN"/>
          <w14:textFill>
            <w14:solidFill>
              <w14:schemeClr w14:val="tx1"/>
            </w14:solidFill>
          </w14:textFill>
        </w:rPr>
        <w:t>第</w:t>
      </w:r>
      <w:r>
        <w:rPr>
          <w:rFonts w:hint="eastAsia" w:ascii="仿宋_GB2312" w:hAnsi="仿宋_GB2312" w:eastAsia="仿宋_GB2312" w:cs="仿宋_GB2312"/>
          <w:b/>
          <w:bCs w:val="0"/>
          <w:i w:val="0"/>
          <w:caps w:val="0"/>
          <w:color w:val="000000" w:themeColor="text1"/>
          <w:spacing w:val="0"/>
          <w:sz w:val="32"/>
          <w:szCs w:val="32"/>
          <w:shd w:val="clear" w:fill="FFFFFF"/>
          <w:lang w:val="en-US" w:eastAsia="zh-CN"/>
          <w14:textFill>
            <w14:solidFill>
              <w14:schemeClr w14:val="tx1"/>
            </w14:solidFill>
          </w14:textFill>
        </w:rPr>
        <w:t>十五</w:t>
      </w:r>
      <w:r>
        <w:rPr>
          <w:rFonts w:hint="eastAsia" w:ascii="仿宋_GB2312" w:hAnsi="仿宋_GB2312" w:eastAsia="仿宋_GB2312" w:cs="仿宋_GB2312"/>
          <w:b/>
          <w:bCs w:val="0"/>
          <w:i w:val="0"/>
          <w:caps w:val="0"/>
          <w:color w:val="000000" w:themeColor="text1"/>
          <w:spacing w:val="0"/>
          <w:sz w:val="32"/>
          <w:szCs w:val="32"/>
          <w:shd w:val="clear" w:fill="FFFFFF"/>
          <w:lang w:eastAsia="zh-CN"/>
          <w14:textFill>
            <w14:solidFill>
              <w14:schemeClr w14:val="tx1"/>
            </w14:solidFill>
          </w14:textFill>
        </w:rPr>
        <w:t>条</w:t>
      </w:r>
      <w:r>
        <w:rPr>
          <w:rFonts w:hint="eastAsia" w:ascii="仿宋_GB2312" w:hAnsi="仿宋_GB2312" w:eastAsia="仿宋_GB2312" w:cs="仿宋_GB2312"/>
          <w:b/>
          <w:bCs w:val="0"/>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b w:val="0"/>
          <w:bCs/>
          <w:i w:val="0"/>
          <w:caps w:val="0"/>
          <w:color w:val="000000" w:themeColor="text1"/>
          <w:spacing w:val="0"/>
          <w:sz w:val="32"/>
          <w:szCs w:val="32"/>
          <w:shd w:val="clear" w:fill="FFFFFF"/>
          <w:lang w:val="en-US" w:eastAsia="zh-CN"/>
          <w14:textFill>
            <w14:solidFill>
              <w14:schemeClr w14:val="tx1"/>
            </w14:solidFill>
          </w14:textFill>
        </w:rPr>
        <w:t>任何组织和个人侵害承包方土地承包经营权的，应当承担民事责任。任何组织，单位和个人不得以任何理由，阻挠承包地的正常发包，造成损失的由相关责任人依法赔偿。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jc w:val="left"/>
        <w:textAlignment w:val="auto"/>
        <w:rPr>
          <w:rFonts w:hint="eastAsia" w:ascii="仿宋_GB2312" w:hAnsi="仿宋_GB2312" w:eastAsia="仿宋_GB2312" w:cs="仿宋_GB2312"/>
          <w:b w:val="0"/>
          <w:bCs/>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bCs w:val="0"/>
          <w:i w:val="0"/>
          <w:caps w:val="0"/>
          <w:color w:val="000000" w:themeColor="text1"/>
          <w:spacing w:val="0"/>
          <w:sz w:val="32"/>
          <w:szCs w:val="32"/>
          <w:shd w:val="clear" w:fill="FFFFFF"/>
          <w:lang w:eastAsia="zh-CN"/>
          <w14:textFill>
            <w14:solidFill>
              <w14:schemeClr w14:val="tx1"/>
            </w14:solidFill>
          </w14:textFill>
        </w:rPr>
        <w:t>第</w:t>
      </w:r>
      <w:r>
        <w:rPr>
          <w:rFonts w:hint="eastAsia" w:ascii="仿宋_GB2312" w:hAnsi="仿宋_GB2312" w:eastAsia="仿宋_GB2312" w:cs="仿宋_GB2312"/>
          <w:b/>
          <w:bCs w:val="0"/>
          <w:i w:val="0"/>
          <w:caps w:val="0"/>
          <w:color w:val="000000" w:themeColor="text1"/>
          <w:spacing w:val="0"/>
          <w:sz w:val="32"/>
          <w:szCs w:val="32"/>
          <w:shd w:val="clear" w:fill="FFFFFF"/>
          <w:lang w:val="en-US" w:eastAsia="zh-CN"/>
          <w14:textFill>
            <w14:solidFill>
              <w14:schemeClr w14:val="tx1"/>
            </w14:solidFill>
          </w14:textFill>
        </w:rPr>
        <w:t>十六</w:t>
      </w:r>
      <w:r>
        <w:rPr>
          <w:rFonts w:hint="eastAsia" w:ascii="仿宋_GB2312" w:hAnsi="仿宋_GB2312" w:eastAsia="仿宋_GB2312" w:cs="仿宋_GB2312"/>
          <w:b/>
          <w:bCs w:val="0"/>
          <w:i w:val="0"/>
          <w:caps w:val="0"/>
          <w:color w:val="000000" w:themeColor="text1"/>
          <w:spacing w:val="0"/>
          <w:sz w:val="32"/>
          <w:szCs w:val="32"/>
          <w:shd w:val="clear" w:fill="FFFFFF"/>
          <w:lang w:eastAsia="zh-CN"/>
          <w14:textFill>
            <w14:solidFill>
              <w14:schemeClr w14:val="tx1"/>
            </w14:solidFill>
          </w14:textFill>
        </w:rPr>
        <w:t>条</w:t>
      </w:r>
      <w:r>
        <w:rPr>
          <w:rFonts w:hint="eastAsia" w:ascii="仿宋_GB2312" w:hAnsi="仿宋_GB2312" w:eastAsia="仿宋_GB2312" w:cs="仿宋_GB2312"/>
          <w:b/>
          <w:bCs w:val="0"/>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b w:val="0"/>
          <w:bCs/>
          <w:i w:val="0"/>
          <w:caps w:val="0"/>
          <w:color w:val="000000" w:themeColor="text1"/>
          <w:spacing w:val="0"/>
          <w:sz w:val="32"/>
          <w:szCs w:val="32"/>
          <w:shd w:val="clear" w:fill="FFFFFF"/>
          <w:lang w:val="en-US" w:eastAsia="zh-CN"/>
          <w14:textFill>
            <w14:solidFill>
              <w14:schemeClr w14:val="tx1"/>
            </w14:solidFill>
          </w14:textFill>
        </w:rPr>
        <w:t>县农村产权交易中心负责制定全县机动地承包的规范合同文本。针对水权、残膜及农药瓶袋等回收，地面附着物，农业生产设施及相关投入等情况，可在合同特别约定条款中协商确认。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jc w:val="left"/>
        <w:textAlignment w:val="auto"/>
        <w:rPr>
          <w:rFonts w:hint="eastAsia" w:ascii="仿宋_GB2312" w:hAnsi="仿宋_GB2312" w:eastAsia="仿宋_GB2312" w:cs="仿宋_GB2312"/>
          <w:b w:val="0"/>
          <w:bCs/>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bCs w:val="0"/>
          <w:i w:val="0"/>
          <w:caps w:val="0"/>
          <w:color w:val="000000" w:themeColor="text1"/>
          <w:spacing w:val="0"/>
          <w:sz w:val="32"/>
          <w:szCs w:val="32"/>
          <w:shd w:val="clear" w:fill="FFFFFF"/>
          <w:lang w:eastAsia="zh-CN"/>
          <w14:textFill>
            <w14:solidFill>
              <w14:schemeClr w14:val="tx1"/>
            </w14:solidFill>
          </w14:textFill>
        </w:rPr>
        <w:t>第十七条</w:t>
      </w:r>
      <w:r>
        <w:rPr>
          <w:rFonts w:hint="eastAsia" w:ascii="仿宋_GB2312" w:hAnsi="仿宋_GB2312" w:eastAsia="仿宋_GB2312" w:cs="仿宋_GB2312"/>
          <w:b/>
          <w:bCs w:val="0"/>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b w:val="0"/>
          <w:bCs/>
          <w:i w:val="0"/>
          <w:caps w:val="0"/>
          <w:color w:val="000000" w:themeColor="text1"/>
          <w:spacing w:val="0"/>
          <w:sz w:val="32"/>
          <w:szCs w:val="32"/>
          <w:shd w:val="clear" w:fill="FFFFFF"/>
          <w:lang w:val="en-US" w:eastAsia="zh-CN"/>
          <w14:textFill>
            <w14:solidFill>
              <w14:schemeClr w14:val="tx1"/>
            </w14:solidFill>
          </w14:textFill>
        </w:rPr>
        <w:t>依法投资改良土壤，建设农业生产附属、配套设施及农业生产中直接用于作物种植和畜禽水产养殖设施的，土地经营权流转合同到期或者未到期依法收回承包土地时，有权获得合理补偿。村集体经济组织应本着友好协商、实事求是、尊重历史，照顾现实的原则予以适当补偿。若双方就补偿问题争议较大，协商不成的可请求有资质的评估机构依法评估后获得相应补偿。</w:t>
      </w:r>
    </w:p>
    <w:p>
      <w:pPr>
        <w:pStyle w:val="4"/>
        <w:keepNext w:val="0"/>
        <w:keepLines w:val="0"/>
        <w:pageBreakBefore w:val="0"/>
        <w:kinsoku/>
        <w:wordWrap/>
        <w:overflowPunct/>
        <w:topLinePunct w:val="0"/>
        <w:autoSpaceDE/>
        <w:autoSpaceDN/>
        <w:bidi w:val="0"/>
        <w:adjustRightInd/>
        <w:snapToGrid/>
        <w:spacing w:after="0" w:afterLines="0" w:line="560" w:lineRule="exact"/>
        <w:ind w:left="0" w:firstLine="2880" w:firstLineChars="900"/>
        <w:textAlignment w:val="auto"/>
        <w:rPr>
          <w:rFonts w:hint="eastAsia" w:ascii="黑体" w:hAnsi="黑体" w:eastAsia="黑体" w:cs="黑体"/>
          <w:b w:val="0"/>
          <w:bCs/>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b w:val="0"/>
          <w:bCs/>
          <w:i w:val="0"/>
          <w:caps w:val="0"/>
          <w:color w:val="000000" w:themeColor="text1"/>
          <w:spacing w:val="0"/>
          <w:sz w:val="32"/>
          <w:szCs w:val="32"/>
          <w:shd w:val="clear" w:fill="FFFFFF"/>
          <w:lang w:val="en-US" w:eastAsia="zh-CN"/>
          <w14:textFill>
            <w14:solidFill>
              <w14:schemeClr w14:val="tx1"/>
            </w14:solidFill>
          </w14:textFill>
        </w:rPr>
        <w:t>第四章  流转管理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jc w:val="left"/>
        <w:textAlignment w:val="auto"/>
        <w:rPr>
          <w:rFonts w:hint="eastAsia" w:ascii="仿宋_GB2312" w:hAnsi="仿宋_GB2312" w:eastAsia="仿宋_GB2312" w:cs="仿宋_GB2312"/>
          <w:b w:val="0"/>
          <w:bCs/>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bCs w:val="0"/>
          <w:i w:val="0"/>
          <w:caps w:val="0"/>
          <w:color w:val="000000" w:themeColor="text1"/>
          <w:spacing w:val="0"/>
          <w:sz w:val="32"/>
          <w:szCs w:val="32"/>
          <w:shd w:val="clear" w:fill="FFFFFF"/>
          <w:lang w:eastAsia="zh-CN"/>
          <w14:textFill>
            <w14:solidFill>
              <w14:schemeClr w14:val="tx1"/>
            </w14:solidFill>
          </w14:textFill>
        </w:rPr>
        <w:t>第十八条</w:t>
      </w:r>
      <w:r>
        <w:rPr>
          <w:rFonts w:hint="eastAsia" w:ascii="仿宋_GB2312" w:hAnsi="仿宋_GB2312" w:eastAsia="仿宋_GB2312" w:cs="仿宋_GB2312"/>
          <w:b/>
          <w:bCs w:val="0"/>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b w:val="0"/>
          <w:bCs/>
          <w:i w:val="0"/>
          <w:caps w:val="0"/>
          <w:color w:val="000000" w:themeColor="text1"/>
          <w:spacing w:val="0"/>
          <w:sz w:val="32"/>
          <w:szCs w:val="32"/>
          <w:shd w:val="clear" w:fill="FFFFFF"/>
          <w:lang w:val="en-US" w:eastAsia="zh-CN"/>
          <w14:textFill>
            <w14:solidFill>
              <w14:schemeClr w14:val="tx1"/>
            </w14:solidFill>
          </w14:textFill>
        </w:rPr>
        <w:t>坚持小农户家庭经营为稳定主体，完善多种形式适度灵活经营的协调机制。应当根据各村自然经济条件、农村劳动力转移情况、农业机械化水平等因素，引导受让方发展适度规模经营，防止脱离实际、片面追求超大规模经营的倾向。鼓励小农户土地经营权有序向村集体经济组织流转，提高小农户经营效率，充分发挥小农户在乡村振兴中的作用。鼓励有条件的村集体经济组织结合高标准农田建设等，引导小农户通过村组内互换并地、土地经营权入股、确权确股不确地等方式，促进土地小块并大块，引导逐步形成“一户一块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jc w:val="left"/>
        <w:textAlignment w:val="auto"/>
        <w:rPr>
          <w:rFonts w:hint="eastAsia" w:ascii="仿宋_GB2312" w:hAnsi="仿宋_GB2312" w:eastAsia="仿宋_GB2312" w:cs="仿宋_GB2312"/>
          <w:b w:val="0"/>
          <w:bCs/>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bCs w:val="0"/>
          <w:i w:val="0"/>
          <w:caps w:val="0"/>
          <w:color w:val="000000" w:themeColor="text1"/>
          <w:spacing w:val="0"/>
          <w:sz w:val="32"/>
          <w:szCs w:val="32"/>
          <w:shd w:val="clear" w:fill="FFFFFF"/>
          <w:lang w:eastAsia="zh-CN"/>
          <w14:textFill>
            <w14:solidFill>
              <w14:schemeClr w14:val="tx1"/>
            </w14:solidFill>
          </w14:textFill>
        </w:rPr>
        <w:t>第十九条</w:t>
      </w:r>
      <w:r>
        <w:rPr>
          <w:rFonts w:hint="eastAsia" w:ascii="仿宋_GB2312" w:hAnsi="仿宋_GB2312" w:eastAsia="仿宋_GB2312" w:cs="仿宋_GB2312"/>
          <w:b/>
          <w:bCs w:val="0"/>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b w:val="0"/>
          <w:bCs/>
          <w:i w:val="0"/>
          <w:caps w:val="0"/>
          <w:color w:val="000000" w:themeColor="text1"/>
          <w:spacing w:val="0"/>
          <w:sz w:val="32"/>
          <w:szCs w:val="32"/>
          <w:shd w:val="clear" w:fill="FFFFFF"/>
          <w:lang w:val="en-US" w:eastAsia="zh-CN"/>
          <w14:textFill>
            <w14:solidFill>
              <w14:schemeClr w14:val="tx1"/>
            </w14:solidFill>
          </w14:textFill>
        </w:rPr>
        <w:t>农村土地经营权流转应当遵循下列原则：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sz w:val="32"/>
          <w:szCs w:val="32"/>
          <w:shd w:val="clear" w:fill="FFFFFF"/>
          <w:lang w:val="en-US" w:eastAsia="zh-CN"/>
          <w14:textFill>
            <w14:solidFill>
              <w14:schemeClr w14:val="tx1"/>
            </w14:solidFill>
          </w14:textFill>
        </w:rPr>
        <w:t>（一）坚持依法、平等、自愿、有偿、循序渐进、因地制宜的原则。农牧民有权依法自主决定是否流转以及流转的对象、方式、时间、收益处置等，土地流转收益全部归承包方所有，任何组织和个人不得侵占、截留和扣缴。村集体连片开发，统一经营过程中，对少数不愿流转的农户，乡（镇）、村集体经济组织应当及时协调，在承包方自愿的基础上，采取集体经济组织内其他愿意流转的农户承包地或集体经济组织机动地进行调换解决，形成书面协议并妥善平衡互换双方利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sz w:val="32"/>
          <w:szCs w:val="32"/>
          <w:shd w:val="clear" w:fill="FFFFFF"/>
          <w:lang w:val="en-US" w:eastAsia="zh-CN"/>
          <w14:textFill>
            <w14:solidFill>
              <w14:schemeClr w14:val="tx1"/>
            </w14:solidFill>
          </w14:textFill>
        </w:rPr>
        <w:t>（二）坚持“三个不得”的原则。土地流转不得改变土地集体所有性质和农业用途，流转期限不得超过二轮承包期的剩余期限，不得损害村集体、各类新型经营主体和农牧民的基本权益。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sz w:val="32"/>
          <w:szCs w:val="32"/>
          <w:shd w:val="clear" w:fill="FFFFFF"/>
          <w:lang w:val="en-US" w:eastAsia="zh-CN"/>
          <w14:textFill>
            <w14:solidFill>
              <w14:schemeClr w14:val="tx1"/>
            </w14:solidFill>
          </w14:textFill>
        </w:rPr>
        <w:t>（三）稳慎推进“三权分置”的原则。在稳定农村土地承包关系并保持长久不变的前提下，坚持稳慎推进集体所有权，稳定农户承包权，放活土地经营权。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jc w:val="left"/>
        <w:textAlignment w:val="auto"/>
        <w:rPr>
          <w:rFonts w:hint="eastAsia" w:ascii="仿宋_GB2312" w:hAnsi="仿宋_GB2312" w:eastAsia="仿宋_GB2312" w:cs="仿宋_GB2312"/>
          <w:b w:val="0"/>
          <w:bCs/>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bCs w:val="0"/>
          <w:i w:val="0"/>
          <w:caps w:val="0"/>
          <w:color w:val="000000" w:themeColor="text1"/>
          <w:spacing w:val="0"/>
          <w:sz w:val="32"/>
          <w:szCs w:val="32"/>
          <w:shd w:val="clear" w:fill="FFFFFF"/>
          <w:lang w:eastAsia="zh-CN"/>
          <w14:textFill>
            <w14:solidFill>
              <w14:schemeClr w14:val="tx1"/>
            </w14:solidFill>
          </w14:textFill>
        </w:rPr>
        <w:t>第二十条</w:t>
      </w:r>
      <w:r>
        <w:rPr>
          <w:rFonts w:hint="eastAsia" w:ascii="仿宋_GB2312" w:hAnsi="仿宋_GB2312" w:eastAsia="仿宋_GB2312" w:cs="仿宋_GB2312"/>
          <w:b/>
          <w:bCs w:val="0"/>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b w:val="0"/>
          <w:bCs/>
          <w:i w:val="0"/>
          <w:caps w:val="0"/>
          <w:color w:val="000000" w:themeColor="text1"/>
          <w:spacing w:val="0"/>
          <w:sz w:val="32"/>
          <w:szCs w:val="32"/>
          <w:shd w:val="clear" w:fill="FFFFFF"/>
          <w:lang w:val="en-US" w:eastAsia="zh-CN"/>
          <w14:textFill>
            <w14:solidFill>
              <w14:schemeClr w14:val="tx1"/>
            </w14:solidFill>
          </w14:textFill>
        </w:rPr>
        <w:t>鼓励小农户参与土地资源配置并分享土地规模经营收益，鼓励农户将土地承包经营权入股，参股到涉农企业等新型经营主体，参与生产、经营，实现股权收益分红，稳慎推进土地资源资产化、农户股民合作化进程。鼓励承包土地的经营权在公开交易市场上向有农业经营能力的村股份经济合作社及其成员，村办企业、专业大户、家庭农场、农民专业合作社、涉农企业等流转，发展多种形式的适度规模经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jc w:val="left"/>
        <w:textAlignment w:val="auto"/>
        <w:rPr>
          <w:rFonts w:hint="eastAsia" w:ascii="仿宋_GB2312" w:hAnsi="仿宋_GB2312" w:eastAsia="仿宋_GB2312" w:cs="仿宋_GB2312"/>
          <w:b w:val="0"/>
          <w:bCs/>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bCs w:val="0"/>
          <w:i w:val="0"/>
          <w:caps w:val="0"/>
          <w:color w:val="000000" w:themeColor="text1"/>
          <w:spacing w:val="0"/>
          <w:sz w:val="32"/>
          <w:szCs w:val="32"/>
          <w:shd w:val="clear" w:fill="FFFFFF"/>
          <w:lang w:eastAsia="zh-CN"/>
          <w14:textFill>
            <w14:solidFill>
              <w14:schemeClr w14:val="tx1"/>
            </w14:solidFill>
          </w14:textFill>
        </w:rPr>
        <w:t>第二十一条</w:t>
      </w:r>
      <w:r>
        <w:rPr>
          <w:rFonts w:hint="eastAsia" w:ascii="仿宋_GB2312" w:hAnsi="仿宋_GB2312" w:eastAsia="仿宋_GB2312" w:cs="仿宋_GB2312"/>
          <w:b/>
          <w:bCs w:val="0"/>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b w:val="0"/>
          <w:bCs/>
          <w:i w:val="0"/>
          <w:caps w:val="0"/>
          <w:color w:val="000000" w:themeColor="text1"/>
          <w:spacing w:val="0"/>
          <w:sz w:val="32"/>
          <w:szCs w:val="32"/>
          <w:shd w:val="clear" w:fill="FFFFFF"/>
          <w:lang w:val="en-US" w:eastAsia="zh-CN"/>
          <w14:textFill>
            <w14:solidFill>
              <w14:schemeClr w14:val="tx1"/>
            </w14:solidFill>
          </w14:textFill>
        </w:rPr>
        <w:t>土地经营权流转要严格遵循明晰产权、平等协商、订立合同、备案归档、依法自愿、有偿流转等步骤依法有序进行，在同等条件下，本集体经济组织成员优先。乡（镇）应建立土地流转备案制度并实行动态管理。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jc w:val="left"/>
        <w:textAlignment w:val="auto"/>
        <w:rPr>
          <w:rFonts w:hint="eastAsia" w:ascii="仿宋_GB2312" w:hAnsi="仿宋_GB2312" w:eastAsia="仿宋_GB2312" w:cs="仿宋_GB2312"/>
          <w:b w:val="0"/>
          <w:bCs/>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bCs w:val="0"/>
          <w:i w:val="0"/>
          <w:caps w:val="0"/>
          <w:color w:val="000000" w:themeColor="text1"/>
          <w:spacing w:val="0"/>
          <w:sz w:val="32"/>
          <w:szCs w:val="32"/>
          <w:shd w:val="clear" w:fill="FFFFFF"/>
          <w:lang w:val="en-US" w:eastAsia="zh-CN"/>
          <w14:textFill>
            <w14:solidFill>
              <w14:schemeClr w14:val="tx1"/>
            </w14:solidFill>
          </w14:textFill>
        </w:rPr>
        <w:t>第</w:t>
      </w:r>
      <w:r>
        <w:rPr>
          <w:rFonts w:hint="eastAsia" w:ascii="仿宋_GB2312" w:hAnsi="仿宋_GB2312" w:eastAsia="仿宋_GB2312" w:cs="仿宋_GB2312"/>
          <w:b/>
          <w:bCs w:val="0"/>
          <w:i w:val="0"/>
          <w:caps w:val="0"/>
          <w:color w:val="000000" w:themeColor="text1"/>
          <w:spacing w:val="0"/>
          <w:sz w:val="32"/>
          <w:szCs w:val="32"/>
          <w:shd w:val="clear" w:fill="FFFFFF"/>
          <w:lang w:eastAsia="zh-CN"/>
          <w14:textFill>
            <w14:solidFill>
              <w14:schemeClr w14:val="tx1"/>
            </w14:solidFill>
          </w14:textFill>
        </w:rPr>
        <w:t>二十二</w:t>
      </w:r>
      <w:r>
        <w:rPr>
          <w:rFonts w:hint="eastAsia" w:ascii="仿宋_GB2312" w:hAnsi="仿宋_GB2312" w:eastAsia="仿宋_GB2312" w:cs="仿宋_GB2312"/>
          <w:b/>
          <w:bCs w:val="0"/>
          <w:i w:val="0"/>
          <w:caps w:val="0"/>
          <w:color w:val="000000" w:themeColor="text1"/>
          <w:spacing w:val="0"/>
          <w:sz w:val="32"/>
          <w:szCs w:val="32"/>
          <w:shd w:val="clear" w:fill="FFFFFF"/>
          <w:lang w:val="en-US" w:eastAsia="zh-CN"/>
          <w14:textFill>
            <w14:solidFill>
              <w14:schemeClr w14:val="tx1"/>
            </w14:solidFill>
          </w14:textFill>
        </w:rPr>
        <w:t>条</w:t>
      </w:r>
      <w:r>
        <w:rPr>
          <w:rFonts w:hint="eastAsia" w:ascii="仿宋_GB2312" w:hAnsi="仿宋_GB2312" w:eastAsia="仿宋_GB2312" w:cs="仿宋_GB2312"/>
          <w:b w:val="0"/>
          <w:bCs/>
          <w:i w:val="0"/>
          <w:caps w:val="0"/>
          <w:color w:val="000000" w:themeColor="text1"/>
          <w:spacing w:val="0"/>
          <w:sz w:val="32"/>
          <w:szCs w:val="32"/>
          <w:shd w:val="clear" w:fill="FFFFFF"/>
          <w:lang w:val="en-US" w:eastAsia="zh-CN"/>
          <w14:textFill>
            <w14:solidFill>
              <w14:schemeClr w14:val="tx1"/>
            </w14:solidFill>
          </w14:textFill>
        </w:rPr>
        <w:t xml:space="preserve"> 经营主体使用地膜、农资等或在经营过程中产生秸秆、尾菜、农膜、农药瓶袋等固废物，村集体经济组织应配置集中收储的场所由承包方免费使用，依据市场价格协商抵押一定数量的固废物处理押金。在一个耕作期结束后，经村集体对合同履行情况进行评价，无违约的应及时全额退还押金；有违约行为的承包地，村集体可委托符合作业标准的农机户、农机专业合作社等进行作业，通过村集体验收确认后用固废物处理押金支付该承包地相关的作业费用，剩余的押金应足额退还土地承包方，确保集体土地得到应有环境保护、农民等承包方利益不受损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jc w:val="left"/>
        <w:textAlignment w:val="auto"/>
        <w:rPr>
          <w:rFonts w:hint="eastAsia" w:ascii="仿宋_GB2312" w:hAnsi="仿宋_GB2312" w:eastAsia="仿宋_GB2312" w:cs="仿宋_GB2312"/>
          <w:b w:val="0"/>
          <w:bCs/>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bCs w:val="0"/>
          <w:i w:val="0"/>
          <w:caps w:val="0"/>
          <w:color w:val="000000" w:themeColor="text1"/>
          <w:spacing w:val="0"/>
          <w:sz w:val="32"/>
          <w:szCs w:val="32"/>
          <w:shd w:val="clear" w:fill="FFFFFF"/>
          <w:lang w:eastAsia="zh-CN"/>
          <w14:textFill>
            <w14:solidFill>
              <w14:schemeClr w14:val="tx1"/>
            </w14:solidFill>
          </w14:textFill>
        </w:rPr>
        <w:t>第二十三条</w:t>
      </w:r>
      <w:r>
        <w:rPr>
          <w:rFonts w:hint="eastAsia" w:ascii="仿宋_GB2312" w:hAnsi="仿宋_GB2312" w:eastAsia="仿宋_GB2312" w:cs="仿宋_GB2312"/>
          <w:b/>
          <w:bCs w:val="0"/>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b w:val="0"/>
          <w:bCs/>
          <w:i w:val="0"/>
          <w:caps w:val="0"/>
          <w:color w:val="000000" w:themeColor="text1"/>
          <w:spacing w:val="0"/>
          <w:sz w:val="32"/>
          <w:szCs w:val="32"/>
          <w:shd w:val="clear" w:fill="FFFFFF"/>
          <w:lang w:val="en-US" w:eastAsia="zh-CN"/>
          <w14:textFill>
            <w14:solidFill>
              <w14:schemeClr w14:val="tx1"/>
            </w14:solidFill>
          </w14:textFill>
        </w:rPr>
        <w:t>建立土地流转价格指导机制。加强对土地流转价格的统计、监测和分析，探索开展土地流转价格评估工作，建立农村土地流转价格指导机制并实行动态管理。县农经局应根据当地土地质量、产出水平和历年流转价格等因素，以年度为单位公布我县农村土地流转指导价格，此指导价格可作为纠纷处理，土地入股及评估作价的参考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jc w:val="left"/>
        <w:textAlignment w:val="auto"/>
        <w:rPr>
          <w:rFonts w:hint="eastAsia" w:ascii="仿宋_GB2312" w:hAnsi="仿宋_GB2312" w:eastAsia="仿宋_GB2312" w:cs="仿宋_GB2312"/>
          <w:b w:val="0"/>
          <w:bCs/>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bCs w:val="0"/>
          <w:i w:val="0"/>
          <w:caps w:val="0"/>
          <w:color w:val="000000" w:themeColor="text1"/>
          <w:spacing w:val="0"/>
          <w:sz w:val="32"/>
          <w:szCs w:val="32"/>
          <w:shd w:val="clear" w:fill="FFFFFF"/>
          <w:lang w:eastAsia="zh-CN"/>
          <w14:textFill>
            <w14:solidFill>
              <w14:schemeClr w14:val="tx1"/>
            </w14:solidFill>
          </w14:textFill>
        </w:rPr>
        <w:t>第二十四条</w:t>
      </w:r>
      <w:r>
        <w:rPr>
          <w:rFonts w:hint="eastAsia" w:ascii="仿宋_GB2312" w:hAnsi="仿宋_GB2312" w:eastAsia="仿宋_GB2312" w:cs="仿宋_GB2312"/>
          <w:b/>
          <w:bCs w:val="0"/>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b w:val="0"/>
          <w:bCs/>
          <w:i w:val="0"/>
          <w:caps w:val="0"/>
          <w:color w:val="000000" w:themeColor="text1"/>
          <w:spacing w:val="0"/>
          <w:sz w:val="32"/>
          <w:szCs w:val="32"/>
          <w:shd w:val="clear" w:fill="FFFFFF"/>
          <w:lang w:val="en-US" w:eastAsia="zh-CN"/>
          <w14:textFill>
            <w14:solidFill>
              <w14:schemeClr w14:val="tx1"/>
            </w14:solidFill>
          </w14:textFill>
        </w:rPr>
        <w:t>农村集体土地的再流转。受让方将发包取得的土地经营权再流转或向金融机构融资担保的，应当事先取得承包方和发包方书面同意，并向发包方和乡（镇）农村合作经济（统计）发展中心登记备案</w:t>
      </w:r>
      <w:r>
        <w:rPr>
          <w:rFonts w:hint="eastAsia" w:ascii="仿宋_GB2312" w:hAnsi="仿宋_GB2312" w:eastAsia="仿宋_GB2312" w:cs="仿宋_GB2312"/>
          <w:b w:val="0"/>
          <w:bCs/>
          <w:i w:val="0"/>
          <w:caps w:val="0"/>
          <w:color w:val="000000" w:themeColor="text1"/>
          <w:spacing w:val="0"/>
          <w:sz w:val="32"/>
          <w:szCs w:val="32"/>
          <w:shd w:val="clear" w:fill="FFFFFF"/>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sz w:val="32"/>
          <w:szCs w:val="32"/>
          <w:shd w:val="clear" w:fill="FFFFFF"/>
          <w:lang w:val="en-US" w:eastAsia="zh-CN"/>
          <w14:textFill>
            <w14:solidFill>
              <w14:schemeClr w14:val="tx1"/>
            </w14:solidFill>
          </w14:textFill>
        </w:rPr>
        <w:t>以家庭方式承包取得土地承包经营权的再流转参照执行。以其他方式承包取得的土地承包经营权，经依法登记取得土地承包经营权证书的，依法依规流转，未取得权利证书和登记备案的，不得再流转。</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jc w:val="left"/>
        <w:textAlignment w:val="auto"/>
        <w:rPr>
          <w:rFonts w:hint="eastAsia" w:ascii="仿宋_GB2312" w:hAnsi="仿宋_GB2312" w:eastAsia="仿宋_GB2312" w:cs="仿宋_GB2312"/>
          <w:b w:val="0"/>
          <w:bCs/>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bCs w:val="0"/>
          <w:i w:val="0"/>
          <w:caps w:val="0"/>
          <w:color w:val="000000" w:themeColor="text1"/>
          <w:spacing w:val="0"/>
          <w:sz w:val="32"/>
          <w:szCs w:val="32"/>
          <w:shd w:val="clear" w:fill="FFFFFF"/>
          <w:lang w:eastAsia="zh-CN"/>
          <w14:textFill>
            <w14:solidFill>
              <w14:schemeClr w14:val="tx1"/>
            </w14:solidFill>
          </w14:textFill>
        </w:rPr>
        <w:t>第二十五条</w:t>
      </w:r>
      <w:r>
        <w:rPr>
          <w:rFonts w:hint="eastAsia" w:ascii="仿宋_GB2312" w:hAnsi="仿宋_GB2312" w:eastAsia="仿宋_GB2312" w:cs="仿宋_GB2312"/>
          <w:b/>
          <w:bCs w:val="0"/>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b w:val="0"/>
          <w:bCs/>
          <w:i w:val="0"/>
          <w:caps w:val="0"/>
          <w:color w:val="000000" w:themeColor="text1"/>
          <w:spacing w:val="0"/>
          <w:sz w:val="32"/>
          <w:szCs w:val="32"/>
          <w:shd w:val="clear" w:fill="FFFFFF"/>
          <w:lang w:val="en-US" w:eastAsia="zh-CN"/>
          <w14:textFill>
            <w14:solidFill>
              <w14:schemeClr w14:val="tx1"/>
            </w14:solidFill>
          </w14:textFill>
        </w:rPr>
        <w:t>发包方和承包方有义务对流转出去土地的利用情况进行监督，对发现有改变土地用途或再流转的行为，应及时制止并向乡（镇）人民政府等有关部门反映。对违反本办法和合同约定的，发包方和承包方可依法解除土地经营权流转合同，并要求恢复原状和相应赔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center"/>
        <w:textAlignment w:val="auto"/>
        <w:rPr>
          <w:rFonts w:hint="eastAsia" w:ascii="黑体" w:hAnsi="黑体" w:eastAsia="黑体" w:cs="黑体"/>
          <w:b w:val="0"/>
          <w:bCs/>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b w:val="0"/>
          <w:bCs/>
          <w:i w:val="0"/>
          <w:caps w:val="0"/>
          <w:color w:val="000000" w:themeColor="text1"/>
          <w:spacing w:val="0"/>
          <w:sz w:val="32"/>
          <w:szCs w:val="32"/>
          <w:shd w:val="clear" w:fill="FFFFFF"/>
          <w:lang w:eastAsia="zh-CN"/>
          <w14:textFill>
            <w14:solidFill>
              <w14:schemeClr w14:val="tx1"/>
            </w14:solidFill>
          </w14:textFill>
        </w:rPr>
        <w:t>第五章</w:t>
      </w:r>
      <w:r>
        <w:rPr>
          <w:rFonts w:hint="eastAsia" w:ascii="黑体" w:hAnsi="黑体" w:eastAsia="黑体" w:cs="黑体"/>
          <w:b w:val="0"/>
          <w:bCs/>
          <w:i w:val="0"/>
          <w:caps w:val="0"/>
          <w:color w:val="000000" w:themeColor="text1"/>
          <w:spacing w:val="0"/>
          <w:sz w:val="32"/>
          <w:szCs w:val="32"/>
          <w:shd w:val="clear" w:fill="FFFFFF"/>
          <w:lang w:val="en-US" w:eastAsia="zh-CN"/>
          <w14:textFill>
            <w14:solidFill>
              <w14:schemeClr w14:val="tx1"/>
            </w14:solidFill>
          </w14:textFill>
        </w:rPr>
        <w:t xml:space="preserve">  工商资本的风险防范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jc w:val="left"/>
        <w:textAlignment w:val="auto"/>
        <w:rPr>
          <w:rFonts w:hint="eastAsia" w:ascii="仿宋_GB2312" w:hAnsi="仿宋_GB2312" w:eastAsia="仿宋_GB2312" w:cs="仿宋_GB2312"/>
          <w:b w:val="0"/>
          <w:bCs/>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bCs w:val="0"/>
          <w:i w:val="0"/>
          <w:caps w:val="0"/>
          <w:color w:val="000000" w:themeColor="text1"/>
          <w:spacing w:val="0"/>
          <w:sz w:val="32"/>
          <w:szCs w:val="32"/>
          <w:shd w:val="clear" w:fill="FFFFFF"/>
          <w:lang w:eastAsia="zh-CN"/>
          <w14:textFill>
            <w14:solidFill>
              <w14:schemeClr w14:val="tx1"/>
            </w14:solidFill>
          </w14:textFill>
        </w:rPr>
        <w:t>第二十六条</w:t>
      </w:r>
      <w:r>
        <w:rPr>
          <w:rFonts w:hint="eastAsia" w:ascii="仿宋_GB2312" w:hAnsi="仿宋_GB2312" w:eastAsia="仿宋_GB2312" w:cs="仿宋_GB2312"/>
          <w:b w:val="0"/>
          <w:bCs/>
          <w:i w:val="0"/>
          <w:caps w:val="0"/>
          <w:color w:val="000000" w:themeColor="text1"/>
          <w:spacing w:val="0"/>
          <w:sz w:val="32"/>
          <w:szCs w:val="32"/>
          <w:shd w:val="clear" w:fill="FFFFFF"/>
          <w:lang w:val="en-US" w:eastAsia="zh-CN"/>
          <w14:textFill>
            <w14:solidFill>
              <w14:schemeClr w14:val="tx1"/>
            </w14:solidFill>
          </w14:textFill>
        </w:rPr>
        <w:t xml:space="preserve"> 鼓励和引导工商资本到农村发展适合企业化经营的现代种养业，重点从事农产品加工业和农业社会化服务等，向农业输入现代生产要素和经营模式。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sz w:val="32"/>
          <w:szCs w:val="32"/>
          <w:shd w:val="clear" w:fill="FFFFFF"/>
          <w:lang w:val="en-US" w:eastAsia="zh-CN"/>
          <w14:textFill>
            <w14:solidFill>
              <w14:schemeClr w14:val="tx1"/>
            </w14:solidFill>
          </w14:textFill>
        </w:rPr>
        <w:t>鼓励工商资本通过利益联结机制、优先吸纳当地农民就业等多种途径带动农民致富，开展“公司+农户”“公司+集体或农民合作社”“公司+家庭农场”等模式共同发展，通过签订订单合同、村党支部领办创办各类合作社、提供委托流转、股份合作、产业融合经营、土地托管服务等方式，带动村股份经济合作社、种养大户、农民合作社、家庭农场等新型农业经营主体发展农业产业化经营，实现合理分工、互利共赢，让农民更多地分享产业增值收益。探索支持工商资本吸纳部分农村集体或农户产权入股、参股分享产业增收的新机制，促进多方主体融合发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b w:val="0"/>
          <w:bCs/>
          <w:i w:val="0"/>
          <w:caps w:val="0"/>
          <w:color w:val="000000" w:themeColor="text1"/>
          <w:spacing w:val="0"/>
          <w:kern w:val="2"/>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b/>
          <w:bCs w:val="0"/>
          <w:i w:val="0"/>
          <w:caps w:val="0"/>
          <w:color w:val="000000" w:themeColor="text1"/>
          <w:spacing w:val="0"/>
          <w:sz w:val="32"/>
          <w:szCs w:val="32"/>
          <w:shd w:val="clear" w:fill="FFFFFF"/>
          <w:lang w:eastAsia="zh-CN"/>
          <w14:textFill>
            <w14:solidFill>
              <w14:schemeClr w14:val="tx1"/>
            </w14:solidFill>
          </w14:textFill>
        </w:rPr>
        <w:t>第二十七条</w:t>
      </w:r>
      <w:r>
        <w:rPr>
          <w:rFonts w:hint="eastAsia" w:ascii="仿宋_GB2312" w:hAnsi="仿宋_GB2312" w:eastAsia="仿宋_GB2312" w:cs="仿宋_GB2312"/>
          <w:b/>
          <w:bCs w:val="0"/>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b w:val="0"/>
          <w:bCs/>
          <w:i w:val="0"/>
          <w:caps w:val="0"/>
          <w:color w:val="000000" w:themeColor="text1"/>
          <w:spacing w:val="0"/>
          <w:kern w:val="2"/>
          <w:sz w:val="32"/>
          <w:szCs w:val="32"/>
          <w:shd w:val="clear" w:fill="FFFFFF"/>
          <w:lang w:val="en-US" w:eastAsia="zh-CN" w:bidi="ar-SA"/>
          <w14:textFill>
            <w14:solidFill>
              <w14:schemeClr w14:val="tx1"/>
            </w14:solidFill>
          </w14:textFill>
        </w:rPr>
        <w:t>严格</w:t>
      </w:r>
      <w:r>
        <w:rPr>
          <w:rFonts w:hint="default" w:ascii="仿宋_GB2312" w:hAnsi="仿宋_GB2312" w:eastAsia="仿宋_GB2312" w:cs="仿宋_GB2312"/>
          <w:b w:val="0"/>
          <w:bCs/>
          <w:i w:val="0"/>
          <w:caps w:val="0"/>
          <w:color w:val="000000" w:themeColor="text1"/>
          <w:spacing w:val="0"/>
          <w:kern w:val="2"/>
          <w:sz w:val="32"/>
          <w:szCs w:val="32"/>
          <w:shd w:val="clear" w:fill="FFFFFF"/>
          <w:lang w:val="en-US" w:eastAsia="zh-CN" w:bidi="ar-SA"/>
          <w14:textFill>
            <w14:solidFill>
              <w14:schemeClr w14:val="tx1"/>
            </w14:solidFill>
          </w14:textFill>
        </w:rPr>
        <w:t>控制工商企业等社会资本流转土地面积规模</w:t>
      </w:r>
      <w:r>
        <w:rPr>
          <w:rFonts w:hint="eastAsia" w:ascii="仿宋_GB2312" w:hAnsi="仿宋_GB2312" w:eastAsia="仿宋_GB2312" w:cs="仿宋_GB2312"/>
          <w:b w:val="0"/>
          <w:bCs/>
          <w:i w:val="0"/>
          <w:caps w:val="0"/>
          <w:color w:val="000000" w:themeColor="text1"/>
          <w:spacing w:val="0"/>
          <w:kern w:val="2"/>
          <w:sz w:val="32"/>
          <w:szCs w:val="32"/>
          <w:shd w:val="clear" w:fill="FFFFFF"/>
          <w:lang w:val="en-US" w:eastAsia="zh-CN" w:bidi="ar-SA"/>
          <w14:textFill>
            <w14:solidFill>
              <w14:schemeClr w14:val="tx1"/>
            </w14:solidFill>
          </w14:textFill>
        </w:rPr>
        <w:t>，原则上工商资本实施“先交租金后用地”制度</w:t>
      </w:r>
      <w:r>
        <w:rPr>
          <w:rFonts w:hint="default" w:ascii="仿宋_GB2312" w:hAnsi="仿宋_GB2312" w:eastAsia="仿宋_GB2312" w:cs="仿宋_GB2312"/>
          <w:b w:val="0"/>
          <w:bCs/>
          <w:i w:val="0"/>
          <w:caps w:val="0"/>
          <w:color w:val="000000" w:themeColor="text1"/>
          <w:spacing w:val="0"/>
          <w:kern w:val="2"/>
          <w:sz w:val="32"/>
          <w:szCs w:val="32"/>
          <w:shd w:val="clear" w:fill="FFFFFF"/>
          <w:lang w:val="en-US" w:eastAsia="zh-CN" w:bidi="ar-SA"/>
          <w14:textFill>
            <w14:solidFill>
              <w14:schemeClr w14:val="tx1"/>
            </w14:solidFill>
          </w14:textFill>
        </w:rPr>
        <w:t>。</w:t>
      </w:r>
      <w:r>
        <w:rPr>
          <w:rFonts w:hint="eastAsia" w:ascii="仿宋_GB2312" w:hAnsi="仿宋_GB2312" w:eastAsia="仿宋_GB2312" w:cs="仿宋_GB2312"/>
          <w:b w:val="0"/>
          <w:bCs/>
          <w:i w:val="0"/>
          <w:caps w:val="0"/>
          <w:color w:val="000000" w:themeColor="text1"/>
          <w:spacing w:val="0"/>
          <w:kern w:val="2"/>
          <w:sz w:val="32"/>
          <w:szCs w:val="32"/>
          <w:shd w:val="clear" w:fill="FFFFFF"/>
          <w:lang w:val="en-US" w:eastAsia="zh-CN" w:bidi="ar-SA"/>
          <w14:textFill>
            <w14:solidFill>
              <w14:schemeClr w14:val="tx1"/>
            </w14:solidFill>
          </w14:textFill>
        </w:rPr>
        <w:t>租赁农地面积单个企业（组织或个人）首次租赁农地时租赁面积上限设置不得高于5000亩。确有良好经营业绩的，经批准后可进一步扩大流转规模。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b w:val="0"/>
          <w:bCs/>
          <w:i w:val="0"/>
          <w:caps w:val="0"/>
          <w:color w:val="000000" w:themeColor="text1"/>
          <w:spacing w:val="0"/>
          <w:kern w:val="2"/>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b/>
          <w:bCs w:val="0"/>
          <w:i w:val="0"/>
          <w:caps w:val="0"/>
          <w:color w:val="000000" w:themeColor="text1"/>
          <w:spacing w:val="0"/>
          <w:sz w:val="32"/>
          <w:szCs w:val="32"/>
          <w:shd w:val="clear" w:fill="FFFFFF"/>
          <w:lang w:eastAsia="zh-CN"/>
          <w14:textFill>
            <w14:solidFill>
              <w14:schemeClr w14:val="tx1"/>
            </w14:solidFill>
          </w14:textFill>
        </w:rPr>
        <w:t>第二十八条</w:t>
      </w:r>
      <w:r>
        <w:rPr>
          <w:rFonts w:hint="eastAsia" w:ascii="仿宋_GB2312" w:hAnsi="仿宋_GB2312" w:eastAsia="仿宋_GB2312" w:cs="仿宋_GB2312"/>
          <w:b/>
          <w:bCs w:val="0"/>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b w:val="0"/>
          <w:bCs/>
          <w:i w:val="0"/>
          <w:caps w:val="0"/>
          <w:color w:val="000000" w:themeColor="text1"/>
          <w:spacing w:val="0"/>
          <w:kern w:val="2"/>
          <w:sz w:val="32"/>
          <w:szCs w:val="32"/>
          <w:shd w:val="clear" w:fill="FFFFFF"/>
          <w:lang w:val="en-US" w:eastAsia="zh-CN" w:bidi="ar-SA"/>
          <w14:textFill>
            <w14:solidFill>
              <w14:schemeClr w14:val="tx1"/>
            </w14:solidFill>
          </w14:textFill>
        </w:rPr>
        <w:t>乡（镇）应建立工商资本土地流转准入机制和用途管制，各村设置工商资本土地流转准入审查审核小组。对租赁农地企业（组织或个人）的主体资质、农业经营能力、生产经营项目、租赁土地用途、流转合同履行、经营风险防范等事项进行严格审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jc w:val="left"/>
        <w:textAlignment w:val="auto"/>
        <w:rPr>
          <w:rFonts w:hint="eastAsia" w:ascii="仿宋_GB2312" w:hAnsi="仿宋_GB2312" w:eastAsia="仿宋_GB2312" w:cs="仿宋_GB2312"/>
          <w:b w:val="0"/>
          <w:bCs/>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bCs w:val="0"/>
          <w:i w:val="0"/>
          <w:caps w:val="0"/>
          <w:color w:val="000000" w:themeColor="text1"/>
          <w:spacing w:val="0"/>
          <w:sz w:val="32"/>
          <w:szCs w:val="32"/>
          <w:shd w:val="clear" w:fill="FFFFFF"/>
          <w:lang w:eastAsia="zh-CN"/>
          <w14:textFill>
            <w14:solidFill>
              <w14:schemeClr w14:val="tx1"/>
            </w14:solidFill>
          </w14:textFill>
        </w:rPr>
        <w:t>第二十九条</w:t>
      </w:r>
      <w:r>
        <w:rPr>
          <w:rFonts w:hint="eastAsia" w:ascii="仿宋_GB2312" w:hAnsi="仿宋_GB2312" w:eastAsia="仿宋_GB2312" w:cs="仿宋_GB2312"/>
          <w:b/>
          <w:bCs w:val="0"/>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b w:val="0"/>
          <w:bCs/>
          <w:i w:val="0"/>
          <w:caps w:val="0"/>
          <w:color w:val="000000" w:themeColor="text1"/>
          <w:spacing w:val="0"/>
          <w:kern w:val="2"/>
          <w:sz w:val="32"/>
          <w:szCs w:val="32"/>
          <w:shd w:val="clear" w:fill="FFFFFF"/>
          <w:lang w:val="en-US" w:eastAsia="zh-CN" w:bidi="ar-SA"/>
          <w14:textFill>
            <w14:solidFill>
              <w14:schemeClr w14:val="tx1"/>
            </w14:solidFill>
          </w14:textFill>
        </w:rPr>
        <w:t>突出防范重点，对同一受让方流转土地规模达到5000亩以上（含5000亩）的列为县级重点监管对象；同一受让方流转土地规模达到500亩以上（含500亩）的列为乡（镇）级重点监管对象。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jc w:val="left"/>
        <w:textAlignment w:val="auto"/>
        <w:rPr>
          <w:rFonts w:hint="eastAsia" w:ascii="仿宋_GB2312" w:hAnsi="仿宋_GB2312" w:eastAsia="仿宋_GB2312" w:cs="仿宋_GB2312"/>
          <w:b w:val="0"/>
          <w:bCs/>
          <w:i w:val="0"/>
          <w:caps w:val="0"/>
          <w:color w:val="000000" w:themeColor="text1"/>
          <w:spacing w:val="0"/>
          <w:kern w:val="2"/>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b/>
          <w:bCs w:val="0"/>
          <w:i w:val="0"/>
          <w:caps w:val="0"/>
          <w:color w:val="000000" w:themeColor="text1"/>
          <w:spacing w:val="0"/>
          <w:sz w:val="32"/>
          <w:szCs w:val="32"/>
          <w:shd w:val="clear" w:fill="FFFFFF"/>
          <w:lang w:eastAsia="zh-CN"/>
          <w14:textFill>
            <w14:solidFill>
              <w14:schemeClr w14:val="tx1"/>
            </w14:solidFill>
          </w14:textFill>
        </w:rPr>
        <w:t>第三十条</w:t>
      </w:r>
      <w:r>
        <w:rPr>
          <w:rFonts w:hint="eastAsia" w:ascii="仿宋_GB2312" w:hAnsi="仿宋_GB2312" w:eastAsia="仿宋_GB2312" w:cs="仿宋_GB2312"/>
          <w:b/>
          <w:bCs w:val="0"/>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b w:val="0"/>
          <w:bCs/>
          <w:i w:val="0"/>
          <w:caps w:val="0"/>
          <w:color w:val="000000" w:themeColor="text1"/>
          <w:spacing w:val="0"/>
          <w:kern w:val="2"/>
          <w:sz w:val="32"/>
          <w:szCs w:val="32"/>
          <w:shd w:val="clear" w:fill="FFFFFF"/>
          <w:lang w:val="en-US" w:eastAsia="zh-CN" w:bidi="ar-SA"/>
          <w14:textFill>
            <w14:solidFill>
              <w14:schemeClr w14:val="tx1"/>
            </w14:solidFill>
          </w14:textFill>
        </w:rPr>
        <w:t>严格规范工商资本流转农村土地行为。凡是整村整组流转的，必须经相关农户书面委托并签订合同，不能以少数服从多数的名义，将农户二轮承包地集中对外招商经营，防止强迫命令、搞一刀切，防止少数基层干部私相授受、谋取私利。对整村（组）土地经营权流转面积较大、涉及农户较多、经营风险较高的项目，流转双方可以协商设立风险保障金。风险保障金必须专款专用，坚持公开、公平、公正原则，专项用于补偿因工商资本无法履行合同给农户造成的流转收益损失，无风险损失的在土地流转结束后及时退回受让方。鼓励保险机构为土地经营权流转提供流转履约保证保险等多种形式保险服务。</w:t>
      </w:r>
    </w:p>
    <w:p>
      <w:pPr>
        <w:pStyle w:val="8"/>
        <w:keepNext w:val="0"/>
        <w:keepLines w:val="0"/>
        <w:pageBreakBefore w:val="0"/>
        <w:kinsoku/>
        <w:wordWrap/>
        <w:overflowPunct/>
        <w:topLinePunct w:val="0"/>
        <w:autoSpaceDE/>
        <w:autoSpaceDN/>
        <w:bidi w:val="0"/>
        <w:adjustRightInd/>
        <w:snapToGrid/>
        <w:spacing w:after="0" w:afterLines="0" w:line="560" w:lineRule="exact"/>
        <w:ind w:left="0" w:firstLine="643" w:firstLineChars="200"/>
        <w:textAlignment w:val="auto"/>
        <w:rPr>
          <w:rFonts w:hint="eastAsia" w:ascii="仿宋_GB2312" w:hAnsi="仿宋_GB2312" w:eastAsia="仿宋_GB2312" w:cs="仿宋_GB2312"/>
          <w:b w:val="0"/>
          <w:bCs/>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bCs w:val="0"/>
          <w:i w:val="0"/>
          <w:caps w:val="0"/>
          <w:color w:val="000000" w:themeColor="text1"/>
          <w:spacing w:val="0"/>
          <w:sz w:val="32"/>
          <w:szCs w:val="32"/>
          <w:shd w:val="clear" w:fill="FFFFFF"/>
          <w:lang w:eastAsia="zh-CN"/>
          <w14:textFill>
            <w14:solidFill>
              <w14:schemeClr w14:val="tx1"/>
            </w14:solidFill>
          </w14:textFill>
        </w:rPr>
        <w:t>第三十一条</w:t>
      </w:r>
      <w:r>
        <w:rPr>
          <w:rFonts w:hint="eastAsia" w:ascii="仿宋_GB2312" w:hAnsi="仿宋_GB2312" w:eastAsia="仿宋_GB2312" w:cs="仿宋_GB2312"/>
          <w:b/>
          <w:bCs w:val="0"/>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b w:val="0"/>
          <w:bCs/>
          <w:i w:val="0"/>
          <w:caps w:val="0"/>
          <w:color w:val="000000" w:themeColor="text1"/>
          <w:spacing w:val="0"/>
          <w:kern w:val="2"/>
          <w:sz w:val="32"/>
          <w:szCs w:val="32"/>
          <w:shd w:val="clear" w:fill="FFFFFF"/>
          <w:lang w:val="en-US" w:eastAsia="zh-CN" w:bidi="ar-SA"/>
          <w14:textFill>
            <w14:solidFill>
              <w14:schemeClr w14:val="tx1"/>
            </w14:solidFill>
          </w14:textFill>
        </w:rPr>
        <w:t>以乡（镇）为单位建立工商资本违规用地惩戒制度，工商资本对租赁土地，擅自改变农业用途、严重破坏、掠夺式经营或污染流转农地等违法违规行为，一经发现，责令限期整改，并按合同及相关规定清算赔偿损失，情节严重的要依法追究相关责任。</w:t>
      </w:r>
    </w:p>
    <w:p>
      <w:pPr>
        <w:pStyle w:val="8"/>
        <w:keepNext w:val="0"/>
        <w:keepLines w:val="0"/>
        <w:pageBreakBefore w:val="0"/>
        <w:kinsoku/>
        <w:wordWrap/>
        <w:overflowPunct/>
        <w:topLinePunct w:val="0"/>
        <w:autoSpaceDE/>
        <w:autoSpaceDN/>
        <w:bidi w:val="0"/>
        <w:adjustRightInd/>
        <w:snapToGrid/>
        <w:spacing w:after="0" w:afterLines="0" w:line="560" w:lineRule="exact"/>
        <w:ind w:left="0" w:firstLine="643" w:firstLineChars="200"/>
        <w:textAlignment w:val="auto"/>
        <w:rPr>
          <w:rFonts w:hint="eastAsia" w:ascii="仿宋_GB2312" w:hAnsi="仿宋_GB2312" w:eastAsia="仿宋_GB2312" w:cs="仿宋_GB2312"/>
          <w:b w:val="0"/>
          <w:bCs/>
          <w:i w:val="0"/>
          <w:caps w:val="0"/>
          <w:color w:val="000000" w:themeColor="text1"/>
          <w:spacing w:val="0"/>
          <w:kern w:val="2"/>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b/>
          <w:bCs w:val="0"/>
          <w:i w:val="0"/>
          <w:caps w:val="0"/>
          <w:color w:val="000000" w:themeColor="text1"/>
          <w:spacing w:val="0"/>
          <w:sz w:val="32"/>
          <w:szCs w:val="32"/>
          <w:shd w:val="clear" w:fill="FFFFFF"/>
          <w:lang w:eastAsia="zh-CN"/>
          <w14:textFill>
            <w14:solidFill>
              <w14:schemeClr w14:val="tx1"/>
            </w14:solidFill>
          </w14:textFill>
        </w:rPr>
        <w:t>第三十二条</w:t>
      </w:r>
      <w:r>
        <w:rPr>
          <w:rFonts w:hint="eastAsia" w:ascii="仿宋_GB2312" w:hAnsi="仿宋_GB2312" w:eastAsia="仿宋_GB2312" w:cs="仿宋_GB2312"/>
          <w:b/>
          <w:bCs w:val="0"/>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b w:val="0"/>
          <w:bCs/>
          <w:i w:val="0"/>
          <w:caps w:val="0"/>
          <w:color w:val="000000" w:themeColor="text1"/>
          <w:spacing w:val="0"/>
          <w:kern w:val="2"/>
          <w:sz w:val="32"/>
          <w:szCs w:val="32"/>
          <w:shd w:val="clear" w:fill="FFFFFF"/>
          <w:lang w:val="en-US" w:eastAsia="zh-CN" w:bidi="ar-SA"/>
          <w14:textFill>
            <w14:solidFill>
              <w14:schemeClr w14:val="tx1"/>
            </w14:solidFill>
          </w14:textFill>
        </w:rPr>
        <w:t>工商资本的农村土地经营权发包及流转，在农村综合产权交易中心交易中心进行，接受乡（镇）和县级有关部门的监督，流转合同中应明确土地流转用途、风险保障、土地复垦、能否抵押担保以及违约责任等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jc w:val="left"/>
        <w:textAlignment w:val="auto"/>
        <w:rPr>
          <w:rFonts w:hint="eastAsia" w:ascii="仿宋_GB2312" w:hAnsi="仿宋_GB2312" w:eastAsia="仿宋_GB2312" w:cs="仿宋_GB2312"/>
          <w:b w:val="0"/>
          <w:bCs/>
          <w:i w:val="0"/>
          <w:caps w:val="0"/>
          <w:color w:val="000000" w:themeColor="text1"/>
          <w:spacing w:val="0"/>
          <w:kern w:val="2"/>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b/>
          <w:bCs w:val="0"/>
          <w:i w:val="0"/>
          <w:caps w:val="0"/>
          <w:color w:val="000000" w:themeColor="text1"/>
          <w:spacing w:val="0"/>
          <w:sz w:val="32"/>
          <w:szCs w:val="32"/>
          <w:shd w:val="clear" w:fill="FFFFFF"/>
          <w:lang w:eastAsia="zh-CN"/>
          <w14:textFill>
            <w14:solidFill>
              <w14:schemeClr w14:val="tx1"/>
            </w14:solidFill>
          </w14:textFill>
        </w:rPr>
        <w:t>第三十三条</w:t>
      </w:r>
      <w:r>
        <w:rPr>
          <w:rFonts w:hint="eastAsia" w:ascii="仿宋_GB2312" w:hAnsi="仿宋_GB2312" w:eastAsia="仿宋_GB2312" w:cs="仿宋_GB2312"/>
          <w:b/>
          <w:bCs w:val="0"/>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b w:val="0"/>
          <w:bCs/>
          <w:i w:val="0"/>
          <w:caps w:val="0"/>
          <w:color w:val="000000" w:themeColor="text1"/>
          <w:spacing w:val="0"/>
          <w:kern w:val="2"/>
          <w:sz w:val="32"/>
          <w:szCs w:val="32"/>
          <w:shd w:val="clear" w:fill="FFFFFF"/>
          <w:lang w:val="en-US" w:eastAsia="zh-CN" w:bidi="ar-SA"/>
          <w14:textFill>
            <w14:solidFill>
              <w14:schemeClr w14:val="tx1"/>
            </w14:solidFill>
          </w14:textFill>
        </w:rPr>
        <w:t>农村集体经济组织为工商企业等各类土地流转经营主体提供服务的，可以收取适量管理和服务费用，原则上提取的管理费用应控制在承包费用总金额的10%以内，本集体经济组织农户之间二轮承包地的流转禁止收取管理费用，服务费用参照市场价格，友好协商书面确定。提取管理和服务费用的金额和方式应当坚持县级指导、乡（镇）审批、由村集体经济组织、承包方（工商企业）等社会资本共同协商确定。管理费用纳入村集体经济组织会计核算和财务管理，主要用于农田基本建设、其他公益性支出、农村土地流转管理的成本和壮大村集体经济相关的支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jc w:val="left"/>
        <w:textAlignment w:val="auto"/>
        <w:rPr>
          <w:rFonts w:hint="eastAsia" w:ascii="仿宋_GB2312" w:hAnsi="仿宋_GB2312" w:eastAsia="仿宋_GB2312" w:cs="仿宋_GB2312"/>
          <w:b w:val="0"/>
          <w:bCs/>
          <w:i w:val="0"/>
          <w:caps w:val="0"/>
          <w:color w:val="000000" w:themeColor="text1"/>
          <w:spacing w:val="0"/>
          <w:kern w:val="2"/>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b/>
          <w:bCs w:val="0"/>
          <w:i w:val="0"/>
          <w:caps w:val="0"/>
          <w:color w:val="000000" w:themeColor="text1"/>
          <w:spacing w:val="0"/>
          <w:sz w:val="32"/>
          <w:szCs w:val="32"/>
          <w:shd w:val="clear" w:fill="FFFFFF"/>
          <w:lang w:eastAsia="zh-CN"/>
          <w14:textFill>
            <w14:solidFill>
              <w14:schemeClr w14:val="tx1"/>
            </w14:solidFill>
          </w14:textFill>
        </w:rPr>
        <w:t>第三十四条</w:t>
      </w:r>
      <w:r>
        <w:rPr>
          <w:rFonts w:hint="eastAsia" w:ascii="仿宋_GB2312" w:hAnsi="仿宋_GB2312" w:eastAsia="仿宋_GB2312" w:cs="仿宋_GB2312"/>
          <w:b/>
          <w:bCs w:val="0"/>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b w:val="0"/>
          <w:bCs/>
          <w:i w:val="0"/>
          <w:caps w:val="0"/>
          <w:color w:val="000000" w:themeColor="text1"/>
          <w:spacing w:val="0"/>
          <w:kern w:val="2"/>
          <w:sz w:val="32"/>
          <w:szCs w:val="32"/>
          <w:shd w:val="clear" w:fill="FFFFFF"/>
          <w:lang w:val="en-US" w:eastAsia="zh-CN" w:bidi="ar-SA"/>
          <w14:textFill>
            <w14:solidFill>
              <w14:schemeClr w14:val="tx1"/>
            </w14:solidFill>
          </w14:textFill>
        </w:rPr>
        <w:t>企业（组织或个人）要严格按照合同约定从事农业生产经营，未经承包方、村集体经济组织、乡（镇）人民政府书面同意的，不得再流转。</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kern w:val="2"/>
          <w:sz w:val="32"/>
          <w:szCs w:val="32"/>
          <w:shd w:val="clear" w:fill="FFFFFF"/>
          <w:lang w:val="en-US" w:eastAsia="zh-CN" w:bidi="ar-SA"/>
          <w14:textFill>
            <w14:solidFill>
              <w14:schemeClr w14:val="tx1"/>
            </w14:solidFill>
          </w14:textFill>
        </w:rPr>
        <w:t>禁止工商资本损害农民权益、搞非农建设和影响耕地保护。严禁工商资本擅自改变合同的种植约定、耕地用途、破坏农业综合生产能力和农业生态环境等；严禁工商资本借政府或基层组织名义，通过招商引资、下指标、定任务等方式强迫农户流转农村土地或整村整组流转土地。</w:t>
      </w:r>
      <w:r>
        <w:rPr>
          <w:rFonts w:hint="default" w:ascii="仿宋_GB2312" w:hAnsi="仿宋_GB2312" w:eastAsia="仿宋_GB2312" w:cs="仿宋_GB2312"/>
          <w:b w:val="0"/>
          <w:bCs/>
          <w:i w:val="0"/>
          <w:caps w:val="0"/>
          <w:color w:val="000000" w:themeColor="text1"/>
          <w:spacing w:val="0"/>
          <w:kern w:val="2"/>
          <w:sz w:val="32"/>
          <w:szCs w:val="32"/>
          <w:shd w:val="clear" w:fill="FFFFFF"/>
          <w:lang w:val="en-US" w:eastAsia="zh-CN" w:bidi="ar-SA"/>
          <w14:textFill>
            <w14:solidFill>
              <w14:schemeClr w14:val="tx1"/>
            </w14:solidFill>
          </w14:textFill>
        </w:rPr>
        <w:t>防止工商资本违反相关产业发展规划</w:t>
      </w:r>
      <w:r>
        <w:rPr>
          <w:rFonts w:hint="eastAsia" w:ascii="仿宋_GB2312" w:hAnsi="仿宋_GB2312" w:eastAsia="仿宋_GB2312" w:cs="仿宋_GB2312"/>
          <w:b w:val="0"/>
          <w:bCs/>
          <w:i w:val="0"/>
          <w:caps w:val="0"/>
          <w:color w:val="000000" w:themeColor="text1"/>
          <w:spacing w:val="0"/>
          <w:kern w:val="2"/>
          <w:sz w:val="32"/>
          <w:szCs w:val="32"/>
          <w:shd w:val="clear" w:fill="FFFFFF"/>
          <w:lang w:val="en-US" w:eastAsia="zh-CN" w:bidi="ar-SA"/>
          <w14:textFill>
            <w14:solidFill>
              <w14:schemeClr w14:val="tx1"/>
            </w14:solidFill>
          </w14:textFill>
        </w:rPr>
        <w:t>，</w:t>
      </w:r>
      <w:r>
        <w:rPr>
          <w:rFonts w:hint="default" w:ascii="仿宋_GB2312" w:hAnsi="仿宋_GB2312" w:eastAsia="仿宋_GB2312" w:cs="仿宋_GB2312"/>
          <w:b w:val="0"/>
          <w:bCs/>
          <w:i w:val="0"/>
          <w:caps w:val="0"/>
          <w:color w:val="000000" w:themeColor="text1"/>
          <w:spacing w:val="0"/>
          <w:kern w:val="2"/>
          <w:sz w:val="32"/>
          <w:szCs w:val="32"/>
          <w:shd w:val="clear" w:fill="FFFFFF"/>
          <w:lang w:val="en-US" w:eastAsia="zh-CN" w:bidi="ar-SA"/>
          <w14:textFill>
            <w14:solidFill>
              <w14:schemeClr w14:val="tx1"/>
            </w14:solidFill>
          </w14:textFill>
        </w:rPr>
        <w:t>大规模流转耕地不种粮的行为</w:t>
      </w:r>
      <w:r>
        <w:rPr>
          <w:rFonts w:hint="eastAsia" w:ascii="仿宋_GB2312" w:hAnsi="仿宋_GB2312" w:eastAsia="仿宋_GB2312" w:cs="仿宋_GB2312"/>
          <w:b w:val="0"/>
          <w:bCs/>
          <w:i w:val="0"/>
          <w:caps w:val="0"/>
          <w:color w:val="000000" w:themeColor="text1"/>
          <w:spacing w:val="0"/>
          <w:kern w:val="2"/>
          <w:sz w:val="32"/>
          <w:szCs w:val="32"/>
          <w:shd w:val="clear" w:fill="FFFFFF"/>
          <w:lang w:val="en-US" w:eastAsia="zh-CN" w:bidi="ar-SA"/>
          <w14:textFill>
            <w14:solidFill>
              <w14:schemeClr w14:val="tx1"/>
            </w14:solidFill>
          </w14:textFill>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黑体" w:hAnsi="黑体" w:eastAsia="黑体" w:cs="黑体"/>
          <w:b w:val="0"/>
          <w:bCs/>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b w:val="0"/>
          <w:bCs/>
          <w:i w:val="0"/>
          <w:caps w:val="0"/>
          <w:color w:val="000000" w:themeColor="text1"/>
          <w:spacing w:val="0"/>
          <w:sz w:val="32"/>
          <w:szCs w:val="32"/>
          <w:shd w:val="clear" w:fill="FFFFFF"/>
          <w:lang w:val="en-US" w:eastAsia="zh-CN"/>
          <w14:textFill>
            <w14:solidFill>
              <w14:schemeClr w14:val="tx1"/>
            </w14:solidFill>
          </w14:textFill>
        </w:rPr>
        <w:t>第六章  农村产权交易中心的运营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jc w:val="left"/>
        <w:textAlignment w:val="auto"/>
        <w:rPr>
          <w:rFonts w:hint="eastAsia" w:ascii="仿宋_GB2312" w:hAnsi="仿宋_GB2312" w:eastAsia="仿宋_GB2312" w:cs="仿宋_GB2312"/>
          <w:b w:val="0"/>
          <w:bCs/>
          <w:i w:val="0"/>
          <w:caps w:val="0"/>
          <w:color w:val="000000" w:themeColor="text1"/>
          <w:spacing w:val="0"/>
          <w:kern w:val="2"/>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b/>
          <w:bCs w:val="0"/>
          <w:i w:val="0"/>
          <w:caps w:val="0"/>
          <w:color w:val="000000" w:themeColor="text1"/>
          <w:spacing w:val="0"/>
          <w:sz w:val="32"/>
          <w:szCs w:val="32"/>
          <w:shd w:val="clear" w:fill="FFFFFF"/>
          <w:lang w:eastAsia="zh-CN"/>
          <w14:textFill>
            <w14:solidFill>
              <w14:schemeClr w14:val="tx1"/>
            </w14:solidFill>
          </w14:textFill>
        </w:rPr>
        <w:t>第三十五条</w:t>
      </w:r>
      <w:r>
        <w:rPr>
          <w:rFonts w:hint="eastAsia" w:ascii="仿宋_GB2312" w:hAnsi="仿宋_GB2312" w:eastAsia="仿宋_GB2312" w:cs="仿宋_GB2312"/>
          <w:b/>
          <w:bCs w:val="0"/>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b w:val="0"/>
          <w:bCs/>
          <w:i w:val="0"/>
          <w:caps w:val="0"/>
          <w:color w:val="000000" w:themeColor="text1"/>
          <w:spacing w:val="0"/>
          <w:kern w:val="2"/>
          <w:sz w:val="32"/>
          <w:szCs w:val="32"/>
          <w:shd w:val="clear" w:fill="FFFFFF"/>
          <w:lang w:val="en-US" w:eastAsia="zh-CN" w:bidi="ar-SA"/>
          <w14:textFill>
            <w14:solidFill>
              <w14:schemeClr w14:val="tx1"/>
            </w14:solidFill>
          </w14:textFill>
        </w:rPr>
        <w:t>农村产权交易是指资产拥有者将自己的资产权和经营权全部或部分转让等方式的经济活动，可以用于交易的农村产权包括农户承包土地经营权、农业生产设备、农村集体经营性资产、农村宅基地使用权、农村住房财产权、农村集体经济组织股权、农业类知识产权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jc w:val="left"/>
        <w:textAlignment w:val="auto"/>
        <w:rPr>
          <w:rFonts w:hint="eastAsia" w:ascii="仿宋_GB2312" w:hAnsi="仿宋_GB2312" w:eastAsia="仿宋_GB2312" w:cs="仿宋_GB2312"/>
          <w:b w:val="0"/>
          <w:bCs/>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bCs w:val="0"/>
          <w:i w:val="0"/>
          <w:caps w:val="0"/>
          <w:color w:val="000000" w:themeColor="text1"/>
          <w:spacing w:val="0"/>
          <w:sz w:val="32"/>
          <w:szCs w:val="32"/>
          <w:shd w:val="clear" w:fill="FFFFFF"/>
          <w:lang w:eastAsia="zh-CN"/>
          <w14:textFill>
            <w14:solidFill>
              <w14:schemeClr w14:val="tx1"/>
            </w14:solidFill>
          </w14:textFill>
        </w:rPr>
        <w:t>第三十六条</w:t>
      </w:r>
      <w:r>
        <w:rPr>
          <w:rFonts w:hint="eastAsia" w:ascii="仿宋_GB2312" w:hAnsi="仿宋_GB2312" w:eastAsia="仿宋_GB2312" w:cs="仿宋_GB2312"/>
          <w:b/>
          <w:bCs w:val="0"/>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b w:val="0"/>
          <w:bCs/>
          <w:i w:val="0"/>
          <w:caps w:val="0"/>
          <w:color w:val="000000" w:themeColor="text1"/>
          <w:spacing w:val="0"/>
          <w:kern w:val="2"/>
          <w:sz w:val="32"/>
          <w:szCs w:val="32"/>
          <w:shd w:val="clear" w:fill="FFFFFF"/>
          <w:lang w:val="en-US" w:eastAsia="zh-CN" w:bidi="ar-SA"/>
          <w14:textFill>
            <w14:solidFill>
              <w14:schemeClr w14:val="tx1"/>
            </w14:solidFill>
          </w14:textFill>
        </w:rPr>
        <w:t>建立完善“县农村产权交易中心+乡（镇）级服务站+村级服务点”的三级农村产权交易服务体系。通过开展农村产权交易平台建设，以及运营服务，有效解决当前农村资产、各类资源、特别是机动地流转交易不规范、流转信息闭塞、流转违约风险、流转分散等问题，通过交易平台对资产、资源、土地等信息的采集、整合、共享、集中发布，有效提升市场良性竞争性抬高溢价，增加农民财产收入，保护集体和农牧民利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jc w:val="left"/>
        <w:textAlignment w:val="auto"/>
        <w:rPr>
          <w:rFonts w:hint="eastAsia" w:ascii="仿宋_GB2312" w:hAnsi="仿宋_GB2312" w:eastAsia="仿宋_GB2312" w:cs="仿宋_GB2312"/>
          <w:b w:val="0"/>
          <w:bCs/>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bCs w:val="0"/>
          <w:i w:val="0"/>
          <w:caps w:val="0"/>
          <w:color w:val="000000" w:themeColor="text1"/>
          <w:spacing w:val="0"/>
          <w:sz w:val="32"/>
          <w:szCs w:val="32"/>
          <w:shd w:val="clear" w:fill="FFFFFF"/>
          <w:lang w:eastAsia="zh-CN"/>
          <w14:textFill>
            <w14:solidFill>
              <w14:schemeClr w14:val="tx1"/>
            </w14:solidFill>
          </w14:textFill>
        </w:rPr>
        <w:t>第三十七条</w:t>
      </w:r>
      <w:r>
        <w:rPr>
          <w:rFonts w:hint="eastAsia" w:ascii="仿宋_GB2312" w:hAnsi="仿宋_GB2312" w:eastAsia="仿宋_GB2312" w:cs="仿宋_GB2312"/>
          <w:b/>
          <w:bCs w:val="0"/>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b w:val="0"/>
          <w:bCs/>
          <w:i w:val="0"/>
          <w:caps w:val="0"/>
          <w:color w:val="000000" w:themeColor="text1"/>
          <w:spacing w:val="0"/>
          <w:kern w:val="2"/>
          <w:sz w:val="32"/>
          <w:szCs w:val="32"/>
          <w:shd w:val="clear" w:fill="FFFFFF"/>
          <w:lang w:val="en-US" w:eastAsia="zh-CN" w:bidi="ar-SA"/>
          <w14:textFill>
            <w14:solidFill>
              <w14:schemeClr w14:val="tx1"/>
            </w14:solidFill>
          </w14:textFill>
        </w:rPr>
        <w:t>县农村综合产权交易中心接受农经局的业务指导和监督，为农村各类产权提供信息发布、组织交易、价款结算、抵押融资、农村土地流转价格指导和评估等配套服务，开展农村土地经营权规范化流转交易工作，农村集体机动地100%纳入平台公开交易，形成公开、公平、公正的农村产权流转交易市场氛围；推动农村集体资产、各类资源、农牧民闲置资产等进入农村综合产权交易中心流转交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jc w:val="left"/>
        <w:textAlignment w:val="auto"/>
        <w:rPr>
          <w:rFonts w:hint="eastAsia" w:ascii="仿宋_GB2312" w:hAnsi="仿宋_GB2312" w:eastAsia="仿宋_GB2312" w:cs="仿宋_GB2312"/>
          <w:b w:val="0"/>
          <w:bCs/>
          <w:i w:val="0"/>
          <w:caps w:val="0"/>
          <w:color w:val="000000" w:themeColor="text1"/>
          <w:spacing w:val="0"/>
          <w:kern w:val="2"/>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b/>
          <w:bCs w:val="0"/>
          <w:i w:val="0"/>
          <w:caps w:val="0"/>
          <w:color w:val="000000" w:themeColor="text1"/>
          <w:spacing w:val="0"/>
          <w:sz w:val="32"/>
          <w:szCs w:val="32"/>
          <w:shd w:val="clear" w:fill="FFFFFF"/>
          <w:lang w:eastAsia="zh-CN"/>
          <w14:textFill>
            <w14:solidFill>
              <w14:schemeClr w14:val="tx1"/>
            </w14:solidFill>
          </w14:textFill>
        </w:rPr>
        <w:t>第三十八条</w:t>
      </w:r>
      <w:r>
        <w:rPr>
          <w:rFonts w:hint="eastAsia" w:ascii="仿宋_GB2312" w:hAnsi="仿宋_GB2312" w:eastAsia="仿宋_GB2312" w:cs="仿宋_GB2312"/>
          <w:b/>
          <w:bCs w:val="0"/>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b w:val="0"/>
          <w:bCs/>
          <w:i w:val="0"/>
          <w:caps w:val="0"/>
          <w:color w:val="000000" w:themeColor="text1"/>
          <w:spacing w:val="0"/>
          <w:kern w:val="2"/>
          <w:sz w:val="32"/>
          <w:szCs w:val="32"/>
          <w:shd w:val="clear" w:fill="FFFFFF"/>
          <w:lang w:val="en-US" w:eastAsia="zh-CN" w:bidi="ar-SA"/>
          <w14:textFill>
            <w14:solidFill>
              <w14:schemeClr w14:val="tx1"/>
            </w14:solidFill>
          </w14:textFill>
        </w:rPr>
        <w:t>完善农村土地流转管理台账，落实土地流转合同网签、种植数据对比制度，实现农业农村部门对土地流转交易的全域监管。结合交易中心数据基础，与县域金融机构对接开展农村土地经营权等各类抵押业务，打通新型农业经营主体和银行的资金申请渠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jc w:val="left"/>
        <w:textAlignment w:val="auto"/>
        <w:rPr>
          <w:rFonts w:hint="eastAsia" w:ascii="仿宋_GB2312" w:hAnsi="仿宋_GB2312" w:eastAsia="仿宋_GB2312" w:cs="仿宋_GB2312"/>
          <w:b w:val="0"/>
          <w:bCs/>
          <w:i w:val="0"/>
          <w:caps w:val="0"/>
          <w:color w:val="000000" w:themeColor="text1"/>
          <w:spacing w:val="0"/>
          <w:kern w:val="2"/>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b/>
          <w:bCs w:val="0"/>
          <w:i w:val="0"/>
          <w:caps w:val="0"/>
          <w:color w:val="000000" w:themeColor="text1"/>
          <w:spacing w:val="0"/>
          <w:sz w:val="32"/>
          <w:szCs w:val="32"/>
          <w:shd w:val="clear" w:fill="FFFFFF"/>
          <w:lang w:eastAsia="zh-CN"/>
          <w14:textFill>
            <w14:solidFill>
              <w14:schemeClr w14:val="tx1"/>
            </w14:solidFill>
          </w14:textFill>
        </w:rPr>
        <w:t>第三十九条</w:t>
      </w:r>
      <w:r>
        <w:rPr>
          <w:rFonts w:hint="eastAsia" w:ascii="仿宋_GB2312" w:hAnsi="仿宋_GB2312" w:eastAsia="仿宋_GB2312" w:cs="仿宋_GB2312"/>
          <w:b/>
          <w:bCs w:val="0"/>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b w:val="0"/>
          <w:bCs/>
          <w:i w:val="0"/>
          <w:caps w:val="0"/>
          <w:color w:val="000000" w:themeColor="text1"/>
          <w:spacing w:val="0"/>
          <w:kern w:val="2"/>
          <w:sz w:val="32"/>
          <w:szCs w:val="32"/>
          <w:shd w:val="clear" w:fill="FFFFFF"/>
          <w:lang w:val="en-US" w:eastAsia="zh-CN" w:bidi="ar-SA"/>
          <w14:textFill>
            <w14:solidFill>
              <w14:schemeClr w14:val="tx1"/>
            </w14:solidFill>
          </w14:textFill>
        </w:rPr>
        <w:t>县农村综合产权交易中心承担农村土地流转的合同管理、签证等相关职能。探索集中+点位式委托代理服务运营方式，采用电子竞价、协议等方式按成交面积1元-5元/亩或年度承包费用不高于５%的标准收取服务费用，向村集体经济组织、农民专业合作社、龙头企业等新型经营主体或受让方单方收取。家庭承包的农村土地流转中农户之间流转免收流转服务费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center"/>
        <w:textAlignment w:val="auto"/>
        <w:rPr>
          <w:rFonts w:hint="eastAsia" w:ascii="黑体" w:hAnsi="黑体" w:eastAsia="黑体" w:cs="黑体"/>
          <w:b w:val="0"/>
          <w:bCs/>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b w:val="0"/>
          <w:bCs/>
          <w:i w:val="0"/>
          <w:caps w:val="0"/>
          <w:color w:val="000000" w:themeColor="text1"/>
          <w:spacing w:val="0"/>
          <w:sz w:val="32"/>
          <w:szCs w:val="32"/>
          <w:shd w:val="clear" w:fill="FFFFFF"/>
          <w:lang w:eastAsia="zh-CN"/>
          <w14:textFill>
            <w14:solidFill>
              <w14:schemeClr w14:val="tx1"/>
            </w14:solidFill>
          </w14:textFill>
        </w:rPr>
        <w:t>第七章</w:t>
      </w:r>
      <w:r>
        <w:rPr>
          <w:rFonts w:hint="eastAsia" w:ascii="黑体" w:hAnsi="黑体" w:eastAsia="黑体" w:cs="黑体"/>
          <w:b w:val="0"/>
          <w:bCs/>
          <w:i w:val="0"/>
          <w:caps w:val="0"/>
          <w:color w:val="000000" w:themeColor="text1"/>
          <w:spacing w:val="0"/>
          <w:sz w:val="32"/>
          <w:szCs w:val="32"/>
          <w:shd w:val="clear" w:fill="FFFFFF"/>
          <w:lang w:val="en-US" w:eastAsia="zh-CN"/>
          <w14:textFill>
            <w14:solidFill>
              <w14:schemeClr w14:val="tx1"/>
            </w14:solidFill>
          </w14:textFill>
        </w:rPr>
        <w:t xml:space="preserve">  抵押担保</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jc w:val="left"/>
        <w:textAlignment w:val="auto"/>
        <w:rPr>
          <w:rFonts w:hint="eastAsia" w:ascii="仿宋_GB2312" w:hAnsi="仿宋_GB2312" w:eastAsia="仿宋_GB2312" w:cs="仿宋_GB2312"/>
          <w:b w:val="0"/>
          <w:bCs/>
          <w:i w:val="0"/>
          <w:caps w:val="0"/>
          <w:color w:val="000000" w:themeColor="text1"/>
          <w:spacing w:val="0"/>
          <w:kern w:val="2"/>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b/>
          <w:bCs w:val="0"/>
          <w:i w:val="0"/>
          <w:caps w:val="0"/>
          <w:color w:val="000000" w:themeColor="text1"/>
          <w:spacing w:val="0"/>
          <w:sz w:val="32"/>
          <w:szCs w:val="32"/>
          <w:shd w:val="clear" w:fill="FFFFFF"/>
          <w:lang w:eastAsia="zh-CN"/>
          <w14:textFill>
            <w14:solidFill>
              <w14:schemeClr w14:val="tx1"/>
            </w14:solidFill>
          </w14:textFill>
        </w:rPr>
        <w:t>第四十条</w:t>
      </w:r>
      <w:r>
        <w:rPr>
          <w:rFonts w:hint="eastAsia" w:ascii="仿宋_GB2312" w:hAnsi="仿宋_GB2312" w:eastAsia="仿宋_GB2312" w:cs="仿宋_GB2312"/>
          <w:b/>
          <w:bCs w:val="0"/>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b w:val="0"/>
          <w:bCs/>
          <w:i w:val="0"/>
          <w:caps w:val="0"/>
          <w:color w:val="000000" w:themeColor="text1"/>
          <w:spacing w:val="0"/>
          <w:kern w:val="2"/>
          <w:sz w:val="32"/>
          <w:szCs w:val="32"/>
          <w:shd w:val="clear" w:fill="FFFFFF"/>
          <w:lang w:val="en-US" w:eastAsia="zh-CN" w:bidi="ar-SA"/>
          <w14:textFill>
            <w14:solidFill>
              <w14:schemeClr w14:val="tx1"/>
            </w14:solidFill>
          </w14:textFill>
        </w:rPr>
        <w:t>县农村产权交易中心开展农村承包土地的经营权、综合产权、农村股权等抵押贷款业务的登记、合同审查、鉴证、评估、网签、颁证等相关业务，金融机构要探索支持“农地+产业导入”“农地+委托经营”“农地+股权合作”等新路径的信贷模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jc w:val="left"/>
        <w:textAlignment w:val="auto"/>
        <w:rPr>
          <w:rFonts w:hint="eastAsia" w:ascii="仿宋_GB2312" w:hAnsi="仿宋_GB2312" w:eastAsia="仿宋_GB2312" w:cs="仿宋_GB2312"/>
          <w:b w:val="0"/>
          <w:bCs/>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bCs w:val="0"/>
          <w:i w:val="0"/>
          <w:caps w:val="0"/>
          <w:color w:val="000000" w:themeColor="text1"/>
          <w:spacing w:val="0"/>
          <w:sz w:val="32"/>
          <w:szCs w:val="32"/>
          <w:shd w:val="clear" w:fill="FFFFFF"/>
          <w:lang w:eastAsia="zh-CN"/>
          <w14:textFill>
            <w14:solidFill>
              <w14:schemeClr w14:val="tx1"/>
            </w14:solidFill>
          </w14:textFill>
        </w:rPr>
        <w:t>第四十一条</w:t>
      </w:r>
      <w:r>
        <w:rPr>
          <w:rFonts w:hint="eastAsia" w:ascii="仿宋_GB2312" w:hAnsi="仿宋_GB2312" w:eastAsia="仿宋_GB2312" w:cs="仿宋_GB2312"/>
          <w:b/>
          <w:bCs w:val="0"/>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b w:val="0"/>
          <w:bCs/>
          <w:i w:val="0"/>
          <w:caps w:val="0"/>
          <w:color w:val="000000" w:themeColor="text1"/>
          <w:spacing w:val="0"/>
          <w:kern w:val="2"/>
          <w:sz w:val="32"/>
          <w:szCs w:val="32"/>
          <w:shd w:val="clear" w:fill="FFFFFF"/>
          <w:lang w:val="en-US" w:eastAsia="zh-CN" w:bidi="ar-SA"/>
          <w14:textFill>
            <w14:solidFill>
              <w14:schemeClr w14:val="tx1"/>
            </w14:solidFill>
          </w14:textFill>
        </w:rPr>
        <w:t>银行业金融机构要优先推出面向村集体经济组织的金融产品，创新推出免抵押、免担保的</w:t>
      </w:r>
      <w:r>
        <w:rPr>
          <w:rFonts w:hint="default" w:ascii="仿宋_GB2312" w:hAnsi="仿宋_GB2312" w:eastAsia="仿宋_GB2312" w:cs="仿宋_GB2312"/>
          <w:b w:val="0"/>
          <w:bCs/>
          <w:i w:val="0"/>
          <w:caps w:val="0"/>
          <w:color w:val="000000" w:themeColor="text1"/>
          <w:spacing w:val="0"/>
          <w:kern w:val="2"/>
          <w:sz w:val="32"/>
          <w:szCs w:val="32"/>
          <w:shd w:val="clear" w:fill="FFFFFF"/>
          <w:lang w:val="en-US" w:eastAsia="zh-CN" w:bidi="ar-SA"/>
          <w14:textFill>
            <w14:solidFill>
              <w14:schemeClr w14:val="tx1"/>
            </w14:solidFill>
          </w14:textFill>
        </w:rPr>
        <w:t>“惠</w:t>
      </w:r>
      <w:r>
        <w:rPr>
          <w:rFonts w:hint="eastAsia" w:ascii="仿宋_GB2312" w:hAnsi="仿宋_GB2312" w:eastAsia="仿宋_GB2312" w:cs="仿宋_GB2312"/>
          <w:b w:val="0"/>
          <w:bCs/>
          <w:i w:val="0"/>
          <w:caps w:val="0"/>
          <w:color w:val="000000" w:themeColor="text1"/>
          <w:spacing w:val="0"/>
          <w:kern w:val="2"/>
          <w:sz w:val="32"/>
          <w:szCs w:val="32"/>
          <w:shd w:val="clear" w:fill="FFFFFF"/>
          <w:lang w:val="en-US" w:eastAsia="zh-CN" w:bidi="ar-SA"/>
          <w14:textFill>
            <w14:solidFill>
              <w14:schemeClr w14:val="tx1"/>
            </w14:solidFill>
          </w14:textFill>
        </w:rPr>
        <w:t>集体</w:t>
      </w:r>
      <w:r>
        <w:rPr>
          <w:rFonts w:hint="default" w:ascii="仿宋_GB2312" w:hAnsi="仿宋_GB2312" w:eastAsia="仿宋_GB2312" w:cs="仿宋_GB2312"/>
          <w:b w:val="0"/>
          <w:bCs/>
          <w:i w:val="0"/>
          <w:caps w:val="0"/>
          <w:color w:val="000000" w:themeColor="text1"/>
          <w:spacing w:val="0"/>
          <w:kern w:val="2"/>
          <w:sz w:val="32"/>
          <w:szCs w:val="32"/>
          <w:shd w:val="clear" w:fill="FFFFFF"/>
          <w:lang w:val="en-US" w:eastAsia="zh-CN" w:bidi="ar-SA"/>
          <w14:textFill>
            <w14:solidFill>
              <w14:schemeClr w14:val="tx1"/>
            </w14:solidFill>
          </w14:textFill>
        </w:rPr>
        <w:t>”金融产品，为村级集体经济组织提供</w:t>
      </w:r>
      <w:r>
        <w:rPr>
          <w:rFonts w:hint="eastAsia" w:ascii="仿宋_GB2312" w:hAnsi="仿宋_GB2312" w:eastAsia="仿宋_GB2312" w:cs="仿宋_GB2312"/>
          <w:b w:val="0"/>
          <w:bCs/>
          <w:i w:val="0"/>
          <w:caps w:val="0"/>
          <w:color w:val="000000" w:themeColor="text1"/>
          <w:spacing w:val="0"/>
          <w:kern w:val="2"/>
          <w:sz w:val="32"/>
          <w:szCs w:val="32"/>
          <w:shd w:val="clear" w:fill="FFFFFF"/>
          <w:lang w:val="en-US" w:eastAsia="zh-CN" w:bidi="ar-SA"/>
          <w14:textFill>
            <w14:solidFill>
              <w14:schemeClr w14:val="tx1"/>
            </w14:solidFill>
          </w14:textFill>
        </w:rPr>
        <w:t>一定期限、一定额度的免</w:t>
      </w:r>
      <w:r>
        <w:rPr>
          <w:rFonts w:hint="default" w:ascii="仿宋_GB2312" w:hAnsi="仿宋_GB2312" w:eastAsia="仿宋_GB2312" w:cs="仿宋_GB2312"/>
          <w:b w:val="0"/>
          <w:bCs/>
          <w:i w:val="0"/>
          <w:caps w:val="0"/>
          <w:color w:val="000000" w:themeColor="text1"/>
          <w:spacing w:val="0"/>
          <w:kern w:val="2"/>
          <w:sz w:val="32"/>
          <w:szCs w:val="32"/>
          <w:shd w:val="clear" w:fill="FFFFFF"/>
          <w:lang w:val="en-US" w:eastAsia="zh-CN" w:bidi="ar-SA"/>
          <w14:textFill>
            <w14:solidFill>
              <w14:schemeClr w14:val="tx1"/>
            </w14:solidFill>
          </w14:textFill>
        </w:rPr>
        <w:t>授信额度，用真金白银为村级集体经济组织“输血造血”</w:t>
      </w:r>
      <w:r>
        <w:rPr>
          <w:rFonts w:hint="eastAsia" w:ascii="仿宋_GB2312" w:hAnsi="仿宋_GB2312" w:eastAsia="仿宋_GB2312" w:cs="仿宋_GB2312"/>
          <w:b w:val="0"/>
          <w:bCs/>
          <w:i w:val="0"/>
          <w:caps w:val="0"/>
          <w:color w:val="000000" w:themeColor="text1"/>
          <w:spacing w:val="0"/>
          <w:kern w:val="2"/>
          <w:sz w:val="32"/>
          <w:szCs w:val="32"/>
          <w:shd w:val="clear" w:fill="FFFFFF"/>
          <w:lang w:val="en-US" w:eastAsia="zh-CN" w:bidi="ar-SA"/>
          <w14:textFill>
            <w14:solidFill>
              <w14:schemeClr w14:val="tx1"/>
            </w14:solidFill>
          </w14:textFill>
        </w:rPr>
        <w:t>提供金融支持</w:t>
      </w:r>
      <w:r>
        <w:rPr>
          <w:rFonts w:hint="default" w:ascii="仿宋_GB2312" w:hAnsi="仿宋_GB2312" w:eastAsia="仿宋_GB2312" w:cs="仿宋_GB2312"/>
          <w:b w:val="0"/>
          <w:bCs/>
          <w:i w:val="0"/>
          <w:caps w:val="0"/>
          <w:color w:val="000000" w:themeColor="text1"/>
          <w:spacing w:val="0"/>
          <w:kern w:val="2"/>
          <w:sz w:val="32"/>
          <w:szCs w:val="32"/>
          <w:shd w:val="clear" w:fill="FFFFFF"/>
          <w:lang w:val="en-US" w:eastAsia="zh-CN" w:bidi="ar-SA"/>
          <w14:textFill>
            <w14:solidFill>
              <w14:schemeClr w14:val="tx1"/>
            </w14:solidFill>
          </w14:textFill>
        </w:rPr>
        <w:t>。</w:t>
      </w:r>
      <w:r>
        <w:rPr>
          <w:rFonts w:hint="eastAsia" w:ascii="仿宋_GB2312" w:hAnsi="仿宋_GB2312" w:eastAsia="仿宋_GB2312" w:cs="仿宋_GB2312"/>
          <w:b w:val="0"/>
          <w:bCs/>
          <w:i w:val="0"/>
          <w:caps w:val="0"/>
          <w:color w:val="000000" w:themeColor="text1"/>
          <w:spacing w:val="0"/>
          <w:kern w:val="2"/>
          <w:sz w:val="32"/>
          <w:szCs w:val="32"/>
          <w:shd w:val="clear" w:fill="FFFFFF"/>
          <w:lang w:val="en-US" w:eastAsia="zh-CN" w:bidi="ar-SA"/>
          <w14:textFill>
            <w14:solidFill>
              <w14:schemeClr w14:val="tx1"/>
            </w14:solidFill>
          </w14:textFill>
        </w:rPr>
        <w:t>在具备条件的地方探索开展集体经营性建设用地使用权、农村集体经营性资产、集体经济组织的各类股权、村集体依法使用的国有农用地使用权等抵押贷款业务。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jc w:val="left"/>
        <w:textAlignment w:val="auto"/>
        <w:rPr>
          <w:rFonts w:hint="eastAsia" w:ascii="仿宋_GB2312" w:hAnsi="仿宋_GB2312" w:eastAsia="仿宋_GB2312" w:cs="仿宋_GB2312"/>
          <w:b w:val="0"/>
          <w:bCs/>
          <w:i w:val="0"/>
          <w:caps w:val="0"/>
          <w:color w:val="000000" w:themeColor="text1"/>
          <w:spacing w:val="0"/>
          <w:kern w:val="2"/>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b/>
          <w:bCs w:val="0"/>
          <w:i w:val="0"/>
          <w:caps w:val="0"/>
          <w:color w:val="000000" w:themeColor="text1"/>
          <w:spacing w:val="0"/>
          <w:sz w:val="32"/>
          <w:szCs w:val="32"/>
          <w:shd w:val="clear" w:fill="FFFFFF"/>
          <w:lang w:eastAsia="zh-CN"/>
          <w14:textFill>
            <w14:solidFill>
              <w14:schemeClr w14:val="tx1"/>
            </w14:solidFill>
          </w14:textFill>
        </w:rPr>
        <w:t>第四十二条</w:t>
      </w:r>
      <w:r>
        <w:rPr>
          <w:rFonts w:hint="eastAsia" w:ascii="仿宋_GB2312" w:hAnsi="仿宋_GB2312" w:eastAsia="仿宋_GB2312" w:cs="仿宋_GB2312"/>
          <w:b/>
          <w:bCs w:val="0"/>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b w:val="0"/>
          <w:bCs/>
          <w:i w:val="0"/>
          <w:caps w:val="0"/>
          <w:color w:val="000000" w:themeColor="text1"/>
          <w:spacing w:val="0"/>
          <w:kern w:val="2"/>
          <w:sz w:val="32"/>
          <w:szCs w:val="32"/>
          <w:shd w:val="clear" w:fill="FFFFFF"/>
          <w:lang w:val="en-US" w:eastAsia="zh-CN" w:bidi="ar-SA"/>
          <w14:textFill>
            <w14:solidFill>
              <w14:schemeClr w14:val="tx1"/>
            </w14:solidFill>
          </w14:textFill>
        </w:rPr>
        <w:t>在有效防范风险的前提下，鼓励村办企业、农业产业化龙头企业、农民专业合作社及其联合社为其带动的家庭农场、农户等提供担保增信，金融机构应创新订单、仓单、存货、应收账款融资等供应链金融产品，探索开展“托管贷”业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jc w:val="left"/>
        <w:textAlignment w:val="auto"/>
        <w:rPr>
          <w:rFonts w:hint="eastAsia" w:ascii="仿宋_GB2312" w:hAnsi="仿宋_GB2312" w:eastAsia="仿宋_GB2312" w:cs="仿宋_GB2312"/>
          <w:b w:val="0"/>
          <w:bCs/>
          <w:i w:val="0"/>
          <w:caps w:val="0"/>
          <w:color w:val="000000" w:themeColor="text1"/>
          <w:spacing w:val="0"/>
          <w:kern w:val="2"/>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b/>
          <w:bCs w:val="0"/>
          <w:i w:val="0"/>
          <w:caps w:val="0"/>
          <w:color w:val="000000" w:themeColor="text1"/>
          <w:spacing w:val="0"/>
          <w:sz w:val="32"/>
          <w:szCs w:val="32"/>
          <w:shd w:val="clear" w:fill="FFFFFF"/>
          <w:lang w:eastAsia="zh-CN"/>
          <w14:textFill>
            <w14:solidFill>
              <w14:schemeClr w14:val="tx1"/>
            </w14:solidFill>
          </w14:textFill>
        </w:rPr>
        <w:t>第四十三条</w:t>
      </w:r>
      <w:r>
        <w:rPr>
          <w:rFonts w:hint="eastAsia" w:ascii="仿宋_GB2312" w:hAnsi="仿宋_GB2312" w:eastAsia="仿宋_GB2312" w:cs="仿宋_GB2312"/>
          <w:b/>
          <w:bCs w:val="0"/>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b w:val="0"/>
          <w:bCs/>
          <w:i w:val="0"/>
          <w:caps w:val="0"/>
          <w:color w:val="000000" w:themeColor="text1"/>
          <w:spacing w:val="0"/>
          <w:kern w:val="2"/>
          <w:sz w:val="32"/>
          <w:szCs w:val="32"/>
          <w:shd w:val="clear" w:fill="FFFFFF"/>
          <w:lang w:val="en-US" w:eastAsia="zh-CN" w:bidi="ar-SA"/>
          <w14:textFill>
            <w14:solidFill>
              <w14:schemeClr w14:val="tx1"/>
            </w14:solidFill>
          </w14:textFill>
        </w:rPr>
        <w:t>农村集体经济组织及其管理人员，不得以农村集体“三资”为其他单位或者个人提供担保，为本集体经济组织兴办企业提供担保的除外。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center"/>
        <w:textAlignment w:val="auto"/>
        <w:rPr>
          <w:rFonts w:hint="eastAsia" w:ascii="仿宋_GB2312" w:hAnsi="仿宋_GB2312" w:eastAsia="仿宋_GB2312" w:cs="仿宋_GB2312"/>
          <w:b/>
          <w:bCs w:val="0"/>
          <w:i w:val="0"/>
          <w:caps w:val="0"/>
          <w:color w:val="000000" w:themeColor="text1"/>
          <w:spacing w:val="0"/>
          <w:sz w:val="32"/>
          <w:szCs w:val="32"/>
          <w:shd w:val="clear" w:fill="FFFFFF"/>
          <w:lang w:eastAsia="zh-CN"/>
          <w14:textFill>
            <w14:solidFill>
              <w14:schemeClr w14:val="tx1"/>
            </w14:solidFill>
          </w14:textFill>
        </w:rPr>
      </w:pPr>
      <w:bookmarkStart w:id="1" w:name="41"/>
      <w:r>
        <w:rPr>
          <w:rFonts w:hint="eastAsia" w:ascii="黑体" w:hAnsi="黑体" w:eastAsia="黑体" w:cs="黑体"/>
          <w:b w:val="0"/>
          <w:bCs/>
          <w:i w:val="0"/>
          <w:caps w:val="0"/>
          <w:color w:val="000000" w:themeColor="text1"/>
          <w:spacing w:val="0"/>
          <w:sz w:val="32"/>
          <w:szCs w:val="32"/>
          <w:shd w:val="clear" w:fill="FFFFFF"/>
          <w14:textFill>
            <w14:solidFill>
              <w14:schemeClr w14:val="tx1"/>
            </w14:solidFill>
          </w14:textFill>
        </w:rPr>
        <w:t>第</w:t>
      </w:r>
      <w:r>
        <w:rPr>
          <w:rFonts w:hint="eastAsia" w:ascii="黑体" w:hAnsi="黑体" w:eastAsia="黑体" w:cs="黑体"/>
          <w:b w:val="0"/>
          <w:bCs/>
          <w:i w:val="0"/>
          <w:caps w:val="0"/>
          <w:color w:val="000000" w:themeColor="text1"/>
          <w:spacing w:val="0"/>
          <w:sz w:val="32"/>
          <w:szCs w:val="32"/>
          <w:shd w:val="clear" w:fill="FFFFFF"/>
          <w:lang w:eastAsia="zh-CN"/>
          <w14:textFill>
            <w14:solidFill>
              <w14:schemeClr w14:val="tx1"/>
            </w14:solidFill>
          </w14:textFill>
        </w:rPr>
        <w:t>八</w:t>
      </w:r>
      <w:r>
        <w:rPr>
          <w:rFonts w:hint="eastAsia" w:ascii="黑体" w:hAnsi="黑体" w:eastAsia="黑体" w:cs="黑体"/>
          <w:b w:val="0"/>
          <w:bCs/>
          <w:i w:val="0"/>
          <w:caps w:val="0"/>
          <w:color w:val="000000" w:themeColor="text1"/>
          <w:spacing w:val="0"/>
          <w:sz w:val="32"/>
          <w:szCs w:val="32"/>
          <w:shd w:val="clear" w:fill="FFFFFF"/>
          <w14:textFill>
            <w14:solidFill>
              <w14:schemeClr w14:val="tx1"/>
            </w14:solidFill>
          </w14:textFill>
        </w:rPr>
        <w:t xml:space="preserve">章 </w:t>
      </w:r>
      <w:r>
        <w:rPr>
          <w:rFonts w:hint="eastAsia" w:ascii="黑体" w:hAnsi="黑体" w:eastAsia="黑体" w:cs="黑体"/>
          <w:b w:val="0"/>
          <w:bCs/>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黑体" w:hAnsi="黑体" w:eastAsia="黑体" w:cs="黑体"/>
          <w:b w:val="0"/>
          <w:bCs/>
          <w:i w:val="0"/>
          <w:caps w:val="0"/>
          <w:color w:val="000000" w:themeColor="text1"/>
          <w:spacing w:val="0"/>
          <w:sz w:val="32"/>
          <w:szCs w:val="32"/>
          <w:shd w:val="clear" w:fill="FFFFFF"/>
          <w14:textFill>
            <w14:solidFill>
              <w14:schemeClr w14:val="tx1"/>
            </w14:solidFill>
          </w14:textFill>
        </w:rPr>
        <w:t>纠纷</w:t>
      </w:r>
      <w:r>
        <w:rPr>
          <w:rFonts w:hint="eastAsia" w:ascii="黑体" w:hAnsi="黑体" w:eastAsia="黑体" w:cs="黑体"/>
          <w:b w:val="0"/>
          <w:bCs/>
          <w:i w:val="0"/>
          <w:caps w:val="0"/>
          <w:color w:val="000000" w:themeColor="text1"/>
          <w:spacing w:val="0"/>
          <w:sz w:val="32"/>
          <w:szCs w:val="32"/>
          <w:shd w:val="clear" w:fill="FFFFFF"/>
          <w:lang w:eastAsia="zh-CN"/>
          <w14:textFill>
            <w14:solidFill>
              <w14:schemeClr w14:val="tx1"/>
            </w14:solidFill>
          </w14:textFill>
        </w:rPr>
        <w:t>的调</w:t>
      </w:r>
      <w:r>
        <w:rPr>
          <w:rFonts w:hint="eastAsia" w:ascii="黑体" w:hAnsi="黑体" w:eastAsia="黑体" w:cs="黑体"/>
          <w:b w:val="0"/>
          <w:bCs/>
          <w:i w:val="0"/>
          <w:caps w:val="0"/>
          <w:color w:val="000000" w:themeColor="text1"/>
          <w:spacing w:val="0"/>
          <w:sz w:val="32"/>
          <w:szCs w:val="32"/>
          <w:shd w:val="clear" w:fill="FFFFFF"/>
          <w:lang w:val="en-US" w:eastAsia="zh-CN"/>
          <w14:textFill>
            <w14:solidFill>
              <w14:schemeClr w14:val="tx1"/>
            </w14:solidFill>
          </w14:textFill>
        </w:rPr>
        <w:t>解</w:t>
      </w:r>
      <w:r>
        <w:rPr>
          <w:rFonts w:hint="eastAsia" w:ascii="黑体" w:hAnsi="黑体" w:eastAsia="黑体" w:cs="黑体"/>
          <w:b w:val="0"/>
          <w:bCs/>
          <w:i w:val="0"/>
          <w:caps w:val="0"/>
          <w:color w:val="000000" w:themeColor="text1"/>
          <w:spacing w:val="0"/>
          <w:sz w:val="32"/>
          <w:szCs w:val="32"/>
          <w:shd w:val="clear" w:fill="FFFFFF"/>
          <w:lang w:eastAsia="zh-CN"/>
          <w14:textFill>
            <w14:solidFill>
              <w14:schemeClr w14:val="tx1"/>
            </w14:solidFill>
          </w14:textFill>
        </w:rPr>
        <w:t>与仲裁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jc w:val="left"/>
        <w:textAlignment w:val="auto"/>
        <w:rPr>
          <w:rFonts w:hint="eastAsia" w:ascii="仿宋_GB2312" w:hAnsi="仿宋_GB2312" w:eastAsia="仿宋_GB2312" w:cs="仿宋_GB2312"/>
          <w:b w:val="0"/>
          <w:bCs/>
          <w:i w:val="0"/>
          <w:caps w:val="0"/>
          <w:color w:val="000000" w:themeColor="text1"/>
          <w:spacing w:val="0"/>
          <w:kern w:val="2"/>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b/>
          <w:bCs w:val="0"/>
          <w:i w:val="0"/>
          <w:caps w:val="0"/>
          <w:color w:val="000000" w:themeColor="text1"/>
          <w:spacing w:val="0"/>
          <w:sz w:val="32"/>
          <w:szCs w:val="32"/>
          <w:shd w:val="clear" w:fill="FFFFFF"/>
          <w:lang w:eastAsia="zh-CN"/>
          <w14:textFill>
            <w14:solidFill>
              <w14:schemeClr w14:val="tx1"/>
            </w14:solidFill>
          </w14:textFill>
        </w:rPr>
        <w:t>第四十四条</w:t>
      </w:r>
      <w:r>
        <w:rPr>
          <w:rFonts w:hint="eastAsia" w:ascii="仿宋_GB2312" w:hAnsi="仿宋_GB2312" w:eastAsia="仿宋_GB2312" w:cs="仿宋_GB2312"/>
          <w:b/>
          <w:bCs w:val="0"/>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b w:val="0"/>
          <w:bCs/>
          <w:i w:val="0"/>
          <w:caps w:val="0"/>
          <w:color w:val="000000" w:themeColor="text1"/>
          <w:spacing w:val="0"/>
          <w:kern w:val="2"/>
          <w:sz w:val="32"/>
          <w:szCs w:val="32"/>
          <w:shd w:val="clear" w:fill="FFFFFF"/>
          <w:lang w:val="en-US" w:eastAsia="zh-CN" w:bidi="ar-SA"/>
          <w14:textFill>
            <w14:solidFill>
              <w14:schemeClr w14:val="tx1"/>
            </w14:solidFill>
          </w14:textFill>
        </w:rPr>
        <w:t>进一步加强调解仲裁体系建设，构建村级化解、乡级调解、县级仲裁“三位一体”的调解仲裁机制，保障所需经费，确保调解仲裁工作正常开展。为保障仲裁庭审过程的公开性，增强仲裁裁决的公信力，县级设置“一庭三室”（农村土地纠纷仲裁庭和仲裁案件受理室、仲裁合议调解室、仲裁档案会商室）。各乡（镇）、村根据需要设立“流动仲裁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jc w:val="left"/>
        <w:textAlignment w:val="auto"/>
        <w:rPr>
          <w:rFonts w:hint="eastAsia" w:ascii="仿宋_GB2312" w:hAnsi="仿宋_GB2312" w:eastAsia="仿宋_GB2312" w:cs="仿宋_GB2312"/>
          <w:b w:val="0"/>
          <w:bCs/>
          <w:i w:val="0"/>
          <w:caps w:val="0"/>
          <w:color w:val="000000" w:themeColor="text1"/>
          <w:spacing w:val="0"/>
          <w:kern w:val="2"/>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b/>
          <w:bCs w:val="0"/>
          <w:i w:val="0"/>
          <w:caps w:val="0"/>
          <w:color w:val="000000" w:themeColor="text1"/>
          <w:spacing w:val="0"/>
          <w:sz w:val="32"/>
          <w:szCs w:val="32"/>
          <w:shd w:val="clear" w:fill="FFFFFF"/>
          <w:lang w:eastAsia="zh-CN"/>
          <w14:textFill>
            <w14:solidFill>
              <w14:schemeClr w14:val="tx1"/>
            </w14:solidFill>
          </w14:textFill>
        </w:rPr>
        <w:t>第四十五条</w:t>
      </w:r>
      <w:r>
        <w:rPr>
          <w:rFonts w:hint="eastAsia" w:ascii="仿宋_GB2312" w:hAnsi="仿宋_GB2312" w:eastAsia="仿宋_GB2312" w:cs="仿宋_GB2312"/>
          <w:b/>
          <w:bCs w:val="0"/>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b w:val="0"/>
          <w:bCs/>
          <w:i w:val="0"/>
          <w:caps w:val="0"/>
          <w:color w:val="000000" w:themeColor="text1"/>
          <w:spacing w:val="0"/>
          <w:kern w:val="2"/>
          <w:sz w:val="32"/>
          <w:szCs w:val="32"/>
          <w:shd w:val="clear" w:fill="FFFFFF"/>
          <w:lang w:val="en-US" w:eastAsia="zh-CN" w:bidi="ar-SA"/>
          <w14:textFill>
            <w14:solidFill>
              <w14:schemeClr w14:val="tx1"/>
            </w14:solidFill>
          </w14:textFill>
        </w:rPr>
        <w:t>县人民政府组织县农业农村局、自然资源局、农经局等有关部门组建农村土地承包仲裁委员会，办公室设在县农经局，负责办理日常工作。乡（镇）政府要充分发挥调防一体化的工作机制，组成由司法、农业、林业、妇联、财政、农经、派出所等相关专业人员的乡（镇）农村土地纠纷调解委员会，调解委员会主任由主管农业乡（镇）长担任。村委会成立村级纠纷调解小组，调解小组组长由村党组织书记担任，成员应包括理事长、监事长、治保主任、妇联主席、经管员、村会计、群众代表等人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jc w:val="left"/>
        <w:textAlignment w:val="auto"/>
        <w:rPr>
          <w:rFonts w:hint="eastAsia" w:ascii="仿宋_GB2312" w:hAnsi="仿宋_GB2312" w:eastAsia="仿宋_GB2312" w:cs="仿宋_GB2312"/>
          <w:b w:val="0"/>
          <w:bCs/>
          <w:i w:val="0"/>
          <w:caps w:val="0"/>
          <w:color w:val="000000" w:themeColor="text1"/>
          <w:spacing w:val="0"/>
          <w:kern w:val="2"/>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b/>
          <w:bCs w:val="0"/>
          <w:i w:val="0"/>
          <w:caps w:val="0"/>
          <w:color w:val="000000" w:themeColor="text1"/>
          <w:spacing w:val="0"/>
          <w:sz w:val="32"/>
          <w:szCs w:val="32"/>
          <w:shd w:val="clear" w:fill="FFFFFF"/>
          <w:lang w:eastAsia="zh-CN"/>
          <w14:textFill>
            <w14:solidFill>
              <w14:schemeClr w14:val="tx1"/>
            </w14:solidFill>
          </w14:textFill>
        </w:rPr>
        <w:t>第四十六条</w:t>
      </w:r>
      <w:r>
        <w:rPr>
          <w:rFonts w:hint="eastAsia" w:ascii="仿宋_GB2312" w:hAnsi="仿宋_GB2312" w:eastAsia="仿宋_GB2312" w:cs="仿宋_GB2312"/>
          <w:b/>
          <w:bCs w:val="0"/>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b w:val="0"/>
          <w:bCs/>
          <w:i w:val="0"/>
          <w:caps w:val="0"/>
          <w:color w:val="000000" w:themeColor="text1"/>
          <w:spacing w:val="0"/>
          <w:kern w:val="2"/>
          <w:sz w:val="32"/>
          <w:szCs w:val="32"/>
          <w:shd w:val="clear" w:fill="FFFFFF"/>
          <w:lang w:val="en-US" w:eastAsia="zh-CN" w:bidi="ar-SA"/>
          <w14:textFill>
            <w14:solidFill>
              <w14:schemeClr w14:val="tx1"/>
            </w14:solidFill>
          </w14:textFill>
        </w:rPr>
        <w:t>纠纷的调解仲裁员应从乡（镇）所在地选择威信较高，熟悉农村土地承包法律以及国家政策的居民、农民代表、法律工作者及农业领域相关的人员。推选人员应公道正派、责任心强、执行力强。推选人员由县农经局组织集中培训，考核合格者编制成仲裁员名册，由仲裁委员会向仲裁员颁发仲裁员聘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jc w:val="left"/>
        <w:textAlignment w:val="auto"/>
        <w:rPr>
          <w:rFonts w:hint="eastAsia" w:ascii="仿宋_GB2312" w:hAnsi="仿宋_GB2312" w:eastAsia="仿宋_GB2312" w:cs="仿宋_GB2312"/>
          <w:b w:val="0"/>
          <w:bCs/>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bCs w:val="0"/>
          <w:i w:val="0"/>
          <w:caps w:val="0"/>
          <w:color w:val="000000" w:themeColor="text1"/>
          <w:spacing w:val="0"/>
          <w:sz w:val="32"/>
          <w:szCs w:val="32"/>
          <w:shd w:val="clear" w:fill="FFFFFF"/>
          <w:lang w:eastAsia="zh-CN"/>
          <w14:textFill>
            <w14:solidFill>
              <w14:schemeClr w14:val="tx1"/>
            </w14:solidFill>
          </w14:textFill>
        </w:rPr>
        <w:t>第四十七条</w:t>
      </w:r>
      <w:r>
        <w:rPr>
          <w:rFonts w:hint="eastAsia" w:ascii="仿宋_GB2312" w:hAnsi="仿宋_GB2312" w:eastAsia="仿宋_GB2312" w:cs="仿宋_GB2312"/>
          <w:b/>
          <w:bCs w:val="0"/>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b w:val="0"/>
          <w:bCs/>
          <w:i w:val="0"/>
          <w:caps w:val="0"/>
          <w:color w:val="000000" w:themeColor="text1"/>
          <w:spacing w:val="0"/>
          <w:kern w:val="2"/>
          <w:sz w:val="32"/>
          <w:szCs w:val="32"/>
          <w:shd w:val="clear" w:fill="FFFFFF"/>
          <w:lang w:val="en-US" w:eastAsia="zh-CN" w:bidi="ar-SA"/>
          <w14:textFill>
            <w14:solidFill>
              <w14:schemeClr w14:val="tx1"/>
            </w14:solidFill>
          </w14:textFill>
        </w:rPr>
        <w:t>因征收集体所有的土地及其补偿发生的纠纷，不属于农村土地承包仲裁委员会的受理范围，可以通过行政复议或者诉讼等方式解决。村集体行政区界，</w:t>
      </w:r>
      <w:r>
        <w:rPr>
          <w:rFonts w:hint="default" w:ascii="仿宋_GB2312" w:hAnsi="仿宋_GB2312" w:eastAsia="仿宋_GB2312" w:cs="仿宋_GB2312"/>
          <w:b w:val="0"/>
          <w:bCs/>
          <w:i w:val="0"/>
          <w:caps w:val="0"/>
          <w:color w:val="000000" w:themeColor="text1"/>
          <w:spacing w:val="0"/>
          <w:kern w:val="2"/>
          <w:sz w:val="32"/>
          <w:szCs w:val="32"/>
          <w:shd w:val="clear" w:fill="FFFFFF"/>
          <w:lang w:val="en-US" w:eastAsia="zh-CN" w:bidi="ar-SA"/>
          <w14:textFill>
            <w14:solidFill>
              <w14:schemeClr w14:val="tx1"/>
            </w14:solidFill>
          </w14:textFill>
        </w:rPr>
        <w:t>农村集体土地所有权和使用权归属问题的纠纷不属于农村土地承包经营权纠纷的</w:t>
      </w:r>
      <w:r>
        <w:rPr>
          <w:rFonts w:hint="eastAsia" w:ascii="仿宋_GB2312" w:hAnsi="仿宋_GB2312" w:eastAsia="仿宋_GB2312" w:cs="仿宋_GB2312"/>
          <w:b w:val="0"/>
          <w:bCs/>
          <w:i w:val="0"/>
          <w:caps w:val="0"/>
          <w:color w:val="000000" w:themeColor="text1"/>
          <w:spacing w:val="0"/>
          <w:kern w:val="2"/>
          <w:sz w:val="32"/>
          <w:szCs w:val="32"/>
          <w:shd w:val="clear" w:fill="FFFFFF"/>
          <w:lang w:val="en-US" w:eastAsia="zh-CN" w:bidi="ar-SA"/>
          <w14:textFill>
            <w14:solidFill>
              <w14:schemeClr w14:val="tx1"/>
            </w14:solidFill>
          </w14:textFill>
        </w:rPr>
        <w:t>调解</w:t>
      </w:r>
      <w:r>
        <w:rPr>
          <w:rFonts w:hint="default" w:ascii="仿宋_GB2312" w:hAnsi="仿宋_GB2312" w:eastAsia="仿宋_GB2312" w:cs="仿宋_GB2312"/>
          <w:b w:val="0"/>
          <w:bCs/>
          <w:i w:val="0"/>
          <w:caps w:val="0"/>
          <w:color w:val="000000" w:themeColor="text1"/>
          <w:spacing w:val="0"/>
          <w:kern w:val="2"/>
          <w:sz w:val="32"/>
          <w:szCs w:val="32"/>
          <w:shd w:val="clear" w:fill="FFFFFF"/>
          <w:lang w:val="en-US" w:eastAsia="zh-CN" w:bidi="ar-SA"/>
          <w14:textFill>
            <w14:solidFill>
              <w14:schemeClr w14:val="tx1"/>
            </w14:solidFill>
          </w14:textFill>
        </w:rPr>
        <w:t>仲裁范围。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jc w:val="left"/>
        <w:textAlignment w:val="auto"/>
        <w:rPr>
          <w:rFonts w:hint="eastAsia" w:ascii="仿宋_GB2312" w:hAnsi="仿宋_GB2312" w:eastAsia="仿宋_GB2312" w:cs="仿宋_GB2312"/>
          <w:b w:val="0"/>
          <w:bCs/>
          <w:i w:val="0"/>
          <w:caps w:val="0"/>
          <w:color w:val="000000" w:themeColor="text1"/>
          <w:spacing w:val="0"/>
          <w:kern w:val="2"/>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b/>
          <w:bCs w:val="0"/>
          <w:i w:val="0"/>
          <w:caps w:val="0"/>
          <w:color w:val="000000" w:themeColor="text1"/>
          <w:spacing w:val="0"/>
          <w:sz w:val="32"/>
          <w:szCs w:val="32"/>
          <w:shd w:val="clear" w:fill="FFFFFF"/>
          <w:lang w:eastAsia="zh-CN"/>
          <w14:textFill>
            <w14:solidFill>
              <w14:schemeClr w14:val="tx1"/>
            </w14:solidFill>
          </w14:textFill>
        </w:rPr>
        <w:t>第四十八条</w:t>
      </w:r>
      <w:r>
        <w:rPr>
          <w:rFonts w:hint="eastAsia" w:ascii="仿宋_GB2312" w:hAnsi="仿宋_GB2312" w:eastAsia="仿宋_GB2312" w:cs="仿宋_GB2312"/>
          <w:b/>
          <w:bCs w:val="0"/>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b w:val="0"/>
          <w:bCs/>
          <w:i w:val="0"/>
          <w:caps w:val="0"/>
          <w:color w:val="000000" w:themeColor="text1"/>
          <w:spacing w:val="0"/>
          <w:kern w:val="2"/>
          <w:sz w:val="32"/>
          <w:szCs w:val="32"/>
          <w:shd w:val="clear" w:fill="FFFFFF"/>
          <w:lang w:val="en-US" w:eastAsia="zh-CN" w:bidi="ar-SA"/>
          <w14:textFill>
            <w14:solidFill>
              <w14:schemeClr w14:val="tx1"/>
            </w14:solidFill>
          </w14:textFill>
        </w:rPr>
        <w:t>坚持“先调解后仲裁”原则，农村土地承包经营纠纷调解仲裁工作实行乡（镇）、村两级调解为主，乡（镇）无法调解的难点案件由乡（镇）申报，县仲裁办组织仲裁人员，依法依规开展仲裁活动。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jc w:val="left"/>
        <w:textAlignment w:val="auto"/>
        <w:rPr>
          <w:rFonts w:hint="eastAsia" w:ascii="仿宋_GB2312" w:hAnsi="仿宋_GB2312" w:eastAsia="仿宋_GB2312" w:cs="仿宋_GB2312"/>
          <w:b w:val="0"/>
          <w:bCs/>
          <w:i w:val="0"/>
          <w:caps w:val="0"/>
          <w:color w:val="000000" w:themeColor="text1"/>
          <w:spacing w:val="0"/>
          <w:kern w:val="2"/>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b/>
          <w:bCs w:val="0"/>
          <w:i w:val="0"/>
          <w:caps w:val="0"/>
          <w:color w:val="000000" w:themeColor="text1"/>
          <w:spacing w:val="0"/>
          <w:sz w:val="32"/>
          <w:szCs w:val="32"/>
          <w:shd w:val="clear" w:fill="FFFFFF"/>
          <w:lang w:eastAsia="zh-CN"/>
          <w14:textFill>
            <w14:solidFill>
              <w14:schemeClr w14:val="tx1"/>
            </w14:solidFill>
          </w14:textFill>
        </w:rPr>
        <w:t>第四十九条</w:t>
      </w:r>
      <w:r>
        <w:rPr>
          <w:rFonts w:hint="eastAsia" w:ascii="仿宋_GB2312" w:hAnsi="仿宋_GB2312" w:eastAsia="仿宋_GB2312" w:cs="仿宋_GB2312"/>
          <w:b/>
          <w:bCs w:val="0"/>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b w:val="0"/>
          <w:bCs/>
          <w:i w:val="0"/>
          <w:caps w:val="0"/>
          <w:color w:val="000000" w:themeColor="text1"/>
          <w:spacing w:val="0"/>
          <w:kern w:val="2"/>
          <w:sz w:val="32"/>
          <w:szCs w:val="32"/>
          <w:shd w:val="clear" w:fill="FFFFFF"/>
          <w:lang w:val="en-US" w:eastAsia="zh-CN" w:bidi="ar-SA"/>
          <w14:textFill>
            <w14:solidFill>
              <w14:schemeClr w14:val="tx1"/>
            </w14:solidFill>
          </w14:textFill>
        </w:rPr>
        <w:t>各乡（镇）、村要做好重大纠纷案件的应急处理工作，对具有群体性、影响大、涉及面广的农村土地承包经营纠纷，要提前介入，综合运用信访、政府调解等手段，化解当事人之间的纠纷。对重大案件要制定预案，防止出现群体性甚至恶性事件，维护社会稳定。</w:t>
      </w:r>
    </w:p>
    <w:bookmarkEnd w:id="1"/>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center"/>
        <w:textAlignment w:val="auto"/>
        <w:rPr>
          <w:rFonts w:hint="eastAsia" w:ascii="黑体" w:hAnsi="黑体" w:eastAsia="黑体" w:cs="黑体"/>
          <w:b w:val="0"/>
          <w:bCs/>
          <w:i w:val="0"/>
          <w:caps w:val="0"/>
          <w:color w:val="000000" w:themeColor="text1"/>
          <w:spacing w:val="0"/>
          <w:sz w:val="32"/>
          <w:szCs w:val="32"/>
          <w:shd w:val="clear" w:fill="FFFFFF"/>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center"/>
        <w:textAlignment w:val="auto"/>
        <w:rPr>
          <w:rFonts w:hint="eastAsia" w:ascii="黑体" w:hAnsi="黑体" w:eastAsia="黑体" w:cs="黑体"/>
          <w:b w:val="0"/>
          <w:bCs/>
          <w:i w:val="0"/>
          <w:caps w:val="0"/>
          <w:color w:val="000000" w:themeColor="text1"/>
          <w:spacing w:val="0"/>
          <w:sz w:val="32"/>
          <w:szCs w:val="32"/>
          <w:shd w:val="clear" w:fill="FFFFFF"/>
          <w14:textFill>
            <w14:solidFill>
              <w14:schemeClr w14:val="tx1"/>
            </w14:solidFill>
          </w14:textFill>
        </w:rPr>
      </w:pPr>
      <w:r>
        <w:rPr>
          <w:rFonts w:hint="eastAsia" w:ascii="黑体" w:hAnsi="黑体" w:eastAsia="黑体" w:cs="黑体"/>
          <w:b w:val="0"/>
          <w:bCs/>
          <w:i w:val="0"/>
          <w:caps w:val="0"/>
          <w:color w:val="000000" w:themeColor="text1"/>
          <w:spacing w:val="0"/>
          <w:sz w:val="32"/>
          <w:szCs w:val="32"/>
          <w:shd w:val="clear" w:fill="FFFFFF"/>
          <w14:textFill>
            <w14:solidFill>
              <w14:schemeClr w14:val="tx1"/>
            </w14:solidFill>
          </w14:textFill>
        </w:rPr>
        <w:t>第</w:t>
      </w:r>
      <w:r>
        <w:rPr>
          <w:rFonts w:hint="eastAsia" w:ascii="黑体" w:hAnsi="黑体" w:eastAsia="黑体" w:cs="黑体"/>
          <w:b w:val="0"/>
          <w:bCs/>
          <w:i w:val="0"/>
          <w:caps w:val="0"/>
          <w:color w:val="000000" w:themeColor="text1"/>
          <w:spacing w:val="0"/>
          <w:sz w:val="32"/>
          <w:szCs w:val="32"/>
          <w:shd w:val="clear" w:fill="FFFFFF"/>
          <w:lang w:eastAsia="zh-CN"/>
          <w14:textFill>
            <w14:solidFill>
              <w14:schemeClr w14:val="tx1"/>
            </w14:solidFill>
          </w14:textFill>
        </w:rPr>
        <w:t>九</w:t>
      </w:r>
      <w:r>
        <w:rPr>
          <w:rFonts w:hint="eastAsia" w:ascii="黑体" w:hAnsi="黑体" w:eastAsia="黑体" w:cs="黑体"/>
          <w:b w:val="0"/>
          <w:bCs/>
          <w:i w:val="0"/>
          <w:caps w:val="0"/>
          <w:color w:val="000000" w:themeColor="text1"/>
          <w:spacing w:val="0"/>
          <w:sz w:val="32"/>
          <w:szCs w:val="32"/>
          <w:shd w:val="clear" w:fill="FFFFFF"/>
          <w14:textFill>
            <w14:solidFill>
              <w14:schemeClr w14:val="tx1"/>
            </w14:solidFill>
          </w14:textFill>
        </w:rPr>
        <w:t>章</w:t>
      </w:r>
      <w:r>
        <w:rPr>
          <w:rFonts w:hint="eastAsia" w:ascii="黑体" w:hAnsi="黑体" w:eastAsia="黑体" w:cs="黑体"/>
          <w:b w:val="0"/>
          <w:bCs/>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黑体" w:hAnsi="黑体" w:eastAsia="黑体" w:cs="黑体"/>
          <w:b w:val="0"/>
          <w:bCs/>
          <w:i w:val="0"/>
          <w:caps w:val="0"/>
          <w:color w:val="000000" w:themeColor="text1"/>
          <w:spacing w:val="0"/>
          <w:sz w:val="32"/>
          <w:szCs w:val="32"/>
          <w:shd w:val="clear" w:fill="FFFFFF"/>
          <w14:textFill>
            <w14:solidFill>
              <w14:schemeClr w14:val="tx1"/>
            </w14:solidFill>
          </w14:textFill>
        </w:rPr>
        <w:t>附则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jc w:val="left"/>
        <w:textAlignment w:val="auto"/>
        <w:rPr>
          <w:rFonts w:hint="eastAsia" w:ascii="仿宋_GB2312" w:hAnsi="仿宋_GB2312" w:eastAsia="仿宋_GB2312" w:cs="仿宋_GB2312"/>
          <w:b w:val="0"/>
          <w:bCs/>
          <w:i w:val="0"/>
          <w:caps w:val="0"/>
          <w:color w:val="000000" w:themeColor="text1"/>
          <w:spacing w:val="0"/>
          <w:kern w:val="2"/>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b/>
          <w:bCs w:val="0"/>
          <w:i w:val="0"/>
          <w:caps w:val="0"/>
          <w:color w:val="000000" w:themeColor="text1"/>
          <w:spacing w:val="0"/>
          <w:sz w:val="32"/>
          <w:szCs w:val="32"/>
          <w:shd w:val="clear" w:fill="FFFFFF"/>
          <w:lang w:eastAsia="zh-CN"/>
          <w14:textFill>
            <w14:solidFill>
              <w14:schemeClr w14:val="tx1"/>
            </w14:solidFill>
          </w14:textFill>
        </w:rPr>
        <w:t>第五十条</w:t>
      </w:r>
      <w:r>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t xml:space="preserve"> </w:t>
      </w:r>
      <w:r>
        <w:rPr>
          <w:rFonts w:hint="eastAsia" w:ascii="仿宋_GB2312" w:hAnsi="仿宋_GB2312" w:eastAsia="仿宋_GB2312" w:cs="仿宋_GB2312"/>
          <w:b w:val="0"/>
          <w:bCs/>
          <w:i w:val="0"/>
          <w:caps w:val="0"/>
          <w:color w:val="000000" w:themeColor="text1"/>
          <w:spacing w:val="0"/>
          <w:kern w:val="2"/>
          <w:sz w:val="32"/>
          <w:szCs w:val="32"/>
          <w:shd w:val="clear" w:fill="FFFFFF"/>
          <w:lang w:val="en-US" w:eastAsia="zh-CN" w:bidi="ar-SA"/>
          <w14:textFill>
            <w14:solidFill>
              <w14:schemeClr w14:val="tx1"/>
            </w14:solidFill>
          </w14:textFill>
        </w:rPr>
        <w:t>《中华人民共和国农村土地承包法》2018年修定实施前，承包方全家迁入设区的市，转为非农业户口的，全户户籍迁出，发包方已收回承包地的，不再退回原承包地，可采取土地置换或协商议价等方式，积极稳妥的化解纠纷。</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val="0"/>
          <w:i w:val="0"/>
          <w:caps w:val="0"/>
          <w:color w:val="000000" w:themeColor="text1"/>
          <w:spacing w:val="0"/>
          <w:sz w:val="32"/>
          <w:szCs w:val="32"/>
          <w:shd w:val="clear" w:fill="FFFFFF"/>
          <w:lang w:eastAsia="zh-CN"/>
          <w14:textFill>
            <w14:solidFill>
              <w14:schemeClr w14:val="tx1"/>
            </w14:solidFill>
          </w14:textFill>
        </w:rPr>
        <w:t>第五十一条</w:t>
      </w:r>
      <w:r>
        <w:rPr>
          <w:rFonts w:hint="eastAsia" w:ascii="仿宋_GB2312" w:hAnsi="仿宋_GB2312" w:eastAsia="仿宋_GB2312" w:cs="仿宋_GB2312"/>
          <w:b w:val="0"/>
          <w:bCs/>
          <w:i w:val="0"/>
          <w:caps w:val="0"/>
          <w:color w:val="000000" w:themeColor="text1"/>
          <w:spacing w:val="0"/>
          <w:kern w:val="2"/>
          <w:sz w:val="32"/>
          <w:szCs w:val="32"/>
          <w:shd w:val="clear" w:fill="FFFFFF"/>
          <w:lang w:val="en-US" w:eastAsia="zh-CN" w:bidi="ar-SA"/>
          <w14:textFill>
            <w14:solidFill>
              <w14:schemeClr w14:val="tx1"/>
            </w14:solidFill>
          </w14:textFill>
        </w:rPr>
        <w:t xml:space="preserve"> 本办法及其附件由县农经局负责解释，自发布之日起30日后施行。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i w:val="0"/>
          <w:caps w:val="0"/>
          <w:color w:val="000000" w:themeColor="text1"/>
          <w:spacing w:val="0"/>
          <w:kern w:val="2"/>
          <w:sz w:val="32"/>
          <w:szCs w:val="32"/>
          <w:shd w:val="clear" w:fill="FFFFFF"/>
          <w:lang w:val="en-US" w:eastAsia="zh-CN" w:bidi="ar-SA"/>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i w:val="0"/>
          <w:caps w:val="0"/>
          <w:color w:val="000000" w:themeColor="text1"/>
          <w:spacing w:val="0"/>
          <w:kern w:val="2"/>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kern w:val="2"/>
          <w:sz w:val="32"/>
          <w:szCs w:val="32"/>
          <w:shd w:val="clear" w:fill="FFFFFF"/>
          <w:lang w:val="en-US" w:eastAsia="zh-CN" w:bidi="ar-SA"/>
          <w14:textFill>
            <w14:solidFill>
              <w14:schemeClr w14:val="tx1"/>
            </w14:solidFill>
          </w14:textFill>
        </w:rPr>
        <w:t>附件：1.玛纳斯县农村集体机动地发包程序</w:t>
      </w:r>
    </w:p>
    <w:p>
      <w:pPr>
        <w:pStyle w:val="4"/>
        <w:keepNext w:val="0"/>
        <w:keepLines w:val="0"/>
        <w:pageBreakBefore w:val="0"/>
        <w:kinsoku/>
        <w:wordWrap/>
        <w:overflowPunct/>
        <w:topLinePunct w:val="0"/>
        <w:autoSpaceDE/>
        <w:autoSpaceDN/>
        <w:bidi w:val="0"/>
        <w:adjustRightInd/>
        <w:snapToGrid/>
        <w:spacing w:after="0" w:afterLines="0" w:line="560" w:lineRule="exact"/>
        <w:ind w:left="1916" w:leftChars="760" w:hanging="320" w:hangingChars="100"/>
        <w:jc w:val="left"/>
        <w:textAlignment w:val="auto"/>
        <w:rPr>
          <w:rFonts w:hint="eastAsia" w:ascii="仿宋_GB2312" w:hAnsi="仿宋_GB2312" w:eastAsia="仿宋_GB2312" w:cs="仿宋_GB2312"/>
          <w:b w:val="0"/>
          <w:bCs/>
          <w:i w:val="0"/>
          <w:caps w:val="0"/>
          <w:color w:val="000000" w:themeColor="text1"/>
          <w:spacing w:val="0"/>
          <w:kern w:val="2"/>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kern w:val="2"/>
          <w:sz w:val="32"/>
          <w:szCs w:val="32"/>
          <w:shd w:val="clear" w:fill="FFFFFF"/>
          <w:lang w:val="en-US" w:eastAsia="zh-CN" w:bidi="ar-SA"/>
          <w14:textFill>
            <w14:solidFill>
              <w14:schemeClr w14:val="tx1"/>
            </w14:solidFill>
          </w14:textFill>
        </w:rPr>
        <w:t>2.</w:t>
      </w:r>
      <w:r>
        <w:rPr>
          <w:rFonts w:hint="eastAsia" w:ascii="仿宋_GB2312" w:hAnsi="仿宋_GB2312" w:eastAsia="仿宋_GB2312" w:cs="仿宋_GB2312"/>
          <w:b w:val="0"/>
          <w:bCs/>
          <w:i w:val="0"/>
          <w:caps w:val="0"/>
          <w:color w:val="000000" w:themeColor="text1"/>
          <w:spacing w:val="-17"/>
          <w:kern w:val="2"/>
          <w:sz w:val="32"/>
          <w:szCs w:val="32"/>
          <w:shd w:val="clear" w:fill="FFFFFF"/>
          <w:lang w:val="en-US" w:eastAsia="zh-CN" w:bidi="ar-SA"/>
          <w14:textFill>
            <w14:solidFill>
              <w14:schemeClr w14:val="tx1"/>
            </w14:solidFill>
          </w14:textFill>
        </w:rPr>
        <w:t>工商资本进入农村土地流转市场审查审核内容及一般程序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1600" w:firstLineChars="500"/>
        <w:jc w:val="left"/>
        <w:textAlignment w:val="auto"/>
        <w:rPr>
          <w:rFonts w:hint="eastAsia" w:ascii="仿宋_GB2312" w:hAnsi="仿宋_GB2312" w:eastAsia="仿宋_GB2312" w:cs="仿宋_GB2312"/>
          <w:b w:val="0"/>
          <w:bCs/>
          <w:i w:val="0"/>
          <w:caps w:val="0"/>
          <w:color w:val="000000" w:themeColor="text1"/>
          <w:spacing w:val="0"/>
          <w:kern w:val="2"/>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kern w:val="2"/>
          <w:sz w:val="32"/>
          <w:szCs w:val="32"/>
          <w:shd w:val="clear" w:fill="FFFFFF"/>
          <w:lang w:val="en-US" w:eastAsia="zh-CN" w:bidi="ar-SA"/>
          <w14:textFill>
            <w14:solidFill>
              <w14:schemeClr w14:val="tx1"/>
            </w14:solidFill>
          </w14:textFill>
        </w:rPr>
        <w:t>3.农村土地经营权流转意向协议书</w:t>
      </w:r>
    </w:p>
    <w:p>
      <w:pPr>
        <w:pStyle w:val="4"/>
        <w:keepNext w:val="0"/>
        <w:keepLines w:val="0"/>
        <w:pageBreakBefore w:val="0"/>
        <w:kinsoku/>
        <w:wordWrap/>
        <w:overflowPunct/>
        <w:topLinePunct w:val="0"/>
        <w:autoSpaceDE/>
        <w:autoSpaceDN/>
        <w:bidi w:val="0"/>
        <w:adjustRightInd/>
        <w:snapToGrid/>
        <w:spacing w:after="0" w:afterLines="0" w:line="560" w:lineRule="exact"/>
        <w:ind w:left="1916" w:leftChars="760" w:hanging="320" w:hangingChars="100"/>
        <w:jc w:val="left"/>
        <w:textAlignment w:val="auto"/>
        <w:rPr>
          <w:rFonts w:hint="eastAsia" w:ascii="仿宋_GB2312" w:hAnsi="仿宋_GB2312" w:eastAsia="仿宋_GB2312" w:cs="仿宋_GB2312"/>
          <w:b w:val="0"/>
          <w:bCs/>
          <w:i w:val="0"/>
          <w:caps w:val="0"/>
          <w:color w:val="000000" w:themeColor="text1"/>
          <w:spacing w:val="0"/>
          <w:kern w:val="2"/>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kern w:val="2"/>
          <w:sz w:val="32"/>
          <w:szCs w:val="32"/>
          <w:shd w:val="clear" w:fill="FFFFFF"/>
          <w:lang w:val="en-US" w:eastAsia="zh-CN" w:bidi="ar-SA"/>
          <w14:textFill>
            <w14:solidFill>
              <w14:schemeClr w14:val="tx1"/>
            </w14:solidFill>
          </w14:textFill>
        </w:rPr>
        <w:t>4.</w:t>
      </w:r>
      <w:r>
        <w:rPr>
          <w:rFonts w:hint="default" w:ascii="仿宋_GB2312" w:hAnsi="仿宋_GB2312" w:eastAsia="仿宋_GB2312" w:cs="仿宋_GB2312"/>
          <w:b w:val="0"/>
          <w:bCs/>
          <w:i w:val="0"/>
          <w:caps w:val="0"/>
          <w:color w:val="000000" w:themeColor="text1"/>
          <w:spacing w:val="0"/>
          <w:kern w:val="2"/>
          <w:sz w:val="32"/>
          <w:szCs w:val="32"/>
          <w:shd w:val="clear" w:fill="FFFFFF"/>
          <w:lang w:val="en-US" w:eastAsia="zh-CN" w:bidi="ar-SA"/>
          <w14:textFill>
            <w14:solidFill>
              <w14:schemeClr w14:val="tx1"/>
            </w14:solidFill>
          </w14:textFill>
        </w:rPr>
        <w:t>工商资本租赁农地审查审核表</w:t>
      </w:r>
    </w:p>
    <w:p>
      <w:pPr>
        <w:pStyle w:val="4"/>
        <w:keepNext w:val="0"/>
        <w:keepLines w:val="0"/>
        <w:pageBreakBefore w:val="0"/>
        <w:kinsoku/>
        <w:wordWrap/>
        <w:overflowPunct/>
        <w:topLinePunct w:val="0"/>
        <w:autoSpaceDE/>
        <w:autoSpaceDN/>
        <w:bidi w:val="0"/>
        <w:adjustRightInd/>
        <w:snapToGrid/>
        <w:spacing w:after="0" w:afterLines="0" w:line="560" w:lineRule="exact"/>
        <w:ind w:left="1916" w:leftChars="760" w:hanging="320" w:hangingChars="100"/>
        <w:jc w:val="left"/>
        <w:textAlignment w:val="auto"/>
        <w:rPr>
          <w:rFonts w:hint="eastAsia" w:ascii="仿宋_GB2312" w:hAnsi="仿宋_GB2312" w:eastAsia="仿宋_GB2312" w:cs="仿宋_GB2312"/>
          <w:b w:val="0"/>
          <w:bCs/>
          <w:i w:val="0"/>
          <w:caps w:val="0"/>
          <w:color w:val="000000" w:themeColor="text1"/>
          <w:spacing w:val="0"/>
          <w:kern w:val="2"/>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kern w:val="2"/>
          <w:sz w:val="32"/>
          <w:szCs w:val="32"/>
          <w:shd w:val="clear" w:fill="FFFFFF"/>
          <w:lang w:val="en-US" w:eastAsia="zh-CN" w:bidi="ar-SA"/>
          <w14:textFill>
            <w14:solidFill>
              <w14:schemeClr w14:val="tx1"/>
            </w14:solidFill>
          </w14:textFill>
        </w:rPr>
        <w:t>5.</w:t>
      </w:r>
      <w:r>
        <w:rPr>
          <w:rFonts w:hint="default" w:ascii="仿宋_GB2312" w:hAnsi="仿宋_GB2312" w:eastAsia="仿宋_GB2312" w:cs="仿宋_GB2312"/>
          <w:b w:val="0"/>
          <w:bCs/>
          <w:i w:val="0"/>
          <w:caps w:val="0"/>
          <w:color w:val="000000" w:themeColor="text1"/>
          <w:spacing w:val="0"/>
          <w:kern w:val="2"/>
          <w:sz w:val="32"/>
          <w:szCs w:val="32"/>
          <w:shd w:val="clear" w:fill="FFFFFF"/>
          <w:lang w:val="en-US" w:eastAsia="zh-CN" w:bidi="ar-SA"/>
          <w14:textFill>
            <w14:solidFill>
              <w14:schemeClr w14:val="tx1"/>
            </w14:solidFill>
          </w14:textFill>
        </w:rPr>
        <w:t>工商资本租赁农地备案表</w:t>
      </w:r>
    </w:p>
    <w:p>
      <w:pPr>
        <w:pStyle w:val="4"/>
        <w:keepNext w:val="0"/>
        <w:keepLines w:val="0"/>
        <w:pageBreakBefore w:val="0"/>
        <w:kinsoku/>
        <w:wordWrap/>
        <w:overflowPunct/>
        <w:topLinePunct w:val="0"/>
        <w:autoSpaceDE/>
        <w:autoSpaceDN/>
        <w:bidi w:val="0"/>
        <w:adjustRightInd/>
        <w:snapToGrid/>
        <w:spacing w:after="0" w:afterLines="0" w:line="560" w:lineRule="exact"/>
        <w:ind w:left="1916" w:leftChars="760" w:hanging="320" w:hangingChars="100"/>
        <w:jc w:val="left"/>
        <w:textAlignment w:val="auto"/>
        <w:rPr>
          <w:rFonts w:hint="eastAsia" w:ascii="仿宋_GB2312" w:hAnsi="仿宋_GB2312" w:eastAsia="仿宋_GB2312" w:cs="仿宋_GB2312"/>
          <w:b w:val="0"/>
          <w:bCs/>
          <w:i w:val="0"/>
          <w:caps w:val="0"/>
          <w:color w:val="000000" w:themeColor="text1"/>
          <w:spacing w:val="0"/>
          <w:kern w:val="2"/>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kern w:val="2"/>
          <w:sz w:val="32"/>
          <w:szCs w:val="32"/>
          <w:shd w:val="clear" w:fill="FFFFFF"/>
          <w:lang w:val="en-US" w:eastAsia="zh-CN" w:bidi="ar-SA"/>
          <w14:textFill>
            <w14:solidFill>
              <w14:schemeClr w14:val="tx1"/>
            </w14:solidFill>
          </w14:textFill>
        </w:rPr>
        <w:t>6.玛纳斯县</w:t>
      </w:r>
      <w:r>
        <w:rPr>
          <w:rFonts w:hint="default" w:ascii="仿宋_GB2312" w:hAnsi="仿宋_GB2312" w:eastAsia="仿宋_GB2312" w:cs="仿宋_GB2312"/>
          <w:b w:val="0"/>
          <w:bCs/>
          <w:i w:val="0"/>
          <w:caps w:val="0"/>
          <w:color w:val="000000" w:themeColor="text1"/>
          <w:spacing w:val="0"/>
          <w:kern w:val="2"/>
          <w:sz w:val="32"/>
          <w:szCs w:val="32"/>
          <w:shd w:val="clear" w:fill="FFFFFF"/>
          <w:lang w:val="en-US" w:eastAsia="zh-CN" w:bidi="ar-SA"/>
          <w14:textFill>
            <w14:solidFill>
              <w14:schemeClr w14:val="tx1"/>
            </w14:solidFill>
          </w14:textFill>
        </w:rPr>
        <w:t>农村土地经营权流转委托书</w:t>
      </w:r>
    </w:p>
    <w:p>
      <w:pPr>
        <w:pStyle w:val="4"/>
        <w:keepNext w:val="0"/>
        <w:keepLines w:val="0"/>
        <w:pageBreakBefore w:val="0"/>
        <w:kinsoku/>
        <w:wordWrap/>
        <w:overflowPunct/>
        <w:topLinePunct w:val="0"/>
        <w:autoSpaceDE/>
        <w:autoSpaceDN/>
        <w:bidi w:val="0"/>
        <w:adjustRightInd/>
        <w:snapToGrid/>
        <w:spacing w:after="0" w:afterLines="0" w:line="560" w:lineRule="exact"/>
        <w:ind w:left="1916" w:leftChars="760" w:hanging="320" w:hangingChars="100"/>
        <w:jc w:val="left"/>
        <w:textAlignment w:val="auto"/>
        <w:rPr>
          <w:rFonts w:hint="eastAsia" w:ascii="仿宋_GB2312" w:hAnsi="仿宋_GB2312" w:eastAsia="仿宋_GB2312" w:cs="仿宋_GB2312"/>
          <w:b w:val="0"/>
          <w:bCs/>
          <w:i w:val="0"/>
          <w:caps w:val="0"/>
          <w:color w:val="000000" w:themeColor="text1"/>
          <w:spacing w:val="0"/>
          <w:kern w:val="2"/>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kern w:val="2"/>
          <w:sz w:val="32"/>
          <w:szCs w:val="32"/>
          <w:shd w:val="clear" w:fill="FFFFFF"/>
          <w:lang w:val="en-US" w:eastAsia="zh-CN" w:bidi="ar-SA"/>
          <w14:textFill>
            <w14:solidFill>
              <w14:schemeClr w14:val="tx1"/>
            </w14:solidFill>
          </w14:textFill>
        </w:rPr>
        <w:t>7.玛纳斯县工商资本租赁农地审查备案汇总表</w:t>
      </w:r>
    </w:p>
    <w:p>
      <w:pPr>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kern w:val="2"/>
          <w:sz w:val="32"/>
          <w:szCs w:val="32"/>
          <w:shd w:val="clear" w:fill="FFFFFF"/>
          <w:lang w:val="en-US" w:eastAsia="zh-CN" w:bidi="ar-SA"/>
          <w14:textFill>
            <w14:solidFill>
              <w14:schemeClr w14:val="tx1"/>
            </w14:solidFill>
          </w14:textFill>
        </w:rPr>
        <w:br w:type="page"/>
      </w:r>
      <w:r>
        <w:rPr>
          <w:rFonts w:hint="eastAsia" w:ascii="黑体" w:hAnsi="黑体" w:eastAsia="黑体" w:cs="黑体"/>
          <w:color w:val="000000" w:themeColor="text1"/>
          <w:sz w:val="28"/>
          <w:szCs w:val="28"/>
          <w:lang w:val="en-US" w:eastAsia="zh-CN"/>
          <w14:textFill>
            <w14:solidFill>
              <w14:schemeClr w14:val="tx1"/>
            </w14:solidFill>
          </w14:textFill>
        </w:rPr>
        <w:t>附件1</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val="0"/>
          <w:i w:val="0"/>
          <w:caps w:val="0"/>
          <w:color w:val="000000" w:themeColor="text1"/>
          <w:spacing w:val="0"/>
          <w:sz w:val="28"/>
          <w:szCs w:val="28"/>
          <w:shd w:val="clear" w:fill="FFFFFF"/>
          <w:lang w:val="en-US" w:eastAsia="zh-CN"/>
          <w14:textFill>
            <w14:solidFill>
              <w14:schemeClr w14:val="tx1"/>
            </w14:solidFill>
          </w14:textFill>
        </w:rPr>
      </w:pPr>
      <w:r>
        <w:rPr>
          <w:rFonts w:hint="eastAsia" w:ascii="方正小标宋简体" w:hAnsi="方正小标宋简体" w:eastAsia="方正小标宋简体" w:cs="方正小标宋简体"/>
          <w:b w:val="0"/>
          <w:bCs/>
          <w:i w:val="0"/>
          <w:caps w:val="0"/>
          <w:color w:val="000000" w:themeColor="text1"/>
          <w:spacing w:val="0"/>
          <w:kern w:val="2"/>
          <w:sz w:val="44"/>
          <w:szCs w:val="44"/>
          <w:shd w:val="clear" w:fill="FFFFFF"/>
          <w:lang w:val="en-US" w:eastAsia="zh-CN" w:bidi="ar-SA"/>
          <w14:textFill>
            <w14:solidFill>
              <w14:schemeClr w14:val="tx1"/>
            </w14:solidFill>
          </w14:textFill>
        </w:rPr>
        <w:t>玛纳斯县农村集体机动地发包程序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i w:val="0"/>
          <w:caps w:val="0"/>
          <w:color w:val="000000" w:themeColor="text1"/>
          <w:spacing w:val="0"/>
          <w:sz w:val="32"/>
          <w:szCs w:val="32"/>
          <w:shd w:val="clear" w:fill="FFFFFF"/>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sz w:val="32"/>
          <w:szCs w:val="32"/>
          <w:shd w:val="clear" w:fill="FFFFFF"/>
          <w:lang w:val="en-US" w:eastAsia="zh-CN"/>
          <w14:textFill>
            <w14:solidFill>
              <w14:schemeClr w14:val="tx1"/>
            </w14:solidFill>
          </w14:textFill>
        </w:rPr>
        <w:t>农村集体机动地发包采取“村集体经济组织操作实施、乡（镇）级审核管理备案、县级监督指导”的县、乡、村三级监管体系，即村集体发包前须向乡（镇）农村合作经济（统计）发展中心提出书面申请，经乡（镇）人民政府审核同意公示后方可发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left"/>
        <w:textAlignment w:val="auto"/>
        <w:rPr>
          <w:rFonts w:hint="eastAsia" w:ascii="黑体" w:hAnsi="黑体" w:eastAsia="黑体" w:cs="黑体"/>
          <w:b w:val="0"/>
          <w:bCs/>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b w:val="0"/>
          <w:bCs/>
          <w:i w:val="0"/>
          <w:caps w:val="0"/>
          <w:color w:val="000000" w:themeColor="text1"/>
          <w:spacing w:val="0"/>
          <w:sz w:val="32"/>
          <w:szCs w:val="32"/>
          <w:shd w:val="clear" w:fill="FFFFFF"/>
          <w:lang w:val="en-US" w:eastAsia="zh-CN"/>
          <w14:textFill>
            <w14:solidFill>
              <w14:schemeClr w14:val="tx1"/>
            </w14:solidFill>
          </w14:textFill>
        </w:rPr>
        <w:t>发包程序：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jc w:val="left"/>
        <w:textAlignment w:val="auto"/>
        <w:rPr>
          <w:rFonts w:hint="eastAsia" w:ascii="仿宋_GB2312" w:hAnsi="仿宋_GB2312" w:eastAsia="仿宋_GB2312" w:cs="仿宋_GB2312"/>
          <w:b w:val="0"/>
          <w:bCs/>
          <w:i w:val="0"/>
          <w:caps w:val="0"/>
          <w:color w:val="000000" w:themeColor="text1"/>
          <w:spacing w:val="0"/>
          <w:sz w:val="32"/>
          <w:szCs w:val="32"/>
          <w:shd w:val="clear" w:fill="FFFFFF"/>
          <w:lang w:val="en-US" w:eastAsia="zh-CN"/>
          <w14:textFill>
            <w14:solidFill>
              <w14:schemeClr w14:val="tx1"/>
            </w14:solidFill>
          </w14:textFill>
        </w:rPr>
      </w:pPr>
      <w:r>
        <w:rPr>
          <w:rFonts w:hint="eastAsia" w:ascii="楷体_GB2312" w:hAnsi="楷体_GB2312" w:eastAsia="楷体_GB2312" w:cs="楷体_GB2312"/>
          <w:b/>
          <w:bCs w:val="0"/>
          <w:i w:val="0"/>
          <w:caps w:val="0"/>
          <w:color w:val="000000" w:themeColor="text1"/>
          <w:spacing w:val="0"/>
          <w:sz w:val="32"/>
          <w:szCs w:val="32"/>
          <w:shd w:val="clear" w:fill="FFFFFF"/>
          <w:lang w:val="en-US" w:eastAsia="zh-CN"/>
          <w14:textFill>
            <w14:solidFill>
              <w14:schemeClr w14:val="tx1"/>
            </w14:solidFill>
          </w14:textFill>
        </w:rPr>
        <w:t>（一）发包方案。</w:t>
      </w:r>
      <w:r>
        <w:rPr>
          <w:rFonts w:hint="eastAsia" w:ascii="仿宋_GB2312" w:hAnsi="仿宋_GB2312" w:eastAsia="仿宋_GB2312" w:cs="仿宋_GB2312"/>
          <w:b w:val="0"/>
          <w:bCs/>
          <w:i w:val="0"/>
          <w:caps w:val="0"/>
          <w:color w:val="000000" w:themeColor="text1"/>
          <w:spacing w:val="0"/>
          <w:sz w:val="32"/>
          <w:szCs w:val="32"/>
          <w:shd w:val="clear" w:fill="FFFFFF"/>
          <w:lang w:val="en-US" w:eastAsia="zh-CN"/>
          <w14:textFill>
            <w14:solidFill>
              <w14:schemeClr w14:val="tx1"/>
            </w14:solidFill>
          </w14:textFill>
        </w:rPr>
        <w:t>村集体机动地发包由村党支部和村股份经济合作社经营管理班子会议讨论，形成方案，提交村集体经济组织理事会、监事会、成员（代表）大会的议事会讨论。经本集体经济组织的成员代表会议三分之二以上成员的同意，采取公平竞价或议价承包方式进行,农村集体四荒地也可采取招标、拍卖、协商等方式进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sz w:val="32"/>
          <w:szCs w:val="32"/>
          <w:shd w:val="clear" w:fill="FFFFFF"/>
          <w:lang w:val="en-US" w:eastAsia="zh-CN"/>
          <w14:textFill>
            <w14:solidFill>
              <w14:schemeClr w14:val="tx1"/>
            </w14:solidFill>
          </w14:textFill>
        </w:rPr>
        <w:t>讨论通过后，向乡（镇）人民政府提出该村机动地发包方案，要明确竞价发包会议时间、地点、以及发包的地块位置、招标底价、承包年限、承包价格、付款方式、违约责任、水权、残膜回收等特别约定条款。发包方案上报乡（镇）农村合作经济（统计）发展中心审核把关后，由乡（镇）人民政府审批确认后由村集体经济组织实施。乡（镇）人民政府接到申请后，应在5个工作日内，对土地发包方案做出书面批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jc w:val="left"/>
        <w:textAlignment w:val="auto"/>
        <w:rPr>
          <w:rFonts w:hint="eastAsia" w:ascii="仿宋_GB2312" w:hAnsi="仿宋_GB2312" w:eastAsia="仿宋_GB2312" w:cs="仿宋_GB2312"/>
          <w:b w:val="0"/>
          <w:bCs/>
          <w:i w:val="0"/>
          <w:caps w:val="0"/>
          <w:color w:val="000000" w:themeColor="text1"/>
          <w:spacing w:val="0"/>
          <w:sz w:val="32"/>
          <w:szCs w:val="32"/>
          <w:shd w:val="clear" w:fill="FFFFFF"/>
          <w:lang w:val="en-US" w:eastAsia="zh-CN"/>
          <w14:textFill>
            <w14:solidFill>
              <w14:schemeClr w14:val="tx1"/>
            </w14:solidFill>
          </w14:textFill>
        </w:rPr>
      </w:pPr>
      <w:r>
        <w:rPr>
          <w:rFonts w:hint="eastAsia" w:ascii="楷体_GB2312" w:hAnsi="楷体_GB2312" w:eastAsia="楷体_GB2312" w:cs="楷体_GB2312"/>
          <w:b/>
          <w:bCs w:val="0"/>
          <w:i w:val="0"/>
          <w:caps w:val="0"/>
          <w:color w:val="000000" w:themeColor="text1"/>
          <w:spacing w:val="0"/>
          <w:sz w:val="32"/>
          <w:szCs w:val="32"/>
          <w:shd w:val="clear" w:fill="FFFFFF"/>
          <w:lang w:val="en-US" w:eastAsia="zh-CN"/>
          <w14:textFill>
            <w14:solidFill>
              <w14:schemeClr w14:val="tx1"/>
            </w14:solidFill>
          </w14:textFill>
        </w:rPr>
        <w:t>（二）核实面积。</w:t>
      </w:r>
      <w:r>
        <w:rPr>
          <w:rFonts w:hint="eastAsia" w:ascii="仿宋_GB2312" w:hAnsi="仿宋_GB2312" w:eastAsia="仿宋_GB2312" w:cs="仿宋_GB2312"/>
          <w:b w:val="0"/>
          <w:bCs/>
          <w:i w:val="0"/>
          <w:caps w:val="0"/>
          <w:color w:val="000000" w:themeColor="text1"/>
          <w:spacing w:val="0"/>
          <w:sz w:val="32"/>
          <w:szCs w:val="32"/>
          <w:shd w:val="clear" w:fill="FFFFFF"/>
          <w:lang w:val="en-US" w:eastAsia="zh-CN"/>
          <w14:textFill>
            <w14:solidFill>
              <w14:schemeClr w14:val="tx1"/>
            </w14:solidFill>
          </w14:textFill>
        </w:rPr>
        <w:t>无争议的发包地块，可依据确认的土地管理台帐按程序进行发包，有争议的集体土地面积核实，由集体经济组织推选成员代表组成机动地核查小组，乡（镇）农村合作经济（统计）发展中心派员参加，进行逐块测量登记并签字确认，经村集体经济组织和乡（镇）农村合作经济（统计）发展中心共同签字公章确认后建立相关土地台帐，对机动地地块名称、发包面积、四至位置、费用交纳、纠纷处理等情况进行详细登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jc w:val="left"/>
        <w:textAlignment w:val="auto"/>
        <w:rPr>
          <w:rFonts w:hint="eastAsia" w:ascii="仿宋_GB2312" w:hAnsi="仿宋_GB2312" w:eastAsia="仿宋_GB2312" w:cs="仿宋_GB2312"/>
          <w:b w:val="0"/>
          <w:bCs/>
          <w:i w:val="0"/>
          <w:caps w:val="0"/>
          <w:color w:val="000000" w:themeColor="text1"/>
          <w:spacing w:val="0"/>
          <w:sz w:val="32"/>
          <w:szCs w:val="32"/>
          <w:shd w:val="clear" w:fill="FFFFFF"/>
          <w:lang w:val="en-US" w:eastAsia="zh-CN"/>
          <w14:textFill>
            <w14:solidFill>
              <w14:schemeClr w14:val="tx1"/>
            </w14:solidFill>
          </w14:textFill>
        </w:rPr>
      </w:pPr>
      <w:r>
        <w:rPr>
          <w:rFonts w:hint="eastAsia" w:ascii="楷体_GB2312" w:hAnsi="楷体_GB2312" w:eastAsia="楷体_GB2312" w:cs="楷体_GB2312"/>
          <w:b/>
          <w:bCs w:val="0"/>
          <w:i w:val="0"/>
          <w:caps w:val="0"/>
          <w:color w:val="000000" w:themeColor="text1"/>
          <w:spacing w:val="0"/>
          <w:sz w:val="32"/>
          <w:szCs w:val="32"/>
          <w:shd w:val="clear" w:fill="FFFFFF"/>
          <w:lang w:val="en-US" w:eastAsia="zh-CN"/>
          <w14:textFill>
            <w14:solidFill>
              <w14:schemeClr w14:val="tx1"/>
            </w14:solidFill>
          </w14:textFill>
        </w:rPr>
        <w:t>（三）招标底价。</w:t>
      </w:r>
      <w:r>
        <w:rPr>
          <w:rFonts w:hint="eastAsia" w:ascii="仿宋_GB2312" w:hAnsi="仿宋_GB2312" w:eastAsia="仿宋_GB2312" w:cs="仿宋_GB2312"/>
          <w:b w:val="0"/>
          <w:bCs/>
          <w:i w:val="0"/>
          <w:caps w:val="0"/>
          <w:color w:val="000000" w:themeColor="text1"/>
          <w:spacing w:val="0"/>
          <w:sz w:val="32"/>
          <w:szCs w:val="32"/>
          <w:shd w:val="clear" w:fill="FFFFFF"/>
          <w:lang w:val="en-US" w:eastAsia="zh-CN"/>
          <w14:textFill>
            <w14:solidFill>
              <w14:schemeClr w14:val="tx1"/>
            </w14:solidFill>
          </w14:textFill>
        </w:rPr>
        <w:t>农村集体机动地的发包要求全部进入县农村产权交易中心，由农村产权交易中心和各乡（镇）参照“四议三会两公开”程序组织交易。乡（镇）农村合作经济（统计）发展中心组织发包相关人员和村集体经济组织代表参加，按照公示确认的发包申请，对拟发包地块逐一书面确定招标底价，经乡（镇）人民政府同意后提交县综合产权交易中心备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jc w:val="left"/>
        <w:textAlignment w:val="auto"/>
        <w:rPr>
          <w:rFonts w:hint="eastAsia" w:ascii="仿宋_GB2312" w:hAnsi="仿宋_GB2312" w:eastAsia="仿宋_GB2312" w:cs="仿宋_GB2312"/>
          <w:b w:val="0"/>
          <w:bCs/>
          <w:i w:val="0"/>
          <w:caps w:val="0"/>
          <w:color w:val="000000" w:themeColor="text1"/>
          <w:spacing w:val="0"/>
          <w:sz w:val="32"/>
          <w:szCs w:val="32"/>
          <w:shd w:val="clear" w:fill="FFFFFF"/>
          <w:lang w:val="en-US" w:eastAsia="zh-CN"/>
          <w14:textFill>
            <w14:solidFill>
              <w14:schemeClr w14:val="tx1"/>
            </w14:solidFill>
          </w14:textFill>
        </w:rPr>
      </w:pPr>
      <w:r>
        <w:rPr>
          <w:rFonts w:hint="eastAsia" w:ascii="楷体_GB2312" w:hAnsi="楷体_GB2312" w:eastAsia="楷体_GB2312" w:cs="楷体_GB2312"/>
          <w:b/>
          <w:bCs w:val="0"/>
          <w:i w:val="0"/>
          <w:caps w:val="0"/>
          <w:color w:val="000000" w:themeColor="text1"/>
          <w:spacing w:val="0"/>
          <w:sz w:val="32"/>
          <w:szCs w:val="32"/>
          <w:shd w:val="clear" w:fill="FFFFFF"/>
          <w:lang w:val="en-US" w:eastAsia="zh-CN"/>
          <w14:textFill>
            <w14:solidFill>
              <w14:schemeClr w14:val="tx1"/>
            </w14:solidFill>
          </w14:textFill>
        </w:rPr>
        <w:t>（四）招标公告。</w:t>
      </w:r>
      <w:r>
        <w:rPr>
          <w:rFonts w:hint="eastAsia" w:ascii="仿宋_GB2312" w:hAnsi="仿宋_GB2312" w:eastAsia="仿宋_GB2312" w:cs="仿宋_GB2312"/>
          <w:b w:val="0"/>
          <w:bCs/>
          <w:i w:val="0"/>
          <w:caps w:val="0"/>
          <w:color w:val="000000" w:themeColor="text1"/>
          <w:spacing w:val="0"/>
          <w:sz w:val="32"/>
          <w:szCs w:val="32"/>
          <w:shd w:val="clear" w:fill="FFFFFF"/>
          <w:lang w:val="en-US" w:eastAsia="zh-CN"/>
          <w14:textFill>
            <w14:solidFill>
              <w14:schemeClr w14:val="tx1"/>
            </w14:solidFill>
          </w14:textFill>
        </w:rPr>
        <w:t>村集体经济组织应及时发布招标公告，公告内容应包括:报名条件、机动地基本情况、招投标方式、发包年限、承包价格、水权、残膜、农药瓶袋回收等特别约定条款等。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sz w:val="32"/>
          <w:szCs w:val="32"/>
          <w:shd w:val="clear" w:fill="FFFFFF"/>
          <w:lang w:val="en-US" w:eastAsia="zh-CN"/>
          <w14:textFill>
            <w14:solidFill>
              <w14:schemeClr w14:val="tx1"/>
            </w14:solidFill>
          </w14:textFill>
        </w:rPr>
        <w:t>1.投标人应为缴清承包期费用有一定经营能力的本村村民、集体经济组织成员或有生产经营能力的单位或个人。凡未缴清承包费用的承包人,在未缴清欠费之前，不享有投标资格。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sz w:val="32"/>
          <w:szCs w:val="32"/>
          <w:shd w:val="clear" w:fill="FFFFFF"/>
          <w:lang w:val="en-US" w:eastAsia="zh-CN"/>
          <w14:textFill>
            <w14:solidFill>
              <w14:schemeClr w14:val="tx1"/>
            </w14:solidFill>
          </w14:textFill>
        </w:rPr>
        <w:t>2.报名时,投标人应交纳一定的招投标保证金,投标人中标后可抵承包费用,未中标者，应全额及时退还投标保证金。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jc w:val="left"/>
        <w:textAlignment w:val="auto"/>
        <w:rPr>
          <w:rFonts w:hint="eastAsia" w:ascii="仿宋_GB2312" w:hAnsi="仿宋_GB2312" w:eastAsia="仿宋_GB2312" w:cs="仿宋_GB2312"/>
          <w:b w:val="0"/>
          <w:bCs/>
          <w:i w:val="0"/>
          <w:caps w:val="0"/>
          <w:color w:val="000000" w:themeColor="text1"/>
          <w:spacing w:val="0"/>
          <w:sz w:val="32"/>
          <w:szCs w:val="32"/>
          <w:shd w:val="clear" w:fill="FFFFFF"/>
          <w:lang w:val="en-US" w:eastAsia="zh-CN"/>
          <w14:textFill>
            <w14:solidFill>
              <w14:schemeClr w14:val="tx1"/>
            </w14:solidFill>
          </w14:textFill>
        </w:rPr>
      </w:pPr>
      <w:r>
        <w:rPr>
          <w:rFonts w:hint="eastAsia" w:ascii="楷体_GB2312" w:hAnsi="楷体_GB2312" w:eastAsia="楷体_GB2312" w:cs="楷体_GB2312"/>
          <w:b/>
          <w:bCs w:val="0"/>
          <w:i w:val="0"/>
          <w:caps w:val="0"/>
          <w:color w:val="000000" w:themeColor="text1"/>
          <w:spacing w:val="0"/>
          <w:sz w:val="32"/>
          <w:szCs w:val="32"/>
          <w:shd w:val="clear" w:fill="FFFFFF"/>
          <w:lang w:val="en-US" w:eastAsia="zh-CN"/>
          <w14:textFill>
            <w14:solidFill>
              <w14:schemeClr w14:val="tx1"/>
            </w14:solidFill>
          </w14:textFill>
        </w:rPr>
        <w:t>（五）公示竞拍。</w:t>
      </w:r>
      <w:r>
        <w:rPr>
          <w:rFonts w:hint="eastAsia" w:ascii="仿宋_GB2312" w:hAnsi="仿宋_GB2312" w:eastAsia="仿宋_GB2312" w:cs="仿宋_GB2312"/>
          <w:b w:val="0"/>
          <w:bCs/>
          <w:i w:val="0"/>
          <w:caps w:val="0"/>
          <w:color w:val="000000" w:themeColor="text1"/>
          <w:spacing w:val="0"/>
          <w:sz w:val="32"/>
          <w:szCs w:val="32"/>
          <w:shd w:val="clear" w:fill="FFFFFF"/>
          <w:lang w:val="en-US" w:eastAsia="zh-CN"/>
          <w14:textFill>
            <w14:solidFill>
              <w14:schemeClr w14:val="tx1"/>
            </w14:solidFill>
          </w14:textFill>
        </w:rPr>
        <w:t>发包方案确定后，进行公示，公示期为7天。公示期满，村集体经济组织召开公开竞价招投标会议，县农村产权交易中心，乡（镇）农村合作经济（统计）发展中心，村集体经济组织做好公示竞拍工作。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jc w:val="left"/>
        <w:textAlignment w:val="auto"/>
        <w:rPr>
          <w:rFonts w:hint="eastAsia" w:ascii="仿宋_GB2312" w:hAnsi="仿宋_GB2312" w:eastAsia="仿宋_GB2312" w:cs="仿宋_GB2312"/>
          <w:b w:val="0"/>
          <w:bCs/>
          <w:i w:val="0"/>
          <w:caps w:val="0"/>
          <w:color w:val="000000" w:themeColor="text1"/>
          <w:spacing w:val="0"/>
          <w:sz w:val="32"/>
          <w:szCs w:val="32"/>
          <w:shd w:val="clear" w:fill="FFFFFF"/>
          <w:lang w:val="en-US" w:eastAsia="zh-CN"/>
          <w14:textFill>
            <w14:solidFill>
              <w14:schemeClr w14:val="tx1"/>
            </w14:solidFill>
          </w14:textFill>
        </w:rPr>
      </w:pPr>
      <w:r>
        <w:rPr>
          <w:rFonts w:hint="eastAsia" w:ascii="楷体_GB2312" w:hAnsi="楷体_GB2312" w:eastAsia="楷体_GB2312" w:cs="楷体_GB2312"/>
          <w:b/>
          <w:bCs w:val="0"/>
          <w:i w:val="0"/>
          <w:caps w:val="0"/>
          <w:color w:val="000000" w:themeColor="text1"/>
          <w:spacing w:val="0"/>
          <w:sz w:val="32"/>
          <w:szCs w:val="32"/>
          <w:shd w:val="clear" w:fill="FFFFFF"/>
          <w:lang w:val="en-US" w:eastAsia="zh-CN"/>
          <w14:textFill>
            <w14:solidFill>
              <w14:schemeClr w14:val="tx1"/>
            </w14:solidFill>
          </w14:textFill>
        </w:rPr>
        <w:t>（六）招投标大会。</w:t>
      </w:r>
      <w:r>
        <w:rPr>
          <w:rFonts w:hint="eastAsia" w:ascii="仿宋_GB2312" w:hAnsi="仿宋_GB2312" w:eastAsia="仿宋_GB2312" w:cs="仿宋_GB2312"/>
          <w:b w:val="0"/>
          <w:bCs/>
          <w:i w:val="0"/>
          <w:caps w:val="0"/>
          <w:color w:val="000000" w:themeColor="text1"/>
          <w:spacing w:val="0"/>
          <w:sz w:val="32"/>
          <w:szCs w:val="32"/>
          <w:shd w:val="clear" w:fill="FFFFFF"/>
          <w:lang w:val="en-US" w:eastAsia="zh-CN"/>
          <w14:textFill>
            <w14:solidFill>
              <w14:schemeClr w14:val="tx1"/>
            </w14:solidFill>
          </w14:textFill>
        </w:rPr>
        <w:t>由乡（镇）农村合作经济（统计）发展中心主持，县农村产权交易中心派人参加。乡（镇）和村集体经济组织应及时通知参加招标大会的相关人员。集体经济组织成员代表会议三分之二以上成员代表同意或理事会和监事会成员总数70%以上代表同意的招投标大会合规有效。投标人在招标时须交纳以招标底价为基准，计划招投标面积承包总金额不超过10%做为招投标保证金,中标人应在中标后交清中标金额,否则中标无效，招投标保证金不予退回。在同等条件下，本集体经济组织成员、本村村民和原承包人享有优先承包权。</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ascii="仿宋_GB2312" w:hAnsi="仿宋_GB2312" w:eastAsia="仿宋_GB2312" w:cs="仿宋_GB2312"/>
          <w:b w:val="0"/>
          <w:bCs/>
          <w:i w:val="0"/>
          <w:caps w:val="0"/>
          <w:color w:val="000000" w:themeColor="text1"/>
          <w:spacing w:val="0"/>
          <w:sz w:val="32"/>
          <w:szCs w:val="32"/>
          <w:shd w:val="clear" w:fill="FFFFFF"/>
          <w:lang w:val="en-US" w:eastAsia="zh-CN"/>
          <w14:textFill>
            <w14:solidFill>
              <w14:schemeClr w14:val="tx1"/>
            </w14:solidFill>
          </w14:textFill>
        </w:rPr>
      </w:pPr>
      <w:r>
        <w:rPr>
          <w:rFonts w:hint="eastAsia" w:ascii="楷体_GB2312" w:hAnsi="楷体_GB2312" w:eastAsia="楷体_GB2312" w:cs="楷体_GB2312"/>
          <w:b/>
          <w:bCs w:val="0"/>
          <w:i w:val="0"/>
          <w:caps w:val="0"/>
          <w:color w:val="000000" w:themeColor="text1"/>
          <w:spacing w:val="0"/>
          <w:sz w:val="32"/>
          <w:szCs w:val="32"/>
          <w:shd w:val="clear" w:fill="FFFFFF"/>
          <w:lang w:val="en-US" w:eastAsia="zh-CN"/>
          <w14:textFill>
            <w14:solidFill>
              <w14:schemeClr w14:val="tx1"/>
            </w14:solidFill>
          </w14:textFill>
        </w:rPr>
        <w:t>（七）合同鉴证。</w:t>
      </w:r>
      <w:r>
        <w:rPr>
          <w:rFonts w:hint="eastAsia" w:ascii="仿宋_GB2312" w:hAnsi="仿宋_GB2312" w:eastAsia="仿宋_GB2312" w:cs="仿宋_GB2312"/>
          <w:b w:val="0"/>
          <w:bCs/>
          <w:i w:val="0"/>
          <w:caps w:val="0"/>
          <w:color w:val="000000" w:themeColor="text1"/>
          <w:spacing w:val="0"/>
          <w:sz w:val="32"/>
          <w:szCs w:val="32"/>
          <w:shd w:val="clear" w:fill="FFFFFF"/>
          <w:lang w:val="en-US" w:eastAsia="zh-CN"/>
          <w14:textFill>
            <w14:solidFill>
              <w14:schemeClr w14:val="tx1"/>
            </w14:solidFill>
          </w14:textFill>
        </w:rPr>
        <w:t>竞价发包结束后，由县产权交易中心和乡（镇）农村合作经济（统计）发展中心负责组织村集体经济组织和当事人签订合同，原则上机动地实行合同网签，合同一式三份（发包方、承包方、乡（镇）农村合作经济（统计）发展中心）。</w:t>
      </w:r>
    </w:p>
    <w:p>
      <w:pPr>
        <w:rPr>
          <w:rFonts w:hint="eastAsia"/>
          <w:lang w:val="en-US" w:eastAsia="zh-CN"/>
        </w:rPr>
      </w:pPr>
      <w:r>
        <w:rPr>
          <w:rFonts w:hint="eastAsia" w:ascii="仿宋_GB2312" w:hAnsi="仿宋_GB2312" w:eastAsia="仿宋_GB2312" w:cs="仿宋_GB2312"/>
          <w:b w:val="0"/>
          <w:bCs/>
          <w:i w:val="0"/>
          <w:caps w:val="0"/>
          <w:color w:val="000000" w:themeColor="text1"/>
          <w:spacing w:val="0"/>
          <w:sz w:val="32"/>
          <w:szCs w:val="32"/>
          <w:shd w:val="clear" w:fill="FFFFFF"/>
          <w:lang w:val="en-US" w:eastAsia="zh-CN"/>
          <w14:textFill>
            <w14:solidFill>
              <w14:schemeClr w14:val="tx1"/>
            </w14:solidFill>
          </w14:textFill>
        </w:rPr>
        <w:br w:type="page"/>
      </w:r>
    </w:p>
    <w:p>
      <w:pPr>
        <w:keepNext w:val="0"/>
        <w:keepLines w:val="0"/>
        <w:pageBreakBefore w:val="0"/>
        <w:kinsoku/>
        <w:wordWrap/>
        <w:overflowPunct/>
        <w:topLinePunct w:val="0"/>
        <w:autoSpaceDE/>
        <w:autoSpaceDN/>
        <w:bidi w:val="0"/>
        <w:adjustRightInd/>
        <w:snapToGrid/>
        <w:spacing w:line="560" w:lineRule="exact"/>
        <w:ind w:left="0"/>
        <w:jc w:val="both"/>
        <w:textAlignment w:val="auto"/>
        <w:rPr>
          <w:rFonts w:hint="eastAsia" w:ascii="方正小标宋简体" w:hAnsi="方正小标宋简体" w:eastAsia="方正小标宋简体" w:cs="方正小标宋简体"/>
          <w:b w:val="0"/>
          <w:bCs/>
          <w:i w:val="0"/>
          <w:caps w:val="0"/>
          <w:color w:val="000000" w:themeColor="text1"/>
          <w:spacing w:val="0"/>
          <w:kern w:val="2"/>
          <w:sz w:val="44"/>
          <w:szCs w:val="44"/>
          <w:shd w:val="clear" w:fill="FFFFFF"/>
          <w:lang w:val="en-US" w:eastAsia="zh-CN" w:bidi="ar-SA"/>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附件2</w:t>
      </w:r>
    </w:p>
    <w:p>
      <w:pPr>
        <w:pStyle w:val="4"/>
        <w:keepNext w:val="0"/>
        <w:keepLines w:val="0"/>
        <w:pageBreakBefore w:val="0"/>
        <w:widowControl w:val="0"/>
        <w:kinsoku/>
        <w:wordWrap/>
        <w:overflowPunct/>
        <w:topLinePunct w:val="0"/>
        <w:autoSpaceDE/>
        <w:autoSpaceDN/>
        <w:bidi w:val="0"/>
        <w:adjustRightInd/>
        <w:snapToGrid/>
        <w:spacing w:after="0" w:afterLines="0" w:line="560" w:lineRule="exact"/>
        <w:ind w:left="0"/>
        <w:jc w:val="center"/>
        <w:textAlignment w:val="auto"/>
        <w:rPr>
          <w:rFonts w:hint="eastAsia" w:ascii="方正小标宋简体" w:hAnsi="方正小标宋简体" w:eastAsia="方正小标宋简体" w:cs="方正小标宋简体"/>
          <w:b w:val="0"/>
          <w:bCs/>
          <w:i w:val="0"/>
          <w:caps w:val="0"/>
          <w:color w:val="000000" w:themeColor="text1"/>
          <w:spacing w:val="0"/>
          <w:kern w:val="2"/>
          <w:sz w:val="44"/>
          <w:szCs w:val="44"/>
          <w:shd w:val="clear" w:fill="FFFFFF"/>
          <w:lang w:val="en-US" w:eastAsia="zh-CN" w:bidi="ar-SA"/>
          <w14:textFill>
            <w14:solidFill>
              <w14:schemeClr w14:val="tx1"/>
            </w14:solidFill>
          </w14:textFill>
        </w:rPr>
      </w:pPr>
      <w:r>
        <w:rPr>
          <w:rFonts w:hint="eastAsia" w:ascii="方正小标宋简体" w:hAnsi="方正小标宋简体" w:eastAsia="方正小标宋简体" w:cs="方正小标宋简体"/>
          <w:b w:val="0"/>
          <w:bCs/>
          <w:i w:val="0"/>
          <w:caps w:val="0"/>
          <w:color w:val="000000" w:themeColor="text1"/>
          <w:spacing w:val="0"/>
          <w:kern w:val="2"/>
          <w:sz w:val="44"/>
          <w:szCs w:val="44"/>
          <w:shd w:val="clear" w:fill="FFFFFF"/>
          <w:lang w:val="en-US" w:eastAsia="zh-CN" w:bidi="ar-SA"/>
          <w14:textFill>
            <w14:solidFill>
              <w14:schemeClr w14:val="tx1"/>
            </w14:solidFill>
          </w14:textFill>
        </w:rPr>
        <w:t>玛纳斯县工商资本进入农村土地流转市场</w:t>
      </w:r>
    </w:p>
    <w:p>
      <w:pPr>
        <w:pStyle w:val="4"/>
        <w:keepNext w:val="0"/>
        <w:keepLines w:val="0"/>
        <w:pageBreakBefore w:val="0"/>
        <w:widowControl w:val="0"/>
        <w:kinsoku/>
        <w:wordWrap/>
        <w:overflowPunct/>
        <w:topLinePunct w:val="0"/>
        <w:autoSpaceDE/>
        <w:autoSpaceDN/>
        <w:bidi w:val="0"/>
        <w:adjustRightInd/>
        <w:snapToGrid/>
        <w:spacing w:after="0" w:afterLines="0" w:line="560" w:lineRule="exact"/>
        <w:ind w:left="0"/>
        <w:jc w:val="center"/>
        <w:textAlignment w:val="auto"/>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i w:val="0"/>
          <w:caps w:val="0"/>
          <w:color w:val="000000" w:themeColor="text1"/>
          <w:spacing w:val="0"/>
          <w:kern w:val="2"/>
          <w:sz w:val="44"/>
          <w:szCs w:val="44"/>
          <w:shd w:val="clear" w:fill="FFFFFF"/>
          <w:lang w:val="en-US" w:eastAsia="zh-CN" w:bidi="ar-SA"/>
          <w14:textFill>
            <w14:solidFill>
              <w14:schemeClr w14:val="tx1"/>
            </w14:solidFill>
          </w14:textFill>
        </w:rPr>
        <w:t>审查审核内容及一般程序</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bCs/>
          <w:i w:val="0"/>
          <w:caps w:val="0"/>
          <w:color w:val="000000" w:themeColor="text1"/>
          <w:spacing w:val="0"/>
          <w:sz w:val="32"/>
          <w:szCs w:val="32"/>
          <w:shd w:val="clear" w:fill="FFFFFF"/>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bCs/>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sz w:val="32"/>
          <w:szCs w:val="32"/>
          <w:shd w:val="clear" w:fill="FFFFFF"/>
          <w:lang w:val="en-US" w:eastAsia="zh-CN"/>
          <w14:textFill>
            <w14:solidFill>
              <w14:schemeClr w14:val="tx1"/>
            </w14:solidFill>
          </w14:textFill>
        </w:rPr>
        <w:t>工商资本流转农村土地期限不得超过土地二轮承包剩余时间，赋予一定范围的土地经营权抵押、担保权能。工商企业等社会资本需要通过流转取得土地经营权的，应当依法进行资格审查和项目审核。审查审核内容及一般程序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b w:val="0"/>
          <w:bCs/>
          <w:i w:val="0"/>
          <w:caps w:val="0"/>
          <w:color w:val="000000" w:themeColor="text1"/>
          <w:spacing w:val="0"/>
          <w:kern w:val="2"/>
          <w:sz w:val="32"/>
          <w:szCs w:val="32"/>
          <w:shd w:val="clear" w:fill="FFFFFF"/>
          <w:lang w:val="en-US" w:eastAsia="zh-CN" w:bidi="ar-SA"/>
          <w14:textFill>
            <w14:solidFill>
              <w14:schemeClr w14:val="tx1"/>
            </w14:solidFill>
          </w14:textFill>
        </w:rPr>
      </w:pPr>
      <w:r>
        <w:rPr>
          <w:rFonts w:hint="eastAsia" w:ascii="黑体" w:hAnsi="黑体" w:eastAsia="黑体" w:cs="黑体"/>
          <w:b w:val="0"/>
          <w:bCs/>
          <w:i w:val="0"/>
          <w:caps w:val="0"/>
          <w:color w:val="000000" w:themeColor="text1"/>
          <w:spacing w:val="0"/>
          <w:kern w:val="2"/>
          <w:sz w:val="32"/>
          <w:szCs w:val="32"/>
          <w:shd w:val="clear" w:fill="FFFFFF"/>
          <w:lang w:val="en-US" w:eastAsia="zh-CN" w:bidi="ar-SA"/>
          <w14:textFill>
            <w14:solidFill>
              <w14:schemeClr w14:val="tx1"/>
            </w14:solidFill>
          </w14:textFill>
        </w:rPr>
        <w:t>一、受让方与二轮确权承包方就流转面积、期限、价款等进行协商并签订流转合同。涉及未承包到户集体土地等集体资源的，应当按照法定程序经本集体经济组织成员三分之二以上成员代表的同意，并与集体经济组织依法签订流转合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i w:val="0"/>
          <w:caps w:val="0"/>
          <w:color w:val="000000" w:themeColor="text1"/>
          <w:spacing w:val="0"/>
          <w:kern w:val="2"/>
          <w:sz w:val="32"/>
          <w:szCs w:val="32"/>
          <w:shd w:val="clear" w:fill="FFFFFF"/>
          <w:lang w:val="en-US" w:eastAsia="zh-CN" w:bidi="ar-SA"/>
          <w14:textFill>
            <w14:solidFill>
              <w14:schemeClr w14:val="tx1"/>
            </w14:solidFill>
          </w14:textFill>
        </w:rPr>
      </w:pPr>
      <w:r>
        <w:rPr>
          <w:rFonts w:hint="eastAsia" w:ascii="黑体" w:hAnsi="黑体" w:eastAsia="黑体" w:cs="黑体"/>
          <w:b w:val="0"/>
          <w:bCs/>
          <w:i w:val="0"/>
          <w:caps w:val="0"/>
          <w:color w:val="000000" w:themeColor="text1"/>
          <w:spacing w:val="0"/>
          <w:kern w:val="2"/>
          <w:sz w:val="32"/>
          <w:szCs w:val="32"/>
          <w:shd w:val="clear" w:fill="FFFFFF"/>
          <w:lang w:val="en-US" w:eastAsia="zh-CN" w:bidi="ar-SA"/>
          <w14:textFill>
            <w14:solidFill>
              <w14:schemeClr w14:val="tx1"/>
            </w14:solidFill>
          </w14:textFill>
        </w:rPr>
        <w:t>二、受让方依法向乡（镇）人民政府、县农业农村主管部门提出申请，并提交流转合同书、农业经营能力或者资质证明、流转项目计划等相关材料。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b w:val="0"/>
          <w:bCs/>
          <w:i w:val="0"/>
          <w:caps w:val="0"/>
          <w:color w:val="000000" w:themeColor="text1"/>
          <w:spacing w:val="0"/>
          <w:kern w:val="2"/>
          <w:sz w:val="32"/>
          <w:szCs w:val="32"/>
          <w:shd w:val="clear" w:fill="FFFFFF"/>
          <w:lang w:val="en-US" w:eastAsia="zh-CN" w:bidi="ar-SA"/>
          <w14:textFill>
            <w14:solidFill>
              <w14:schemeClr w14:val="tx1"/>
            </w14:solidFill>
          </w14:textFill>
        </w:rPr>
      </w:pPr>
      <w:r>
        <w:rPr>
          <w:rFonts w:hint="eastAsia" w:ascii="黑体" w:hAnsi="黑体" w:eastAsia="黑体" w:cs="黑体"/>
          <w:b w:val="0"/>
          <w:bCs/>
          <w:i w:val="0"/>
          <w:caps w:val="0"/>
          <w:color w:val="000000" w:themeColor="text1"/>
          <w:spacing w:val="0"/>
          <w:kern w:val="2"/>
          <w:sz w:val="32"/>
          <w:szCs w:val="32"/>
          <w:shd w:val="clear" w:fill="FFFFFF"/>
          <w:lang w:val="en-US" w:eastAsia="zh-CN" w:bidi="ar-SA"/>
          <w14:textFill>
            <w14:solidFill>
              <w14:schemeClr w14:val="tx1"/>
            </w14:solidFill>
          </w14:textFill>
        </w:rPr>
        <w:t>三、乡（镇）人民政府、县农业农村主管部门依据监管范围应当依法组织相关职能部门、农村集体经济组织代表、农民代表、乡土专家等就土地用途、受让主体农业经营能力以及经营项目是否符合粮食生产、种植约定等产业发展专项规划等进行审查审核，并于受理之日起二十个工作日内提出审查审核意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b w:val="0"/>
          <w:bCs/>
          <w:i w:val="0"/>
          <w:caps w:val="0"/>
          <w:color w:val="000000" w:themeColor="text1"/>
          <w:spacing w:val="0"/>
          <w:kern w:val="2"/>
          <w:sz w:val="32"/>
          <w:szCs w:val="32"/>
          <w:shd w:val="clear" w:fill="FFFFFF"/>
          <w:lang w:val="en-US" w:eastAsia="zh-CN" w:bidi="ar-SA"/>
          <w14:textFill>
            <w14:solidFill>
              <w14:schemeClr w14:val="tx1"/>
            </w14:solidFill>
          </w14:textFill>
        </w:rPr>
      </w:pPr>
      <w:r>
        <w:rPr>
          <w:rFonts w:hint="eastAsia" w:ascii="黑体" w:hAnsi="黑体" w:eastAsia="黑体" w:cs="黑体"/>
          <w:b w:val="0"/>
          <w:bCs/>
          <w:i w:val="0"/>
          <w:caps w:val="0"/>
          <w:color w:val="000000" w:themeColor="text1"/>
          <w:spacing w:val="0"/>
          <w:kern w:val="2"/>
          <w:sz w:val="32"/>
          <w:szCs w:val="32"/>
          <w:shd w:val="clear" w:fill="FFFFFF"/>
          <w:lang w:val="en-US" w:eastAsia="zh-CN" w:bidi="ar-SA"/>
          <w14:textFill>
            <w14:solidFill>
              <w14:schemeClr w14:val="tx1"/>
            </w14:solidFill>
          </w14:textFill>
        </w:rPr>
        <w:t>四、审查审核通过的，产权交易中心组织受让方与承包方签订土地经营权流转合同。未按规定提交审查审核申请或者审查审核未通过的，不得开展土地经营权流转活动。</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i w:val="0"/>
          <w:caps w:val="0"/>
          <w:color w:val="000000" w:themeColor="text1"/>
          <w:spacing w:val="0"/>
          <w:kern w:val="2"/>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kern w:val="2"/>
          <w:sz w:val="32"/>
          <w:szCs w:val="32"/>
          <w:shd w:val="clear" w:fill="FFFFFF"/>
          <w:lang w:val="en-US" w:eastAsia="zh-CN" w:bidi="ar-SA"/>
          <w14:textFill>
            <w14:solidFill>
              <w14:schemeClr w14:val="tx1"/>
            </w14:solidFill>
          </w14:textFill>
        </w:rPr>
        <w:t>根据工商资本流转农村土地类别和面积，乡（镇）、县农业农村部门分级建立农村土地经营权流转分级备案制度，通过备案，准确掌握工商资本流转农村土地情况，实施有效监督。</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b w:val="0"/>
          <w:bCs/>
          <w:i w:val="0"/>
          <w:caps w:val="0"/>
          <w:color w:val="000000" w:themeColor="text1"/>
          <w:spacing w:val="0"/>
          <w:kern w:val="2"/>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b/>
          <w:bCs w:val="0"/>
          <w:i w:val="0"/>
          <w:caps w:val="0"/>
          <w:color w:val="000000" w:themeColor="text1"/>
          <w:spacing w:val="0"/>
          <w:kern w:val="2"/>
          <w:sz w:val="32"/>
          <w:szCs w:val="32"/>
          <w:shd w:val="clear" w:fill="FFFFFF"/>
          <w:lang w:val="en-US" w:eastAsia="zh-CN" w:bidi="ar-SA"/>
          <w14:textFill>
            <w14:solidFill>
              <w14:schemeClr w14:val="tx1"/>
            </w14:solidFill>
          </w14:textFill>
        </w:rPr>
        <w:t>1.备案标准。</w:t>
      </w:r>
      <w:r>
        <w:rPr>
          <w:rFonts w:hint="eastAsia" w:ascii="仿宋_GB2312" w:hAnsi="仿宋_GB2312" w:eastAsia="仿宋_GB2312" w:cs="仿宋_GB2312"/>
          <w:b w:val="0"/>
          <w:bCs/>
          <w:i w:val="0"/>
          <w:caps w:val="0"/>
          <w:color w:val="000000" w:themeColor="text1"/>
          <w:spacing w:val="0"/>
          <w:kern w:val="2"/>
          <w:sz w:val="32"/>
          <w:szCs w:val="32"/>
          <w:shd w:val="clear" w:fill="FFFFFF"/>
          <w:lang w:val="en-US" w:eastAsia="zh-CN" w:bidi="ar-SA"/>
          <w14:textFill>
            <w14:solidFill>
              <w14:schemeClr w14:val="tx1"/>
            </w14:solidFill>
          </w14:textFill>
        </w:rPr>
        <w:t>单个企业（组织或个人）流转面积5000亩以下的，在村集体经济组织和乡（镇）人民政府备案；单个企业（组织或个人）流转面积超过5000亩（含）以上的，由乡（镇）人民政府报县级农业农村部门备案；单个企业（组织或个人）10000亩（含）以上的由县农业农村部门报州级农业农村部门备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b w:val="0"/>
          <w:bCs/>
          <w:i w:val="0"/>
          <w:caps w:val="0"/>
          <w:color w:val="000000" w:themeColor="text1"/>
          <w:spacing w:val="0"/>
          <w:kern w:val="2"/>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b/>
          <w:bCs w:val="0"/>
          <w:i w:val="0"/>
          <w:caps w:val="0"/>
          <w:color w:val="000000" w:themeColor="text1"/>
          <w:spacing w:val="0"/>
          <w:kern w:val="2"/>
          <w:sz w:val="32"/>
          <w:szCs w:val="32"/>
          <w:shd w:val="clear" w:fill="FFFFFF"/>
          <w:lang w:val="en-US" w:eastAsia="zh-CN" w:bidi="ar-SA"/>
          <w14:textFill>
            <w14:solidFill>
              <w14:schemeClr w14:val="tx1"/>
            </w14:solidFill>
          </w14:textFill>
        </w:rPr>
        <w:t>2.备案事项。</w:t>
      </w:r>
      <w:r>
        <w:rPr>
          <w:rFonts w:hint="eastAsia" w:ascii="仿宋_GB2312" w:hAnsi="仿宋_GB2312" w:eastAsia="仿宋_GB2312" w:cs="仿宋_GB2312"/>
          <w:b w:val="0"/>
          <w:bCs/>
          <w:i w:val="0"/>
          <w:caps w:val="0"/>
          <w:color w:val="000000" w:themeColor="text1"/>
          <w:spacing w:val="0"/>
          <w:kern w:val="2"/>
          <w:sz w:val="32"/>
          <w:szCs w:val="32"/>
          <w:shd w:val="clear" w:fill="FFFFFF"/>
          <w:lang w:val="en-US" w:eastAsia="zh-CN" w:bidi="ar-SA"/>
          <w14:textFill>
            <w14:solidFill>
              <w14:schemeClr w14:val="tx1"/>
            </w14:solidFill>
          </w14:textFill>
        </w:rPr>
        <w:t>备案应包括企业（组织或个人）的基本情况、流转土地资格审查、项目审核的申请、乡（镇）或县资格审查项目审核意见、土地流转合同、土地使用情况说明、材料真实性承诺书等内容。对流转农户承包耕地面积超过上限控制标准或者涉及整村整组流转的，要重点备案。除上述备案内容，还需备案企业（组织或个人）流转土地符合相关政策规定的发展计划，委托村集体经济组织流转的同时备案土地流转过程中农户委托村集体流转的委托书、村集体经济组织成员（代表）会议的书面决议等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b w:val="0"/>
          <w:bCs/>
          <w:i w:val="0"/>
          <w:caps w:val="0"/>
          <w:color w:val="000000" w:themeColor="text1"/>
          <w:spacing w:val="0"/>
          <w:kern w:val="2"/>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b/>
          <w:bCs w:val="0"/>
          <w:i w:val="0"/>
          <w:caps w:val="0"/>
          <w:color w:val="000000" w:themeColor="text1"/>
          <w:spacing w:val="0"/>
          <w:kern w:val="2"/>
          <w:sz w:val="32"/>
          <w:szCs w:val="32"/>
          <w:shd w:val="clear" w:fill="FFFFFF"/>
          <w:lang w:val="en-US" w:eastAsia="zh-CN" w:bidi="ar-SA"/>
          <w14:textFill>
            <w14:solidFill>
              <w14:schemeClr w14:val="tx1"/>
            </w14:solidFill>
          </w14:textFill>
        </w:rPr>
        <w:t>3.备案程序。</w:t>
      </w:r>
      <w:r>
        <w:rPr>
          <w:rFonts w:hint="eastAsia" w:ascii="仿宋_GB2312" w:hAnsi="仿宋_GB2312" w:eastAsia="仿宋_GB2312" w:cs="仿宋_GB2312"/>
          <w:b w:val="0"/>
          <w:bCs/>
          <w:i w:val="0"/>
          <w:caps w:val="0"/>
          <w:color w:val="000000" w:themeColor="text1"/>
          <w:spacing w:val="0"/>
          <w:kern w:val="2"/>
          <w:sz w:val="32"/>
          <w:szCs w:val="32"/>
          <w:shd w:val="clear" w:fill="FFFFFF"/>
          <w:lang w:val="en-US" w:eastAsia="zh-CN" w:bidi="ar-SA"/>
          <w14:textFill>
            <w14:solidFill>
              <w14:schemeClr w14:val="tx1"/>
            </w14:solidFill>
          </w14:textFill>
        </w:rPr>
        <w:t>在流转合同签订或鉴证后，5个工作日内，流入方按照备案内容要求，到乡（镇）人民政府备案登记。乡（镇）农村合作经济（统计）发展中心将备案资料按照一件一档的要求存档保管，同时将流转面积5000亩以上的相关资料及时报县农经局备案。县级按照备案标准，逐级上报相关备案资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b w:val="0"/>
          <w:bCs/>
          <w:i w:val="0"/>
          <w:caps w:val="0"/>
          <w:color w:val="000000" w:themeColor="text1"/>
          <w:spacing w:val="0"/>
          <w:kern w:val="2"/>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b/>
          <w:bCs w:val="0"/>
          <w:i w:val="0"/>
          <w:caps w:val="0"/>
          <w:color w:val="000000" w:themeColor="text1"/>
          <w:spacing w:val="0"/>
          <w:kern w:val="2"/>
          <w:sz w:val="32"/>
          <w:szCs w:val="32"/>
          <w:shd w:val="clear" w:fill="FFFFFF"/>
          <w:lang w:val="en-US" w:eastAsia="zh-CN" w:bidi="ar-SA"/>
          <w14:textFill>
            <w14:solidFill>
              <w14:schemeClr w14:val="tx1"/>
            </w14:solidFill>
          </w14:textFill>
        </w:rPr>
        <w:t>4.备案方式。</w:t>
      </w:r>
      <w:r>
        <w:rPr>
          <w:rFonts w:hint="eastAsia" w:ascii="仿宋_GB2312" w:hAnsi="仿宋_GB2312" w:eastAsia="仿宋_GB2312" w:cs="仿宋_GB2312"/>
          <w:b w:val="0"/>
          <w:bCs/>
          <w:i w:val="0"/>
          <w:caps w:val="0"/>
          <w:color w:val="000000" w:themeColor="text1"/>
          <w:spacing w:val="0"/>
          <w:kern w:val="2"/>
          <w:sz w:val="32"/>
          <w:szCs w:val="32"/>
          <w:shd w:val="clear" w:fill="FFFFFF"/>
          <w:lang w:val="en-US" w:eastAsia="zh-CN" w:bidi="ar-SA"/>
          <w14:textFill>
            <w14:solidFill>
              <w14:schemeClr w14:val="tx1"/>
            </w14:solidFill>
          </w14:textFill>
        </w:rPr>
        <w:t>推行土地流转合同电子和纸质双备案制度。随着农村土地承包经营权信息应用平台的建设完善，逐步实现全信息化管理。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b w:val="0"/>
          <w:bCs/>
          <w:i w:val="0"/>
          <w:caps w:val="0"/>
          <w:color w:val="000000" w:themeColor="text1"/>
          <w:spacing w:val="0"/>
          <w:kern w:val="2"/>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b/>
          <w:bCs w:val="0"/>
          <w:i w:val="0"/>
          <w:caps w:val="0"/>
          <w:color w:val="000000" w:themeColor="text1"/>
          <w:spacing w:val="0"/>
          <w:kern w:val="2"/>
          <w:sz w:val="32"/>
          <w:szCs w:val="32"/>
          <w:shd w:val="clear" w:fill="FFFFFF"/>
          <w:lang w:val="en-US" w:eastAsia="zh-CN" w:bidi="ar-SA"/>
          <w14:textFill>
            <w14:solidFill>
              <w14:schemeClr w14:val="tx1"/>
            </w14:solidFill>
          </w14:textFill>
        </w:rPr>
        <w:t>5.备案要求。</w:t>
      </w:r>
      <w:r>
        <w:rPr>
          <w:rFonts w:hint="eastAsia" w:ascii="仿宋_GB2312" w:hAnsi="仿宋_GB2312" w:eastAsia="仿宋_GB2312" w:cs="仿宋_GB2312"/>
          <w:b w:val="0"/>
          <w:bCs/>
          <w:i w:val="0"/>
          <w:caps w:val="0"/>
          <w:color w:val="000000" w:themeColor="text1"/>
          <w:spacing w:val="0"/>
          <w:kern w:val="2"/>
          <w:sz w:val="32"/>
          <w:szCs w:val="32"/>
          <w:shd w:val="clear" w:fill="FFFFFF"/>
          <w:lang w:val="en-US" w:eastAsia="zh-CN" w:bidi="ar-SA"/>
          <w14:textFill>
            <w14:solidFill>
              <w14:schemeClr w14:val="tx1"/>
            </w14:solidFill>
          </w14:textFill>
        </w:rPr>
        <w:t>县、乡人民政府每年要对工商资本流转农村土地备案情况进行一次专项检查，摸清状况，补充备案。工商资本流转农村土地情况发生变化的，要及时变更备案事项。未经备案的，不得享受有关土地流转等相关的优惠政策。</w:t>
      </w:r>
    </w:p>
    <w:p>
      <w:pPr>
        <w:rPr>
          <w:rFonts w:hint="eastAsia" w:ascii="仿宋_GB2312" w:hAnsi="仿宋_GB2312" w:eastAsia="仿宋_GB2312" w:cs="仿宋_GB2312"/>
          <w:b w:val="0"/>
          <w:bCs/>
          <w:i w:val="0"/>
          <w:caps w:val="0"/>
          <w:color w:val="000000" w:themeColor="text1"/>
          <w:spacing w:val="0"/>
          <w:kern w:val="2"/>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kern w:val="2"/>
          <w:sz w:val="32"/>
          <w:szCs w:val="32"/>
          <w:shd w:val="clear" w:fill="FFFFFF"/>
          <w:lang w:val="en-US" w:eastAsia="zh-CN" w:bidi="ar-SA"/>
          <w14:textFill>
            <w14:solidFill>
              <w14:schemeClr w14:val="tx1"/>
            </w14:solidFill>
          </w14:textFill>
        </w:rPr>
        <w:br w:type="page"/>
      </w:r>
    </w:p>
    <w:tbl>
      <w:tblPr>
        <w:tblStyle w:val="9"/>
        <w:tblpPr w:leftFromText="180" w:rightFromText="180" w:vertAnchor="text" w:horzAnchor="page" w:tblpX="1056" w:tblpY="309"/>
        <w:tblOverlap w:val="never"/>
        <w:tblW w:w="10120" w:type="dxa"/>
        <w:tblInd w:w="0" w:type="dxa"/>
        <w:tblLayout w:type="fixed"/>
        <w:tblCellMar>
          <w:top w:w="0" w:type="dxa"/>
          <w:left w:w="0" w:type="dxa"/>
          <w:bottom w:w="0" w:type="dxa"/>
          <w:right w:w="0" w:type="dxa"/>
        </w:tblCellMar>
      </w:tblPr>
      <w:tblGrid>
        <w:gridCol w:w="1595"/>
        <w:gridCol w:w="1267"/>
        <w:gridCol w:w="2505"/>
        <w:gridCol w:w="2216"/>
        <w:gridCol w:w="2537"/>
      </w:tblGrid>
      <w:tr>
        <w:tblPrEx>
          <w:tblCellMar>
            <w:top w:w="0" w:type="dxa"/>
            <w:left w:w="0" w:type="dxa"/>
            <w:bottom w:w="0" w:type="dxa"/>
            <w:right w:w="0" w:type="dxa"/>
          </w:tblCellMar>
        </w:tblPrEx>
        <w:trPr>
          <w:trHeight w:val="822" w:hRule="atLeast"/>
        </w:trPr>
        <w:tc>
          <w:tcPr>
            <w:tcW w:w="10120" w:type="dxa"/>
            <w:gridSpan w:val="5"/>
            <w:tcBorders>
              <w:top w:val="nil"/>
              <w:left w:val="nil"/>
              <w:bottom w:val="nil"/>
              <w:right w:val="nil"/>
            </w:tcBorders>
            <w:noWrap/>
            <w:tcMar>
              <w:top w:w="15" w:type="dxa"/>
              <w:left w:w="15" w:type="dxa"/>
              <w:right w:w="15" w:type="dxa"/>
            </w:tcMar>
            <w:vAlign w:val="center"/>
          </w:tcPr>
          <w:p>
            <w:pPr>
              <w:keepNext w:val="0"/>
              <w:keepLines w:val="0"/>
              <w:pageBreakBefore w:val="0"/>
              <w:kinsoku/>
              <w:wordWrap/>
              <w:overflowPunct/>
              <w:topLinePunct w:val="0"/>
              <w:autoSpaceDE/>
              <w:autoSpaceDN/>
              <w:bidi w:val="0"/>
              <w:spacing w:line="560" w:lineRule="exact"/>
              <w:jc w:val="both"/>
              <w:rPr>
                <w:rFonts w:hint="eastAsia" w:ascii="黑体" w:hAnsi="黑体" w:eastAsia="黑体" w:cs="黑体"/>
                <w:color w:val="auto"/>
                <w:sz w:val="28"/>
                <w:szCs w:val="28"/>
                <w:lang w:val="en-US" w:eastAsia="zh-CN"/>
              </w:rPr>
            </w:pPr>
          </w:p>
          <w:p>
            <w:pPr>
              <w:keepNext w:val="0"/>
              <w:keepLines w:val="0"/>
              <w:pageBreakBefore w:val="0"/>
              <w:kinsoku/>
              <w:wordWrap/>
              <w:overflowPunct/>
              <w:topLinePunct w:val="0"/>
              <w:autoSpaceDE/>
              <w:autoSpaceDN/>
              <w:bidi w:val="0"/>
              <w:adjustRightInd/>
              <w:snapToGrid/>
              <w:spacing w:line="560" w:lineRule="exact"/>
              <w:ind w:left="0"/>
              <w:jc w:val="both"/>
              <w:textAlignment w:val="auto"/>
              <w:rPr>
                <w:rFonts w:hint="eastAsia" w:ascii="方正小标宋简体" w:hAnsi="方正小标宋简体" w:eastAsia="方正小标宋简体" w:cs="方正小标宋简体"/>
                <w:i w:val="0"/>
                <w:color w:val="auto"/>
                <w:kern w:val="0"/>
                <w:sz w:val="44"/>
                <w:szCs w:val="44"/>
                <w:u w:val="none"/>
                <w:lang w:val="en-US" w:eastAsia="zh-CN" w:bidi="ar"/>
              </w:rPr>
            </w:pPr>
            <w:r>
              <w:rPr>
                <w:rFonts w:hint="eastAsia" w:ascii="黑体" w:hAnsi="黑体" w:eastAsia="黑体" w:cs="黑体"/>
                <w:color w:val="000000" w:themeColor="text1"/>
                <w:sz w:val="28"/>
                <w:szCs w:val="28"/>
                <w:lang w:val="en-US" w:eastAsia="zh-CN"/>
                <w14:textFill>
                  <w14:solidFill>
                    <w14:schemeClr w14:val="tx1"/>
                  </w14:solidFill>
                </w14:textFill>
              </w:rPr>
              <w:t>附件3</w:t>
            </w:r>
          </w:p>
          <w:p>
            <w:pPr>
              <w:keepNext w:val="0"/>
              <w:keepLines w:val="0"/>
              <w:pageBreakBefore w:val="0"/>
              <w:kinsoku/>
              <w:wordWrap/>
              <w:overflowPunct/>
              <w:topLinePunct w:val="0"/>
              <w:autoSpaceDE/>
              <w:autoSpaceDN/>
              <w:bidi w:val="0"/>
              <w:spacing w:line="560" w:lineRule="exact"/>
              <w:jc w:val="center"/>
              <w:rPr>
                <w:rFonts w:hint="eastAsia" w:ascii="方正小标宋简体" w:hAnsi="方正小标宋简体" w:eastAsia="方正小标宋简体" w:cs="方正小标宋简体"/>
                <w:i w:val="0"/>
                <w:color w:val="auto"/>
                <w:kern w:val="0"/>
                <w:sz w:val="44"/>
                <w:szCs w:val="44"/>
                <w:u w:val="none"/>
                <w:lang w:val="en-US" w:eastAsia="zh-CN" w:bidi="ar"/>
              </w:rPr>
            </w:pPr>
            <w:r>
              <w:rPr>
                <w:rFonts w:hint="eastAsia" w:ascii="方正小标宋简体" w:hAnsi="方正小标宋简体" w:eastAsia="方正小标宋简体" w:cs="方正小标宋简体"/>
                <w:i w:val="0"/>
                <w:color w:val="auto"/>
                <w:kern w:val="0"/>
                <w:sz w:val="44"/>
                <w:szCs w:val="44"/>
                <w:u w:val="none"/>
                <w:lang w:val="en-US" w:eastAsia="zh-CN" w:bidi="ar"/>
              </w:rPr>
              <w:t>玛纳斯县</w:t>
            </w:r>
            <w:r>
              <w:rPr>
                <w:rFonts w:hint="eastAsia" w:ascii="方正小标宋简体" w:hAnsi="方正小标宋简体" w:eastAsia="方正小标宋简体" w:cs="方正小标宋简体"/>
                <w:i w:val="0"/>
                <w:color w:val="auto"/>
                <w:kern w:val="0"/>
                <w:sz w:val="44"/>
                <w:szCs w:val="44"/>
                <w:u w:val="single"/>
                <w:lang w:val="en-US" w:eastAsia="zh-CN" w:bidi="ar"/>
              </w:rPr>
              <w:t xml:space="preserve">               </w:t>
            </w:r>
            <w:r>
              <w:rPr>
                <w:rFonts w:hint="eastAsia" w:ascii="方正小标宋简体" w:hAnsi="方正小标宋简体" w:eastAsia="方正小标宋简体" w:cs="方正小标宋简体"/>
                <w:i w:val="0"/>
                <w:color w:val="auto"/>
                <w:kern w:val="0"/>
                <w:sz w:val="44"/>
                <w:szCs w:val="44"/>
                <w:u w:val="none"/>
                <w:lang w:val="en-US" w:eastAsia="zh-CN" w:bidi="ar"/>
              </w:rPr>
              <w:t>乡（镇）农村土地经营权</w:t>
            </w:r>
          </w:p>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小标宋简体" w:hAnsi="方正小标宋简体" w:eastAsia="方正小标宋简体" w:cs="方正小标宋简体"/>
                <w:i w:val="0"/>
                <w:color w:val="auto"/>
                <w:sz w:val="44"/>
                <w:szCs w:val="44"/>
                <w:u w:val="none"/>
                <w:lang w:eastAsia="zh-CN"/>
              </w:rPr>
            </w:pPr>
            <w:r>
              <w:rPr>
                <w:rFonts w:hint="eastAsia" w:ascii="方正小标宋简体" w:hAnsi="方正小标宋简体" w:eastAsia="方正小标宋简体" w:cs="方正小标宋简体"/>
                <w:i w:val="0"/>
                <w:color w:val="auto"/>
                <w:kern w:val="0"/>
                <w:sz w:val="44"/>
                <w:szCs w:val="44"/>
                <w:u w:val="none"/>
                <w:lang w:val="en-US" w:eastAsia="zh-CN" w:bidi="ar"/>
              </w:rPr>
              <w:t>流转意向协议书</w:t>
            </w:r>
          </w:p>
        </w:tc>
      </w:tr>
      <w:tr>
        <w:tblPrEx>
          <w:tblCellMar>
            <w:top w:w="0" w:type="dxa"/>
            <w:left w:w="0" w:type="dxa"/>
            <w:bottom w:w="0" w:type="dxa"/>
            <w:right w:w="0" w:type="dxa"/>
          </w:tblCellMar>
        </w:tblPrEx>
        <w:trPr>
          <w:trHeight w:val="699" w:hRule="atLeast"/>
        </w:trPr>
        <w:tc>
          <w:tcPr>
            <w:tcW w:w="159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黑体" w:hAnsi="宋体" w:eastAsia="黑体" w:cs="黑体"/>
                <w:i w:val="0"/>
                <w:color w:val="auto"/>
                <w:kern w:val="0"/>
                <w:sz w:val="24"/>
                <w:szCs w:val="24"/>
                <w:u w:val="none"/>
                <w:lang w:val="en-US" w:eastAsia="zh-CN" w:bidi="ar"/>
              </w:rPr>
            </w:pPr>
            <w:r>
              <w:rPr>
                <w:rFonts w:hint="eastAsia" w:ascii="黑体" w:hAnsi="宋体" w:eastAsia="黑体" w:cs="黑体"/>
                <w:i w:val="0"/>
                <w:color w:val="auto"/>
                <w:kern w:val="0"/>
                <w:sz w:val="24"/>
                <w:szCs w:val="24"/>
                <w:u w:val="none"/>
                <w:lang w:val="en-US" w:eastAsia="zh-CN" w:bidi="ar"/>
              </w:rPr>
              <w:t>出让方</w:t>
            </w:r>
          </w:p>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ascii="黑体" w:hAnsi="宋体" w:eastAsia="黑体" w:cs="黑体"/>
                <w:i w:val="0"/>
                <w:color w:val="auto"/>
                <w:sz w:val="24"/>
                <w:szCs w:val="24"/>
                <w:u w:val="none"/>
              </w:rPr>
            </w:pPr>
            <w:r>
              <w:rPr>
                <w:rFonts w:hint="eastAsia" w:ascii="黑体" w:hAnsi="宋体" w:eastAsia="黑体" w:cs="黑体"/>
                <w:i w:val="0"/>
                <w:color w:val="auto"/>
                <w:kern w:val="0"/>
                <w:sz w:val="24"/>
                <w:szCs w:val="24"/>
                <w:u w:val="none"/>
                <w:lang w:val="en-US" w:eastAsia="zh-CN" w:bidi="ar"/>
              </w:rPr>
              <w:t>基本情况</w:t>
            </w:r>
          </w:p>
        </w:tc>
        <w:tc>
          <w:tcPr>
            <w:tcW w:w="12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名称（姓名）</w:t>
            </w:r>
          </w:p>
        </w:tc>
        <w:tc>
          <w:tcPr>
            <w:tcW w:w="2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560" w:lineRule="exact"/>
              <w:jc w:val="left"/>
              <w:rPr>
                <w:rFonts w:hint="eastAsia" w:ascii="仿宋_GB2312" w:hAnsi="仿宋_GB2312" w:eastAsia="仿宋_GB2312" w:cs="仿宋_GB2312"/>
                <w:i w:val="0"/>
                <w:color w:val="auto"/>
                <w:sz w:val="24"/>
                <w:szCs w:val="24"/>
                <w:u w:val="none"/>
              </w:rPr>
            </w:pPr>
          </w:p>
        </w:tc>
        <w:tc>
          <w:tcPr>
            <w:tcW w:w="2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统一社会信用代码证（身份证号）</w:t>
            </w:r>
          </w:p>
        </w:tc>
        <w:tc>
          <w:tcPr>
            <w:tcW w:w="25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560" w:lineRule="exact"/>
              <w:jc w:val="left"/>
              <w:rPr>
                <w:rFonts w:hint="eastAsia" w:ascii="仿宋_GB2312" w:hAnsi="仿宋_GB2312" w:eastAsia="仿宋_GB2312" w:cs="仿宋_GB2312"/>
                <w:i w:val="0"/>
                <w:color w:val="auto"/>
                <w:sz w:val="24"/>
                <w:szCs w:val="24"/>
                <w:u w:val="none"/>
              </w:rPr>
            </w:pPr>
          </w:p>
        </w:tc>
      </w:tr>
      <w:tr>
        <w:tblPrEx>
          <w:tblCellMar>
            <w:top w:w="0" w:type="dxa"/>
            <w:left w:w="0" w:type="dxa"/>
            <w:bottom w:w="0" w:type="dxa"/>
            <w:right w:w="0" w:type="dxa"/>
          </w:tblCellMar>
        </w:tblPrEx>
        <w:trPr>
          <w:trHeight w:val="543" w:hRule="atLeast"/>
        </w:trPr>
        <w:tc>
          <w:tcPr>
            <w:tcW w:w="15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560" w:lineRule="exact"/>
              <w:jc w:val="center"/>
              <w:rPr>
                <w:rFonts w:hint="eastAsia" w:ascii="黑体" w:hAnsi="宋体" w:eastAsia="黑体" w:cs="黑体"/>
                <w:i w:val="0"/>
                <w:color w:val="auto"/>
                <w:sz w:val="24"/>
                <w:szCs w:val="24"/>
                <w:u w:val="none"/>
              </w:rPr>
            </w:pPr>
          </w:p>
        </w:tc>
        <w:tc>
          <w:tcPr>
            <w:tcW w:w="12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联系电话</w:t>
            </w:r>
          </w:p>
        </w:tc>
        <w:tc>
          <w:tcPr>
            <w:tcW w:w="2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560" w:lineRule="exact"/>
              <w:jc w:val="left"/>
              <w:rPr>
                <w:rFonts w:hint="eastAsia" w:ascii="仿宋_GB2312" w:hAnsi="仿宋_GB2312" w:eastAsia="仿宋_GB2312" w:cs="仿宋_GB2312"/>
                <w:i w:val="0"/>
                <w:color w:val="auto"/>
                <w:sz w:val="24"/>
                <w:szCs w:val="24"/>
                <w:u w:val="none"/>
              </w:rPr>
            </w:pPr>
          </w:p>
        </w:tc>
        <w:tc>
          <w:tcPr>
            <w:tcW w:w="2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联系地址</w:t>
            </w:r>
          </w:p>
        </w:tc>
        <w:tc>
          <w:tcPr>
            <w:tcW w:w="25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560" w:lineRule="exact"/>
              <w:jc w:val="left"/>
              <w:rPr>
                <w:rFonts w:hint="eastAsia" w:ascii="仿宋_GB2312" w:hAnsi="仿宋_GB2312" w:eastAsia="仿宋_GB2312" w:cs="仿宋_GB2312"/>
                <w:i w:val="0"/>
                <w:color w:val="auto"/>
                <w:sz w:val="24"/>
                <w:szCs w:val="24"/>
                <w:u w:val="none"/>
              </w:rPr>
            </w:pPr>
          </w:p>
        </w:tc>
      </w:tr>
      <w:tr>
        <w:tblPrEx>
          <w:tblCellMar>
            <w:top w:w="0" w:type="dxa"/>
            <w:left w:w="0" w:type="dxa"/>
            <w:bottom w:w="0" w:type="dxa"/>
            <w:right w:w="0" w:type="dxa"/>
          </w:tblCellMar>
        </w:tblPrEx>
        <w:trPr>
          <w:trHeight w:val="699" w:hRule="atLeast"/>
        </w:trPr>
        <w:tc>
          <w:tcPr>
            <w:tcW w:w="159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黑体" w:hAnsi="宋体" w:eastAsia="黑体" w:cs="黑体"/>
                <w:i w:val="0"/>
                <w:color w:val="auto"/>
                <w:kern w:val="0"/>
                <w:sz w:val="24"/>
                <w:szCs w:val="24"/>
                <w:u w:val="none"/>
                <w:lang w:val="en-US" w:eastAsia="zh-CN" w:bidi="ar"/>
              </w:rPr>
            </w:pPr>
            <w:r>
              <w:rPr>
                <w:rFonts w:hint="eastAsia" w:ascii="黑体" w:hAnsi="宋体" w:eastAsia="黑体" w:cs="黑体"/>
                <w:i w:val="0"/>
                <w:color w:val="auto"/>
                <w:kern w:val="0"/>
                <w:sz w:val="24"/>
                <w:szCs w:val="24"/>
                <w:u w:val="none"/>
                <w:lang w:val="en-US" w:eastAsia="zh-CN" w:bidi="ar"/>
              </w:rPr>
              <w:t>受让方</w:t>
            </w:r>
          </w:p>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黑体" w:hAnsi="宋体" w:eastAsia="黑体" w:cs="黑体"/>
                <w:i w:val="0"/>
                <w:color w:val="auto"/>
                <w:sz w:val="24"/>
                <w:szCs w:val="24"/>
                <w:u w:val="none"/>
              </w:rPr>
            </w:pPr>
            <w:r>
              <w:rPr>
                <w:rFonts w:hint="eastAsia" w:ascii="黑体" w:hAnsi="宋体" w:eastAsia="黑体" w:cs="黑体"/>
                <w:i w:val="0"/>
                <w:color w:val="auto"/>
                <w:kern w:val="0"/>
                <w:sz w:val="24"/>
                <w:szCs w:val="24"/>
                <w:u w:val="none"/>
                <w:lang w:val="en-US" w:eastAsia="zh-CN" w:bidi="ar"/>
              </w:rPr>
              <w:t>基本情况</w:t>
            </w:r>
          </w:p>
        </w:tc>
        <w:tc>
          <w:tcPr>
            <w:tcW w:w="12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公司（或业主）名称</w:t>
            </w:r>
          </w:p>
        </w:tc>
        <w:tc>
          <w:tcPr>
            <w:tcW w:w="2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560" w:lineRule="exact"/>
              <w:jc w:val="left"/>
              <w:rPr>
                <w:rFonts w:hint="eastAsia" w:ascii="仿宋_GB2312" w:hAnsi="仿宋_GB2312" w:eastAsia="仿宋_GB2312" w:cs="仿宋_GB2312"/>
                <w:i w:val="0"/>
                <w:color w:val="auto"/>
                <w:sz w:val="24"/>
                <w:szCs w:val="24"/>
                <w:u w:val="none"/>
              </w:rPr>
            </w:pPr>
          </w:p>
        </w:tc>
        <w:tc>
          <w:tcPr>
            <w:tcW w:w="2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统一社会信用代码证（身份证号）</w:t>
            </w:r>
          </w:p>
        </w:tc>
        <w:tc>
          <w:tcPr>
            <w:tcW w:w="25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560" w:lineRule="exact"/>
              <w:jc w:val="left"/>
              <w:rPr>
                <w:rFonts w:hint="eastAsia" w:ascii="仿宋_GB2312" w:hAnsi="仿宋_GB2312" w:eastAsia="仿宋_GB2312" w:cs="仿宋_GB2312"/>
                <w:i w:val="0"/>
                <w:color w:val="auto"/>
                <w:sz w:val="24"/>
                <w:szCs w:val="24"/>
                <w:u w:val="none"/>
              </w:rPr>
            </w:pPr>
          </w:p>
        </w:tc>
      </w:tr>
      <w:tr>
        <w:tblPrEx>
          <w:tblCellMar>
            <w:top w:w="0" w:type="dxa"/>
            <w:left w:w="0" w:type="dxa"/>
            <w:bottom w:w="0" w:type="dxa"/>
            <w:right w:w="0" w:type="dxa"/>
          </w:tblCellMar>
        </w:tblPrEx>
        <w:trPr>
          <w:trHeight w:val="475" w:hRule="atLeast"/>
        </w:trPr>
        <w:tc>
          <w:tcPr>
            <w:tcW w:w="15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560" w:lineRule="exact"/>
              <w:jc w:val="center"/>
              <w:rPr>
                <w:rFonts w:hint="eastAsia" w:ascii="黑体" w:hAnsi="宋体" w:eastAsia="黑体" w:cs="黑体"/>
                <w:i w:val="0"/>
                <w:color w:val="auto"/>
                <w:sz w:val="24"/>
                <w:szCs w:val="24"/>
                <w:u w:val="none"/>
              </w:rPr>
            </w:pPr>
          </w:p>
        </w:tc>
        <w:tc>
          <w:tcPr>
            <w:tcW w:w="12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联系电话</w:t>
            </w:r>
          </w:p>
        </w:tc>
        <w:tc>
          <w:tcPr>
            <w:tcW w:w="2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560" w:lineRule="exact"/>
              <w:jc w:val="left"/>
              <w:rPr>
                <w:rFonts w:hint="eastAsia" w:ascii="仿宋_GB2312" w:hAnsi="仿宋_GB2312" w:eastAsia="仿宋_GB2312" w:cs="仿宋_GB2312"/>
                <w:i w:val="0"/>
                <w:color w:val="auto"/>
                <w:sz w:val="24"/>
                <w:szCs w:val="24"/>
                <w:u w:val="none"/>
              </w:rPr>
            </w:pPr>
          </w:p>
        </w:tc>
        <w:tc>
          <w:tcPr>
            <w:tcW w:w="2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联系地址</w:t>
            </w:r>
          </w:p>
        </w:tc>
        <w:tc>
          <w:tcPr>
            <w:tcW w:w="25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560" w:lineRule="exact"/>
              <w:jc w:val="left"/>
              <w:rPr>
                <w:rFonts w:hint="eastAsia" w:ascii="仿宋_GB2312" w:hAnsi="仿宋_GB2312" w:eastAsia="仿宋_GB2312" w:cs="仿宋_GB2312"/>
                <w:i w:val="0"/>
                <w:color w:val="auto"/>
                <w:sz w:val="24"/>
                <w:szCs w:val="24"/>
                <w:u w:val="none"/>
              </w:rPr>
            </w:pPr>
          </w:p>
        </w:tc>
      </w:tr>
      <w:tr>
        <w:tblPrEx>
          <w:tblCellMar>
            <w:top w:w="0" w:type="dxa"/>
            <w:left w:w="0" w:type="dxa"/>
            <w:bottom w:w="0" w:type="dxa"/>
            <w:right w:w="0" w:type="dxa"/>
          </w:tblCellMar>
        </w:tblPrEx>
        <w:trPr>
          <w:trHeight w:val="1035" w:hRule="atLeast"/>
        </w:trPr>
        <w:tc>
          <w:tcPr>
            <w:tcW w:w="159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黑体" w:hAnsi="宋体" w:eastAsia="黑体" w:cs="黑体"/>
                <w:i w:val="0"/>
                <w:color w:val="auto"/>
                <w:sz w:val="24"/>
                <w:szCs w:val="24"/>
                <w:u w:val="none"/>
              </w:rPr>
            </w:pPr>
            <w:r>
              <w:rPr>
                <w:rFonts w:hint="eastAsia" w:ascii="黑体" w:hAnsi="宋体" w:eastAsia="黑体" w:cs="黑体"/>
                <w:i w:val="0"/>
                <w:color w:val="auto"/>
                <w:kern w:val="0"/>
                <w:sz w:val="24"/>
                <w:szCs w:val="24"/>
                <w:u w:val="none"/>
                <w:lang w:val="en-US" w:eastAsia="zh-CN" w:bidi="ar"/>
              </w:rPr>
              <w:t>流转土地情况</w:t>
            </w:r>
          </w:p>
        </w:tc>
        <w:tc>
          <w:tcPr>
            <w:tcW w:w="12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流转土地</w:t>
            </w:r>
          </w:p>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面积</w:t>
            </w:r>
          </w:p>
        </w:tc>
        <w:tc>
          <w:tcPr>
            <w:tcW w:w="725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560" w:lineRule="exact"/>
              <w:jc w:val="left"/>
              <w:textAlignment w:val="center"/>
              <w:rPr>
                <w:rStyle w:val="13"/>
                <w:rFonts w:hint="eastAsia" w:ascii="仿宋_GB2312" w:hAnsi="仿宋_GB2312" w:eastAsia="仿宋_GB2312" w:cs="仿宋_GB2312"/>
                <w:color w:val="auto"/>
                <w:lang w:val="en-US" w:eastAsia="zh-CN" w:bidi="ar"/>
              </w:rPr>
            </w:pPr>
            <w:r>
              <w:rPr>
                <w:rStyle w:val="13"/>
                <w:rFonts w:hint="eastAsia" w:ascii="仿宋_GB2312" w:hAnsi="仿宋_GB2312" w:eastAsia="仿宋_GB2312" w:cs="仿宋_GB2312"/>
                <w:color w:val="auto"/>
                <w:lang w:val="en-US" w:eastAsia="zh-CN" w:bidi="ar"/>
              </w:rPr>
              <w:t>总面积：</w:t>
            </w:r>
            <w:r>
              <w:rPr>
                <w:rStyle w:val="14"/>
                <w:rFonts w:hint="eastAsia" w:ascii="仿宋_GB2312" w:hAnsi="仿宋_GB2312" w:eastAsia="仿宋_GB2312" w:cs="仿宋_GB2312"/>
                <w:color w:val="auto"/>
                <w:lang w:val="en-US" w:eastAsia="zh-CN" w:bidi="ar"/>
              </w:rPr>
              <w:t xml:space="preserve">       </w:t>
            </w:r>
            <w:r>
              <w:rPr>
                <w:rStyle w:val="13"/>
                <w:rFonts w:hint="eastAsia" w:ascii="仿宋_GB2312" w:hAnsi="仿宋_GB2312" w:eastAsia="仿宋_GB2312" w:cs="仿宋_GB2312"/>
                <w:color w:val="auto"/>
                <w:lang w:val="en-US" w:eastAsia="zh-CN" w:bidi="ar"/>
              </w:rPr>
              <w:t>亩，其中耕地</w:t>
            </w:r>
            <w:r>
              <w:rPr>
                <w:rStyle w:val="14"/>
                <w:rFonts w:hint="eastAsia" w:ascii="仿宋_GB2312" w:hAnsi="仿宋_GB2312" w:eastAsia="仿宋_GB2312" w:cs="仿宋_GB2312"/>
                <w:color w:val="auto"/>
                <w:lang w:val="en-US" w:eastAsia="zh-CN" w:bidi="ar"/>
              </w:rPr>
              <w:t xml:space="preserve">       </w:t>
            </w:r>
            <w:r>
              <w:rPr>
                <w:rStyle w:val="13"/>
                <w:rFonts w:hint="eastAsia" w:ascii="仿宋_GB2312" w:hAnsi="仿宋_GB2312" w:eastAsia="仿宋_GB2312" w:cs="仿宋_GB2312"/>
                <w:color w:val="auto"/>
                <w:lang w:val="en-US" w:eastAsia="zh-CN" w:bidi="ar"/>
              </w:rPr>
              <w:t>亩，基本农田</w:t>
            </w:r>
            <w:r>
              <w:rPr>
                <w:rStyle w:val="14"/>
                <w:rFonts w:hint="eastAsia" w:ascii="仿宋_GB2312" w:hAnsi="仿宋_GB2312" w:eastAsia="仿宋_GB2312" w:cs="仿宋_GB2312"/>
                <w:color w:val="auto"/>
                <w:lang w:val="en-US" w:eastAsia="zh-CN" w:bidi="ar"/>
              </w:rPr>
              <w:t xml:space="preserve">        </w:t>
            </w:r>
            <w:r>
              <w:rPr>
                <w:rStyle w:val="13"/>
                <w:rFonts w:hint="eastAsia" w:ascii="仿宋_GB2312" w:hAnsi="仿宋_GB2312" w:eastAsia="仿宋_GB2312" w:cs="仿宋_GB2312"/>
                <w:color w:val="auto"/>
                <w:lang w:val="en-US" w:eastAsia="zh-CN" w:bidi="ar"/>
              </w:rPr>
              <w:t>亩。</w:t>
            </w:r>
          </w:p>
          <w:p>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eastAsia" w:ascii="仿宋_GB2312" w:hAnsi="仿宋_GB2312" w:eastAsia="仿宋_GB2312" w:cs="仿宋_GB2312"/>
                <w:i w:val="0"/>
                <w:color w:val="auto"/>
                <w:sz w:val="24"/>
                <w:szCs w:val="24"/>
                <w:u w:val="none"/>
              </w:rPr>
            </w:pPr>
            <w:r>
              <w:rPr>
                <w:rStyle w:val="13"/>
                <w:rFonts w:hint="eastAsia" w:ascii="仿宋_GB2312" w:hAnsi="仿宋_GB2312" w:eastAsia="仿宋_GB2312" w:cs="仿宋_GB2312"/>
                <w:color w:val="auto"/>
                <w:lang w:val="en-US" w:eastAsia="zh-CN" w:bidi="ar"/>
              </w:rPr>
              <w:t>耕地质量等级为</w:t>
            </w:r>
            <w:r>
              <w:rPr>
                <w:rStyle w:val="14"/>
                <w:rFonts w:hint="eastAsia" w:ascii="仿宋_GB2312" w:hAnsi="仿宋_GB2312" w:eastAsia="仿宋_GB2312" w:cs="仿宋_GB2312"/>
                <w:color w:val="auto"/>
                <w:lang w:val="en-US" w:eastAsia="zh-CN" w:bidi="ar"/>
              </w:rPr>
              <w:t xml:space="preserve">   </w:t>
            </w:r>
            <w:r>
              <w:rPr>
                <w:rStyle w:val="15"/>
                <w:rFonts w:hint="eastAsia" w:ascii="仿宋_GB2312" w:hAnsi="仿宋_GB2312" w:eastAsia="仿宋_GB2312" w:cs="仿宋_GB2312"/>
                <w:color w:val="auto"/>
                <w:lang w:val="en-US" w:eastAsia="zh-CN" w:bidi="ar"/>
              </w:rPr>
              <w:t xml:space="preserve">                       </w:t>
            </w:r>
            <w:r>
              <w:rPr>
                <w:rStyle w:val="14"/>
                <w:rFonts w:hint="eastAsia" w:ascii="仿宋_GB2312" w:hAnsi="仿宋_GB2312" w:eastAsia="仿宋_GB2312" w:cs="仿宋_GB2312"/>
                <w:color w:val="auto"/>
                <w:lang w:val="en-US" w:eastAsia="zh-CN" w:bidi="ar"/>
              </w:rPr>
              <w:t xml:space="preserve">  </w:t>
            </w:r>
            <w:r>
              <w:rPr>
                <w:rStyle w:val="13"/>
                <w:rFonts w:hint="eastAsia" w:ascii="仿宋_GB2312" w:hAnsi="仿宋_GB2312" w:eastAsia="仿宋_GB2312" w:cs="仿宋_GB2312"/>
                <w:color w:val="auto"/>
                <w:lang w:val="en-US" w:eastAsia="zh-CN" w:bidi="ar"/>
              </w:rPr>
              <w:t>。</w:t>
            </w:r>
          </w:p>
        </w:tc>
      </w:tr>
      <w:tr>
        <w:tblPrEx>
          <w:tblCellMar>
            <w:top w:w="0" w:type="dxa"/>
            <w:left w:w="0" w:type="dxa"/>
            <w:bottom w:w="0" w:type="dxa"/>
            <w:right w:w="0" w:type="dxa"/>
          </w:tblCellMar>
        </w:tblPrEx>
        <w:trPr>
          <w:trHeight w:val="591" w:hRule="atLeast"/>
        </w:trPr>
        <w:tc>
          <w:tcPr>
            <w:tcW w:w="15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560" w:lineRule="exact"/>
              <w:jc w:val="center"/>
              <w:rPr>
                <w:rFonts w:hint="eastAsia" w:ascii="黑体" w:hAnsi="宋体" w:eastAsia="黑体" w:cs="黑体"/>
                <w:i w:val="0"/>
                <w:color w:val="auto"/>
                <w:sz w:val="24"/>
                <w:szCs w:val="24"/>
                <w:u w:val="none"/>
              </w:rPr>
            </w:pPr>
          </w:p>
        </w:tc>
        <w:tc>
          <w:tcPr>
            <w:tcW w:w="12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地块编码</w:t>
            </w:r>
          </w:p>
        </w:tc>
        <w:tc>
          <w:tcPr>
            <w:tcW w:w="725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560" w:lineRule="exact"/>
              <w:jc w:val="center"/>
              <w:rPr>
                <w:rFonts w:hint="eastAsia" w:ascii="仿宋_GB2312" w:hAnsi="仿宋_GB2312" w:eastAsia="仿宋_GB2312" w:cs="仿宋_GB2312"/>
                <w:i w:val="0"/>
                <w:color w:val="auto"/>
                <w:sz w:val="24"/>
                <w:szCs w:val="24"/>
                <w:u w:val="none"/>
              </w:rPr>
            </w:pPr>
          </w:p>
        </w:tc>
      </w:tr>
      <w:tr>
        <w:tblPrEx>
          <w:tblCellMar>
            <w:top w:w="0" w:type="dxa"/>
            <w:left w:w="0" w:type="dxa"/>
            <w:bottom w:w="0" w:type="dxa"/>
            <w:right w:w="0" w:type="dxa"/>
          </w:tblCellMar>
        </w:tblPrEx>
        <w:trPr>
          <w:trHeight w:val="603" w:hRule="atLeast"/>
        </w:trPr>
        <w:tc>
          <w:tcPr>
            <w:tcW w:w="15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560" w:lineRule="exact"/>
              <w:jc w:val="center"/>
              <w:rPr>
                <w:rFonts w:hint="eastAsia" w:ascii="黑体" w:hAnsi="宋体" w:eastAsia="黑体" w:cs="黑体"/>
                <w:i w:val="0"/>
                <w:color w:val="auto"/>
                <w:sz w:val="24"/>
                <w:szCs w:val="24"/>
                <w:u w:val="none"/>
              </w:rPr>
            </w:pPr>
          </w:p>
        </w:tc>
        <w:tc>
          <w:tcPr>
            <w:tcW w:w="12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流转期限</w:t>
            </w:r>
          </w:p>
        </w:tc>
        <w:tc>
          <w:tcPr>
            <w:tcW w:w="725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spacing w:line="560" w:lineRule="exact"/>
              <w:jc w:val="left"/>
              <w:textAlignment w:val="bottom"/>
              <w:rPr>
                <w:rFonts w:hint="eastAsia" w:ascii="仿宋_GB2312" w:hAnsi="仿宋_GB2312" w:eastAsia="仿宋_GB2312" w:cs="仿宋_GB2312"/>
                <w:i w:val="0"/>
                <w:color w:val="auto"/>
                <w:sz w:val="19"/>
                <w:szCs w:val="19"/>
                <w:u w:val="none"/>
              </w:rPr>
            </w:pPr>
            <w:r>
              <w:rPr>
                <w:rFonts w:hint="eastAsia" w:ascii="仿宋_GB2312" w:hAnsi="仿宋_GB2312" w:eastAsia="仿宋_GB2312" w:cs="仿宋_GB2312"/>
                <w:color w:val="auto"/>
                <w:sz w:val="19"/>
                <w:szCs w:val="19"/>
                <w:u w:val="single"/>
                <w:lang w:val="en-US" w:eastAsia="zh-CN"/>
              </w:rPr>
              <w:t xml:space="preserve">        </w:t>
            </w:r>
            <w:r>
              <w:rPr>
                <w:rStyle w:val="16"/>
                <w:rFonts w:hint="eastAsia" w:ascii="仿宋_GB2312" w:hAnsi="仿宋_GB2312" w:eastAsia="仿宋_GB2312" w:cs="仿宋_GB2312"/>
                <w:color w:val="auto"/>
                <w:lang w:val="en-US" w:eastAsia="zh-CN" w:bidi="ar"/>
              </w:rPr>
              <w:t>年</w:t>
            </w:r>
            <w:r>
              <w:rPr>
                <w:rStyle w:val="14"/>
                <w:rFonts w:hint="eastAsia" w:ascii="仿宋_GB2312" w:hAnsi="仿宋_GB2312" w:eastAsia="仿宋_GB2312" w:cs="仿宋_GB2312"/>
                <w:color w:val="auto"/>
                <w:lang w:val="en-US" w:eastAsia="zh-CN" w:bidi="ar"/>
              </w:rPr>
              <w:t xml:space="preserve">    </w:t>
            </w:r>
            <w:r>
              <w:rPr>
                <w:rStyle w:val="16"/>
                <w:rFonts w:hint="eastAsia" w:ascii="仿宋_GB2312" w:hAnsi="仿宋_GB2312" w:eastAsia="仿宋_GB2312" w:cs="仿宋_GB2312"/>
                <w:color w:val="auto"/>
                <w:lang w:val="en-US" w:eastAsia="zh-CN" w:bidi="ar"/>
              </w:rPr>
              <w:t>月</w:t>
            </w:r>
            <w:r>
              <w:rPr>
                <w:rStyle w:val="14"/>
                <w:rFonts w:hint="eastAsia" w:ascii="仿宋_GB2312" w:hAnsi="仿宋_GB2312" w:eastAsia="仿宋_GB2312" w:cs="仿宋_GB2312"/>
                <w:color w:val="auto"/>
                <w:lang w:val="en-US" w:eastAsia="zh-CN" w:bidi="ar"/>
              </w:rPr>
              <w:t xml:space="preserve">    </w:t>
            </w:r>
            <w:r>
              <w:rPr>
                <w:rStyle w:val="16"/>
                <w:rFonts w:hint="eastAsia" w:ascii="仿宋_GB2312" w:hAnsi="仿宋_GB2312" w:eastAsia="仿宋_GB2312" w:cs="仿宋_GB2312"/>
                <w:color w:val="auto"/>
                <w:lang w:val="en-US" w:eastAsia="zh-CN" w:bidi="ar"/>
              </w:rPr>
              <w:t>日起至</w:t>
            </w:r>
            <w:r>
              <w:rPr>
                <w:rFonts w:hint="eastAsia" w:ascii="仿宋_GB2312" w:hAnsi="仿宋_GB2312" w:eastAsia="仿宋_GB2312" w:cs="仿宋_GB2312"/>
                <w:color w:val="auto"/>
                <w:sz w:val="19"/>
                <w:szCs w:val="19"/>
                <w:u w:val="single"/>
                <w:lang w:val="en-US" w:eastAsia="zh-CN"/>
              </w:rPr>
              <w:t xml:space="preserve">        </w:t>
            </w:r>
            <w:r>
              <w:rPr>
                <w:rStyle w:val="16"/>
                <w:rFonts w:hint="eastAsia" w:ascii="仿宋_GB2312" w:hAnsi="仿宋_GB2312" w:eastAsia="仿宋_GB2312" w:cs="仿宋_GB2312"/>
                <w:color w:val="auto"/>
                <w:lang w:val="en-US" w:eastAsia="zh-CN" w:bidi="ar"/>
              </w:rPr>
              <w:t>年</w:t>
            </w:r>
            <w:r>
              <w:rPr>
                <w:rStyle w:val="14"/>
                <w:rFonts w:hint="eastAsia" w:ascii="仿宋_GB2312" w:hAnsi="仿宋_GB2312" w:eastAsia="仿宋_GB2312" w:cs="仿宋_GB2312"/>
                <w:color w:val="auto"/>
                <w:lang w:val="en-US" w:eastAsia="zh-CN" w:bidi="ar"/>
              </w:rPr>
              <w:t xml:space="preserve">    </w:t>
            </w:r>
            <w:r>
              <w:rPr>
                <w:rStyle w:val="16"/>
                <w:rFonts w:hint="eastAsia" w:ascii="仿宋_GB2312" w:hAnsi="仿宋_GB2312" w:eastAsia="仿宋_GB2312" w:cs="仿宋_GB2312"/>
                <w:color w:val="auto"/>
                <w:lang w:val="en-US" w:eastAsia="zh-CN" w:bidi="ar"/>
              </w:rPr>
              <w:t>月</w:t>
            </w:r>
            <w:r>
              <w:rPr>
                <w:rStyle w:val="14"/>
                <w:rFonts w:hint="eastAsia" w:ascii="仿宋_GB2312" w:hAnsi="仿宋_GB2312" w:eastAsia="仿宋_GB2312" w:cs="仿宋_GB2312"/>
                <w:color w:val="auto"/>
                <w:lang w:val="en-US" w:eastAsia="zh-CN" w:bidi="ar"/>
              </w:rPr>
              <w:t xml:space="preserve">    </w:t>
            </w:r>
            <w:r>
              <w:rPr>
                <w:rStyle w:val="16"/>
                <w:rFonts w:hint="eastAsia" w:ascii="仿宋_GB2312" w:hAnsi="仿宋_GB2312" w:eastAsia="仿宋_GB2312" w:cs="仿宋_GB2312"/>
                <w:color w:val="auto"/>
                <w:lang w:val="en-US" w:eastAsia="zh-CN" w:bidi="ar"/>
              </w:rPr>
              <w:t>日止</w:t>
            </w:r>
            <w:r>
              <w:rPr>
                <w:rStyle w:val="13"/>
                <w:rFonts w:hint="eastAsia" w:ascii="仿宋_GB2312" w:hAnsi="仿宋_GB2312" w:eastAsia="仿宋_GB2312" w:cs="仿宋_GB2312"/>
                <w:color w:val="auto"/>
                <w:lang w:val="en-US" w:eastAsia="zh-CN" w:bidi="ar"/>
              </w:rPr>
              <w:t>。</w:t>
            </w:r>
          </w:p>
        </w:tc>
      </w:tr>
      <w:tr>
        <w:tblPrEx>
          <w:tblCellMar>
            <w:top w:w="0" w:type="dxa"/>
            <w:left w:w="0" w:type="dxa"/>
            <w:bottom w:w="0" w:type="dxa"/>
            <w:right w:w="0" w:type="dxa"/>
          </w:tblCellMar>
        </w:tblPrEx>
        <w:trPr>
          <w:trHeight w:val="1014" w:hRule="atLeast"/>
        </w:trPr>
        <w:tc>
          <w:tcPr>
            <w:tcW w:w="15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560" w:lineRule="exact"/>
              <w:jc w:val="center"/>
              <w:rPr>
                <w:rFonts w:hint="eastAsia" w:ascii="黑体" w:hAnsi="宋体" w:eastAsia="黑体" w:cs="黑体"/>
                <w:i w:val="0"/>
                <w:color w:val="auto"/>
                <w:sz w:val="24"/>
                <w:szCs w:val="24"/>
                <w:u w:val="none"/>
              </w:rPr>
            </w:pPr>
          </w:p>
        </w:tc>
        <w:tc>
          <w:tcPr>
            <w:tcW w:w="12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流转土地主要用途</w:t>
            </w:r>
          </w:p>
        </w:tc>
        <w:tc>
          <w:tcPr>
            <w:tcW w:w="725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560" w:lineRule="exact"/>
              <w:jc w:val="both"/>
              <w:rPr>
                <w:rFonts w:hint="eastAsia" w:ascii="仿宋_GB2312" w:hAnsi="仿宋_GB2312" w:eastAsia="仿宋_GB2312" w:cs="仿宋_GB2312"/>
                <w:i w:val="0"/>
                <w:color w:val="auto"/>
                <w:sz w:val="19"/>
                <w:szCs w:val="19"/>
                <w:u w:val="none"/>
              </w:rPr>
            </w:pPr>
          </w:p>
        </w:tc>
      </w:tr>
      <w:tr>
        <w:tblPrEx>
          <w:tblCellMar>
            <w:top w:w="0" w:type="dxa"/>
            <w:left w:w="0" w:type="dxa"/>
            <w:bottom w:w="0" w:type="dxa"/>
            <w:right w:w="0" w:type="dxa"/>
          </w:tblCellMar>
        </w:tblPrEx>
        <w:trPr>
          <w:trHeight w:val="616" w:hRule="atLeast"/>
        </w:trPr>
        <w:tc>
          <w:tcPr>
            <w:tcW w:w="15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560" w:lineRule="exact"/>
              <w:jc w:val="center"/>
              <w:rPr>
                <w:rFonts w:hint="eastAsia" w:ascii="黑体" w:hAnsi="宋体" w:eastAsia="黑体" w:cs="黑体"/>
                <w:i w:val="0"/>
                <w:color w:val="auto"/>
                <w:sz w:val="24"/>
                <w:szCs w:val="24"/>
                <w:u w:val="none"/>
              </w:rPr>
            </w:pPr>
          </w:p>
        </w:tc>
        <w:tc>
          <w:tcPr>
            <w:tcW w:w="12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流转价格及给付方式</w:t>
            </w:r>
          </w:p>
        </w:tc>
        <w:tc>
          <w:tcPr>
            <w:tcW w:w="725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spacing w:line="560" w:lineRule="exact"/>
              <w:jc w:val="left"/>
              <w:textAlignment w:val="bottom"/>
              <w:rPr>
                <w:rFonts w:hint="eastAsia" w:ascii="仿宋_GB2312" w:hAnsi="仿宋_GB2312" w:eastAsia="仿宋_GB2312" w:cs="仿宋_GB2312"/>
                <w:i w:val="0"/>
                <w:color w:val="auto"/>
                <w:sz w:val="24"/>
                <w:szCs w:val="24"/>
                <w:u w:val="none"/>
              </w:rPr>
            </w:pPr>
            <w:r>
              <w:rPr>
                <w:rStyle w:val="16"/>
                <w:rFonts w:hint="eastAsia" w:ascii="仿宋_GB2312" w:hAnsi="仿宋_GB2312" w:eastAsia="仿宋_GB2312" w:cs="仿宋_GB2312"/>
                <w:color w:val="auto"/>
                <w:lang w:val="en-US" w:eastAsia="zh-CN" w:bidi="ar"/>
              </w:rPr>
              <w:t>最高单价：</w:t>
            </w:r>
            <w:r>
              <w:rPr>
                <w:rStyle w:val="14"/>
                <w:rFonts w:hint="eastAsia" w:ascii="仿宋_GB2312" w:hAnsi="仿宋_GB2312" w:eastAsia="仿宋_GB2312" w:cs="仿宋_GB2312"/>
                <w:color w:val="auto"/>
                <w:lang w:val="en-US" w:eastAsia="zh-CN" w:bidi="ar"/>
              </w:rPr>
              <w:t xml:space="preserve">      </w:t>
            </w:r>
            <w:r>
              <w:rPr>
                <w:rStyle w:val="16"/>
                <w:rFonts w:hint="eastAsia" w:ascii="仿宋_GB2312" w:hAnsi="仿宋_GB2312" w:eastAsia="仿宋_GB2312" w:cs="仿宋_GB2312"/>
                <w:color w:val="auto"/>
                <w:lang w:val="en-US" w:eastAsia="zh-CN" w:bidi="ar"/>
              </w:rPr>
              <w:t>；最低单价：</w:t>
            </w:r>
            <w:r>
              <w:rPr>
                <w:rStyle w:val="14"/>
                <w:rFonts w:hint="eastAsia" w:ascii="仿宋_GB2312" w:hAnsi="仿宋_GB2312" w:eastAsia="仿宋_GB2312" w:cs="仿宋_GB2312"/>
                <w:color w:val="auto"/>
                <w:lang w:val="en-US" w:eastAsia="zh-CN" w:bidi="ar"/>
              </w:rPr>
              <w:t xml:space="preserve">       </w:t>
            </w:r>
            <w:r>
              <w:rPr>
                <w:rStyle w:val="16"/>
                <w:rFonts w:hint="eastAsia" w:ascii="仿宋_GB2312" w:hAnsi="仿宋_GB2312" w:eastAsia="仿宋_GB2312" w:cs="仿宋_GB2312"/>
                <w:color w:val="auto"/>
                <w:lang w:val="en-US" w:eastAsia="zh-CN" w:bidi="ar"/>
              </w:rPr>
              <w:t>；</w:t>
            </w:r>
          </w:p>
        </w:tc>
      </w:tr>
      <w:tr>
        <w:tblPrEx>
          <w:tblCellMar>
            <w:top w:w="0" w:type="dxa"/>
            <w:left w:w="0" w:type="dxa"/>
            <w:bottom w:w="0" w:type="dxa"/>
            <w:right w:w="0" w:type="dxa"/>
          </w:tblCellMar>
        </w:tblPrEx>
        <w:trPr>
          <w:trHeight w:val="616" w:hRule="atLeast"/>
        </w:trPr>
        <w:tc>
          <w:tcPr>
            <w:tcW w:w="15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560" w:lineRule="exact"/>
              <w:jc w:val="center"/>
              <w:rPr>
                <w:rFonts w:hint="eastAsia" w:ascii="黑体" w:hAnsi="宋体" w:eastAsia="黑体" w:cs="黑体"/>
                <w:i w:val="0"/>
                <w:color w:val="auto"/>
                <w:sz w:val="24"/>
                <w:szCs w:val="24"/>
                <w:u w:val="none"/>
              </w:rPr>
            </w:pPr>
          </w:p>
        </w:tc>
        <w:tc>
          <w:tcPr>
            <w:tcW w:w="12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560" w:lineRule="exact"/>
              <w:jc w:val="center"/>
              <w:rPr>
                <w:rFonts w:hint="eastAsia" w:ascii="仿宋_GB2312" w:hAnsi="仿宋_GB2312" w:eastAsia="仿宋_GB2312" w:cs="仿宋_GB2312"/>
                <w:i w:val="0"/>
                <w:color w:val="auto"/>
                <w:sz w:val="24"/>
                <w:szCs w:val="24"/>
                <w:u w:val="none"/>
              </w:rPr>
            </w:pPr>
          </w:p>
        </w:tc>
        <w:tc>
          <w:tcPr>
            <w:tcW w:w="725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spacing w:line="560" w:lineRule="exact"/>
              <w:jc w:val="left"/>
              <w:textAlignment w:val="bottom"/>
              <w:rPr>
                <w:rFonts w:hint="eastAsia" w:ascii="仿宋_GB2312" w:hAnsi="仿宋_GB2312" w:eastAsia="仿宋_GB2312" w:cs="仿宋_GB2312"/>
                <w:i w:val="0"/>
                <w:color w:val="auto"/>
                <w:sz w:val="24"/>
                <w:szCs w:val="24"/>
                <w:u w:val="none"/>
              </w:rPr>
            </w:pPr>
            <w:r>
              <w:rPr>
                <w:rStyle w:val="16"/>
                <w:rFonts w:hint="eastAsia" w:ascii="仿宋_GB2312" w:hAnsi="仿宋_GB2312" w:eastAsia="仿宋_GB2312" w:cs="仿宋_GB2312"/>
                <w:color w:val="auto"/>
                <w:lang w:val="en-US" w:eastAsia="zh-CN" w:bidi="ar"/>
              </w:rPr>
              <w:t>给付方式</w:t>
            </w:r>
            <w:r>
              <w:rPr>
                <w:rStyle w:val="13"/>
                <w:rFonts w:hint="eastAsia" w:ascii="仿宋_GB2312" w:hAnsi="仿宋_GB2312" w:eastAsia="仿宋_GB2312" w:cs="仿宋_GB2312"/>
                <w:color w:val="auto"/>
                <w:lang w:val="en-US" w:eastAsia="zh-CN" w:bidi="ar"/>
              </w:rPr>
              <w:t>：</w:t>
            </w:r>
            <w:r>
              <w:rPr>
                <w:rStyle w:val="14"/>
                <w:rFonts w:hint="eastAsia" w:ascii="仿宋_GB2312" w:hAnsi="仿宋_GB2312" w:eastAsia="仿宋_GB2312" w:cs="仿宋_GB2312"/>
                <w:color w:val="auto"/>
                <w:lang w:val="en-US" w:eastAsia="zh-CN" w:bidi="ar"/>
              </w:rPr>
              <w:t xml:space="preserve">   </w:t>
            </w:r>
            <w:r>
              <w:rPr>
                <w:rStyle w:val="15"/>
                <w:rFonts w:hint="eastAsia" w:ascii="仿宋_GB2312" w:hAnsi="仿宋_GB2312" w:eastAsia="仿宋_GB2312" w:cs="仿宋_GB2312"/>
                <w:color w:val="auto"/>
                <w:lang w:val="en-US" w:eastAsia="zh-CN" w:bidi="ar"/>
              </w:rPr>
              <w:t xml:space="preserve">                              </w:t>
            </w:r>
            <w:r>
              <w:rPr>
                <w:rStyle w:val="16"/>
                <w:rFonts w:hint="eastAsia" w:ascii="仿宋_GB2312" w:hAnsi="仿宋_GB2312" w:eastAsia="仿宋_GB2312" w:cs="仿宋_GB2312"/>
                <w:color w:val="auto"/>
                <w:lang w:val="en-US" w:eastAsia="zh-CN" w:bidi="ar"/>
              </w:rPr>
              <w:t>。</w:t>
            </w:r>
          </w:p>
        </w:tc>
      </w:tr>
      <w:tr>
        <w:tblPrEx>
          <w:tblCellMar>
            <w:top w:w="0" w:type="dxa"/>
            <w:left w:w="0" w:type="dxa"/>
            <w:bottom w:w="0" w:type="dxa"/>
            <w:right w:w="0" w:type="dxa"/>
          </w:tblCellMar>
        </w:tblPrEx>
        <w:trPr>
          <w:trHeight w:val="831" w:hRule="atLeast"/>
        </w:trPr>
        <w:tc>
          <w:tcPr>
            <w:tcW w:w="1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黑体" w:hAnsi="宋体" w:eastAsia="黑体" w:cs="黑体"/>
                <w:i w:val="0"/>
                <w:color w:val="auto"/>
                <w:sz w:val="24"/>
                <w:szCs w:val="24"/>
                <w:u w:val="none"/>
              </w:rPr>
            </w:pPr>
            <w:r>
              <w:rPr>
                <w:rFonts w:hint="eastAsia" w:ascii="黑体" w:hAnsi="宋体" w:eastAsia="黑体" w:cs="黑体"/>
                <w:i w:val="0"/>
                <w:color w:val="auto"/>
                <w:kern w:val="0"/>
                <w:sz w:val="24"/>
                <w:szCs w:val="24"/>
                <w:u w:val="none"/>
                <w:lang w:val="en-US" w:eastAsia="zh-CN" w:bidi="ar"/>
              </w:rPr>
              <w:t>出让方意见</w:t>
            </w:r>
          </w:p>
        </w:tc>
        <w:tc>
          <w:tcPr>
            <w:tcW w:w="852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spacing w:line="560" w:lineRule="exact"/>
              <w:jc w:val="left"/>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 xml:space="preserve">        签名：                          年     月     日</w:t>
            </w:r>
          </w:p>
        </w:tc>
      </w:tr>
      <w:tr>
        <w:tblPrEx>
          <w:tblCellMar>
            <w:top w:w="0" w:type="dxa"/>
            <w:left w:w="0" w:type="dxa"/>
            <w:bottom w:w="0" w:type="dxa"/>
            <w:right w:w="0" w:type="dxa"/>
          </w:tblCellMar>
        </w:tblPrEx>
        <w:trPr>
          <w:trHeight w:val="814" w:hRule="atLeast"/>
        </w:trPr>
        <w:tc>
          <w:tcPr>
            <w:tcW w:w="1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黑体" w:hAnsi="宋体" w:eastAsia="黑体" w:cs="黑体"/>
                <w:i w:val="0"/>
                <w:color w:val="auto"/>
                <w:sz w:val="24"/>
                <w:szCs w:val="24"/>
                <w:u w:val="none"/>
              </w:rPr>
            </w:pPr>
            <w:r>
              <w:rPr>
                <w:rFonts w:hint="eastAsia" w:ascii="黑体" w:hAnsi="宋体" w:eastAsia="黑体" w:cs="黑体"/>
                <w:i w:val="0"/>
                <w:color w:val="auto"/>
                <w:kern w:val="0"/>
                <w:sz w:val="24"/>
                <w:szCs w:val="24"/>
                <w:u w:val="none"/>
                <w:lang w:val="en-US" w:eastAsia="zh-CN" w:bidi="ar"/>
              </w:rPr>
              <w:t>受让方意见</w:t>
            </w:r>
          </w:p>
        </w:tc>
        <w:tc>
          <w:tcPr>
            <w:tcW w:w="852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spacing w:line="560" w:lineRule="exact"/>
              <w:jc w:val="left"/>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 xml:space="preserve">        签名：                          年     月     日</w:t>
            </w:r>
          </w:p>
        </w:tc>
      </w:tr>
      <w:tr>
        <w:tblPrEx>
          <w:tblCellMar>
            <w:top w:w="0" w:type="dxa"/>
            <w:left w:w="0" w:type="dxa"/>
            <w:bottom w:w="0" w:type="dxa"/>
            <w:right w:w="0" w:type="dxa"/>
          </w:tblCellMar>
        </w:tblPrEx>
        <w:trPr>
          <w:trHeight w:val="855" w:hRule="atLeast"/>
        </w:trPr>
        <w:tc>
          <w:tcPr>
            <w:tcW w:w="1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黑体" w:hAnsi="宋体" w:eastAsia="黑体" w:cs="黑体"/>
                <w:i w:val="0"/>
                <w:color w:val="auto"/>
                <w:sz w:val="24"/>
                <w:szCs w:val="24"/>
                <w:u w:val="none"/>
              </w:rPr>
            </w:pPr>
            <w:r>
              <w:rPr>
                <w:rFonts w:hint="eastAsia" w:ascii="黑体" w:hAnsi="宋体" w:eastAsia="黑体" w:cs="黑体"/>
                <w:i w:val="0"/>
                <w:color w:val="auto"/>
                <w:kern w:val="0"/>
                <w:sz w:val="24"/>
                <w:szCs w:val="24"/>
                <w:u w:val="none"/>
                <w:lang w:val="en-US" w:eastAsia="zh-CN" w:bidi="ar"/>
              </w:rPr>
              <w:t>发包方意见</w:t>
            </w:r>
          </w:p>
        </w:tc>
        <w:tc>
          <w:tcPr>
            <w:tcW w:w="852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spacing w:line="560" w:lineRule="exact"/>
              <w:jc w:val="left"/>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 xml:space="preserve">        签名：                          年     月     日</w:t>
            </w:r>
          </w:p>
        </w:tc>
      </w:tr>
    </w:tbl>
    <w:p>
      <w:pPr>
        <w:rPr>
          <w:rFonts w:hint="default" w:ascii="黑体" w:hAnsi="黑体" w:eastAsia="黑体" w:cs="黑体"/>
          <w:color w:val="auto"/>
          <w:sz w:val="28"/>
          <w:szCs w:val="28"/>
          <w:lang w:val="en-US" w:eastAsia="zh-CN"/>
        </w:rPr>
      </w:pPr>
      <w:r>
        <w:rPr>
          <w:rFonts w:hint="default" w:ascii="黑体" w:hAnsi="黑体" w:eastAsia="黑体" w:cs="黑体"/>
          <w:color w:val="auto"/>
          <w:sz w:val="28"/>
          <w:szCs w:val="28"/>
          <w:lang w:val="en-US" w:eastAsia="zh-CN"/>
        </w:rPr>
        <w:br w:type="page"/>
      </w:r>
    </w:p>
    <w:p>
      <w:pPr>
        <w:keepNext w:val="0"/>
        <w:keepLines w:val="0"/>
        <w:pageBreakBefore w:val="0"/>
        <w:kinsoku/>
        <w:wordWrap/>
        <w:overflowPunct/>
        <w:topLinePunct w:val="0"/>
        <w:autoSpaceDE/>
        <w:autoSpaceDN/>
        <w:bidi w:val="0"/>
        <w:spacing w:line="560" w:lineRule="exact"/>
        <w:jc w:val="both"/>
        <w:rPr>
          <w:rFonts w:hint="default" w:ascii="黑体" w:hAnsi="黑体" w:eastAsia="黑体" w:cs="黑体"/>
          <w:color w:val="auto"/>
          <w:sz w:val="28"/>
          <w:szCs w:val="28"/>
          <w:lang w:val="en-US" w:eastAsia="zh-CN"/>
        </w:rPr>
      </w:pPr>
    </w:p>
    <w:p>
      <w:pPr>
        <w:keepNext w:val="0"/>
        <w:keepLines w:val="0"/>
        <w:pageBreakBefore w:val="0"/>
        <w:kinsoku/>
        <w:wordWrap/>
        <w:overflowPunct/>
        <w:topLinePunct w:val="0"/>
        <w:autoSpaceDE/>
        <w:autoSpaceDN/>
        <w:bidi w:val="0"/>
        <w:spacing w:line="560" w:lineRule="exact"/>
        <w:jc w:val="both"/>
        <w:rPr>
          <w:rFonts w:hint="eastAsia" w:ascii="Times New Roman" w:hAnsi="Times New Roman" w:eastAsia="方正小标宋简体" w:cs="Times New Roman"/>
          <w:color w:val="auto"/>
          <w:sz w:val="44"/>
          <w:szCs w:val="44"/>
          <w:lang w:eastAsia="zh-CN"/>
        </w:rPr>
      </w:pPr>
      <w:r>
        <w:rPr>
          <w:rFonts w:hint="default" w:ascii="黑体" w:hAnsi="黑体" w:eastAsia="黑体" w:cs="黑体"/>
          <w:color w:val="auto"/>
          <w:sz w:val="28"/>
          <w:szCs w:val="28"/>
          <w:lang w:val="en-US" w:eastAsia="zh-CN"/>
        </w:rPr>
        <w:t>附件</w:t>
      </w:r>
      <w:r>
        <w:rPr>
          <w:rFonts w:hint="eastAsia" w:ascii="黑体" w:hAnsi="黑体" w:eastAsia="黑体" w:cs="黑体"/>
          <w:color w:val="auto"/>
          <w:sz w:val="28"/>
          <w:szCs w:val="28"/>
          <w:lang w:val="en-US" w:eastAsia="zh-CN"/>
        </w:rPr>
        <w:t>4</w:t>
      </w:r>
    </w:p>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方正小标宋简体" w:cs="Times New Roman"/>
          <w:color w:val="auto"/>
          <w:sz w:val="44"/>
          <w:szCs w:val="44"/>
        </w:rPr>
      </w:pPr>
      <w:r>
        <w:rPr>
          <w:rFonts w:hint="eastAsia" w:ascii="Times New Roman" w:hAnsi="Times New Roman" w:eastAsia="方正小标宋简体" w:cs="Times New Roman"/>
          <w:color w:val="auto"/>
          <w:sz w:val="44"/>
          <w:szCs w:val="44"/>
          <w:lang w:eastAsia="zh-CN"/>
        </w:rPr>
        <w:t>玛纳斯县</w:t>
      </w:r>
      <w:r>
        <w:rPr>
          <w:rFonts w:hint="eastAsia" w:ascii="方正小标宋简体" w:hAnsi="方正小标宋简体" w:eastAsia="方正小标宋简体" w:cs="方正小标宋简体"/>
          <w:i w:val="0"/>
          <w:color w:val="auto"/>
          <w:kern w:val="0"/>
          <w:sz w:val="44"/>
          <w:szCs w:val="44"/>
          <w:u w:val="single"/>
          <w:lang w:val="en-US" w:eastAsia="zh-CN" w:bidi="ar"/>
        </w:rPr>
        <w:t xml:space="preserve">              </w:t>
      </w:r>
      <w:r>
        <w:rPr>
          <w:rFonts w:hint="eastAsia" w:eastAsia="方正小标宋简体" w:cs="Times New Roman"/>
          <w:color w:val="auto"/>
          <w:sz w:val="44"/>
          <w:szCs w:val="44"/>
          <w:u w:val="none"/>
          <w:lang w:val="en-US" w:eastAsia="zh-CN"/>
        </w:rPr>
        <w:t>乡（镇）</w:t>
      </w:r>
      <w:r>
        <w:rPr>
          <w:rFonts w:hint="default" w:ascii="Times New Roman" w:hAnsi="Times New Roman" w:eastAsia="方正小标宋简体" w:cs="Times New Roman"/>
          <w:color w:val="auto"/>
          <w:sz w:val="44"/>
          <w:szCs w:val="44"/>
        </w:rPr>
        <w:t>工商资本租赁</w:t>
      </w:r>
    </w:p>
    <w:p>
      <w:pPr>
        <w:keepNext w:val="0"/>
        <w:keepLines w:val="0"/>
        <w:pageBreakBefore w:val="0"/>
        <w:kinsoku/>
        <w:wordWrap/>
        <w:overflowPunct/>
        <w:topLinePunct w:val="0"/>
        <w:autoSpaceDE/>
        <w:autoSpaceDN/>
        <w:bidi w:val="0"/>
        <w:spacing w:line="560" w:lineRule="exact"/>
        <w:jc w:val="center"/>
        <w:rPr>
          <w:rFonts w:hint="default"/>
          <w:lang w:val="en-US" w:eastAsia="zh-CN"/>
        </w:rPr>
      </w:pPr>
      <w:r>
        <w:rPr>
          <w:rFonts w:hint="default" w:ascii="Times New Roman" w:hAnsi="Times New Roman" w:eastAsia="方正小标宋简体" w:cs="Times New Roman"/>
          <w:color w:val="auto"/>
          <w:sz w:val="44"/>
          <w:szCs w:val="44"/>
        </w:rPr>
        <w:t>农地审查</w:t>
      </w:r>
      <w:r>
        <w:rPr>
          <w:rFonts w:hint="default" w:ascii="Times New Roman" w:hAnsi="Times New Roman" w:eastAsia="方正小标宋简体" w:cs="Times New Roman"/>
          <w:color w:val="auto"/>
          <w:sz w:val="44"/>
          <w:szCs w:val="44"/>
          <w:lang w:val="en-US" w:eastAsia="zh-CN"/>
        </w:rPr>
        <w:t>审核表</w:t>
      </w:r>
    </w:p>
    <w:tbl>
      <w:tblPr>
        <w:tblStyle w:val="9"/>
        <w:tblW w:w="980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5" w:type="dxa"/>
          <w:left w:w="105" w:type="dxa"/>
          <w:bottom w:w="105" w:type="dxa"/>
          <w:right w:w="105" w:type="dxa"/>
        </w:tblCellMar>
      </w:tblPr>
      <w:tblGrid>
        <w:gridCol w:w="1208"/>
        <w:gridCol w:w="1357"/>
        <w:gridCol w:w="1019"/>
        <w:gridCol w:w="1126"/>
        <w:gridCol w:w="1634"/>
        <w:gridCol w:w="1465"/>
        <w:gridCol w:w="13"/>
        <w:gridCol w:w="19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trHeight w:val="964" w:hRule="atLeast"/>
          <w:jc w:val="center"/>
        </w:trPr>
        <w:tc>
          <w:tcPr>
            <w:tcW w:w="1208" w:type="dxa"/>
            <w:vMerge w:val="restart"/>
            <w:tcBorders>
              <w:top w:val="single" w:color="auto" w:sz="4" w:space="0"/>
              <w:left w:val="single" w:color="000000" w:sz="6" w:space="0"/>
              <w:bottom w:val="single" w:color="000000" w:sz="6" w:space="0"/>
              <w:right w:val="nil"/>
            </w:tcBorders>
            <w:noWrap w:val="0"/>
            <w:tcMar>
              <w:top w:w="0" w:type="dxa"/>
              <w:left w:w="115"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黑体" w:hAnsi="黑体" w:eastAsia="黑体" w:cs="黑体"/>
                <w:color w:val="auto"/>
                <w:sz w:val="19"/>
                <w:szCs w:val="19"/>
              </w:rPr>
            </w:pPr>
            <w:r>
              <w:rPr>
                <w:rFonts w:hint="eastAsia" w:ascii="黑体" w:hAnsi="黑体" w:eastAsia="黑体" w:cs="黑体"/>
                <w:color w:val="auto"/>
                <w:sz w:val="24"/>
                <w:szCs w:val="24"/>
              </w:rPr>
              <w:t>工商资本 基本情况</w:t>
            </w:r>
          </w:p>
        </w:tc>
        <w:tc>
          <w:tcPr>
            <w:tcW w:w="1357" w:type="dxa"/>
            <w:tcBorders>
              <w:top w:val="single" w:color="auto" w:sz="4" w:space="0"/>
              <w:left w:val="single" w:color="000000" w:sz="6" w:space="0"/>
              <w:bottom w:val="single" w:color="000000" w:sz="6" w:space="0"/>
              <w:right w:val="single" w:color="auto" w:sz="4" w:space="0"/>
            </w:tcBorders>
            <w:noWrap w:val="0"/>
            <w:tcMar>
              <w:top w:w="0" w:type="dxa"/>
              <w:left w:w="115"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auto"/>
                <w:sz w:val="19"/>
                <w:szCs w:val="19"/>
              </w:rPr>
            </w:pPr>
            <w:r>
              <w:rPr>
                <w:rFonts w:hint="eastAsia" w:ascii="仿宋_GB2312" w:hAnsi="仿宋_GB2312" w:eastAsia="仿宋_GB2312" w:cs="仿宋_GB2312"/>
                <w:color w:val="auto"/>
                <w:sz w:val="24"/>
                <w:szCs w:val="24"/>
              </w:rPr>
              <w:t>公司（或业主）名称</w:t>
            </w:r>
          </w:p>
        </w:tc>
        <w:tc>
          <w:tcPr>
            <w:tcW w:w="3779" w:type="dxa"/>
            <w:gridSpan w:val="3"/>
            <w:tcBorders>
              <w:top w:val="single" w:color="auto" w:sz="4" w:space="0"/>
              <w:left w:val="single" w:color="auto" w:sz="4" w:space="0"/>
              <w:bottom w:val="single" w:color="000000" w:sz="6" w:space="0"/>
              <w:right w:val="nil"/>
            </w:tcBorders>
            <w:noWrap w:val="0"/>
            <w:tcMar>
              <w:top w:w="0" w:type="dxa"/>
              <w:left w:w="115"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sz w:val="24"/>
                <w:szCs w:val="24"/>
              </w:rPr>
            </w:pPr>
          </w:p>
        </w:tc>
        <w:tc>
          <w:tcPr>
            <w:tcW w:w="1478" w:type="dxa"/>
            <w:gridSpan w:val="2"/>
            <w:tcBorders>
              <w:top w:val="single" w:color="auto" w:sz="4" w:space="0"/>
              <w:left w:val="single" w:color="000000" w:sz="6" w:space="0"/>
              <w:bottom w:val="single" w:color="000000" w:sz="6" w:space="0"/>
              <w:right w:val="single" w:color="auto" w:sz="4" w:space="0"/>
            </w:tcBorders>
            <w:noWrap w:val="0"/>
            <w:tcMar>
              <w:top w:w="0" w:type="dxa"/>
              <w:left w:w="115"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auto"/>
                <w:sz w:val="19"/>
                <w:szCs w:val="19"/>
              </w:rPr>
            </w:pPr>
            <w:r>
              <w:rPr>
                <w:rFonts w:hint="eastAsia" w:ascii="仿宋_GB2312" w:hAnsi="仿宋_GB2312" w:eastAsia="仿宋_GB2312" w:cs="仿宋_GB2312"/>
                <w:color w:val="auto"/>
                <w:sz w:val="24"/>
                <w:szCs w:val="24"/>
              </w:rPr>
              <w:t>法定代表人</w:t>
            </w:r>
          </w:p>
        </w:tc>
        <w:tc>
          <w:tcPr>
            <w:tcW w:w="1987" w:type="dxa"/>
            <w:tcBorders>
              <w:top w:val="single" w:color="auto" w:sz="4" w:space="0"/>
              <w:left w:val="single" w:color="auto" w:sz="4" w:space="0"/>
              <w:bottom w:val="single" w:color="000000" w:sz="6" w:space="0"/>
              <w:right w:val="single" w:color="000000" w:sz="6" w:space="0"/>
            </w:tcBorders>
            <w:noWrap w:val="0"/>
            <w:tcMar>
              <w:top w:w="0" w:type="dxa"/>
              <w:left w:w="115"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trHeight w:val="825" w:hRule="atLeast"/>
          <w:jc w:val="center"/>
        </w:trPr>
        <w:tc>
          <w:tcPr>
            <w:tcW w:w="1208" w:type="dxa"/>
            <w:vMerge w:val="continue"/>
            <w:tcBorders>
              <w:top w:val="nil"/>
              <w:left w:val="single" w:color="000000" w:sz="6" w:space="0"/>
              <w:bottom w:val="single" w:color="000000" w:sz="6" w:space="0"/>
              <w:right w:val="nil"/>
            </w:tcBorders>
            <w:noWrap w:val="0"/>
            <w:tcMar>
              <w:top w:w="0" w:type="dxa"/>
              <w:left w:w="115" w:type="dxa"/>
              <w:bottom w:w="0" w:type="dxa"/>
              <w:right w:w="0" w:type="dxa"/>
            </w:tcMar>
            <w:vAlign w:val="center"/>
          </w:tcPr>
          <w:p>
            <w:pPr>
              <w:keepNext w:val="0"/>
              <w:keepLines w:val="0"/>
              <w:pageBreakBefore w:val="0"/>
              <w:kinsoku/>
              <w:wordWrap/>
              <w:overflowPunct/>
              <w:topLinePunct w:val="0"/>
              <w:autoSpaceDE/>
              <w:autoSpaceDN/>
              <w:bidi w:val="0"/>
              <w:adjustRightInd/>
              <w:snapToGrid/>
              <w:spacing w:after="0" w:line="560" w:lineRule="exact"/>
              <w:textAlignment w:val="auto"/>
              <w:rPr>
                <w:rFonts w:hint="eastAsia" w:ascii="黑体" w:hAnsi="黑体" w:eastAsia="黑体" w:cs="黑体"/>
                <w:color w:val="auto"/>
                <w:sz w:val="24"/>
                <w:szCs w:val="24"/>
              </w:rPr>
            </w:pPr>
          </w:p>
        </w:tc>
        <w:tc>
          <w:tcPr>
            <w:tcW w:w="1357" w:type="dxa"/>
            <w:tcBorders>
              <w:top w:val="nil"/>
              <w:left w:val="single" w:color="000000" w:sz="6" w:space="0"/>
              <w:bottom w:val="single" w:color="000000" w:sz="6" w:space="0"/>
              <w:right w:val="single" w:color="auto" w:sz="4" w:space="0"/>
            </w:tcBorders>
            <w:noWrap w:val="0"/>
            <w:tcMar>
              <w:top w:w="0" w:type="dxa"/>
              <w:left w:w="115"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auto"/>
                <w:sz w:val="19"/>
                <w:szCs w:val="19"/>
                <w:lang w:val="en-US" w:eastAsia="zh-CN"/>
              </w:rPr>
            </w:pPr>
            <w:r>
              <w:rPr>
                <w:rFonts w:hint="eastAsia" w:ascii="仿宋_GB2312" w:hAnsi="仿宋_GB2312" w:eastAsia="仿宋_GB2312" w:cs="仿宋_GB2312"/>
                <w:color w:val="auto"/>
                <w:sz w:val="24"/>
                <w:szCs w:val="24"/>
                <w:lang w:val="en-US" w:eastAsia="zh-CN"/>
              </w:rPr>
              <w:t>通讯地址</w:t>
            </w:r>
          </w:p>
        </w:tc>
        <w:tc>
          <w:tcPr>
            <w:tcW w:w="3779" w:type="dxa"/>
            <w:gridSpan w:val="3"/>
            <w:tcBorders>
              <w:top w:val="nil"/>
              <w:left w:val="single" w:color="auto" w:sz="4" w:space="0"/>
              <w:bottom w:val="single" w:color="auto" w:sz="4" w:space="0"/>
              <w:right w:val="nil"/>
            </w:tcBorders>
            <w:noWrap w:val="0"/>
            <w:tcMar>
              <w:top w:w="0" w:type="dxa"/>
              <w:left w:w="115"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sz w:val="24"/>
                <w:szCs w:val="24"/>
              </w:rPr>
            </w:pPr>
          </w:p>
        </w:tc>
        <w:tc>
          <w:tcPr>
            <w:tcW w:w="1478" w:type="dxa"/>
            <w:gridSpan w:val="2"/>
            <w:tcBorders>
              <w:top w:val="nil"/>
              <w:left w:val="single" w:color="000000" w:sz="6" w:space="0"/>
              <w:bottom w:val="single" w:color="000000" w:sz="6" w:space="0"/>
              <w:right w:val="single" w:color="auto" w:sz="4" w:space="0"/>
            </w:tcBorders>
            <w:noWrap w:val="0"/>
            <w:tcMar>
              <w:top w:w="0" w:type="dxa"/>
              <w:left w:w="115"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auto"/>
                <w:sz w:val="19"/>
                <w:szCs w:val="19"/>
              </w:rPr>
            </w:pPr>
            <w:r>
              <w:rPr>
                <w:rFonts w:hint="eastAsia" w:ascii="仿宋_GB2312" w:hAnsi="仿宋_GB2312" w:eastAsia="仿宋_GB2312" w:cs="仿宋_GB2312"/>
                <w:color w:val="auto"/>
                <w:sz w:val="24"/>
                <w:szCs w:val="24"/>
              </w:rPr>
              <w:t>联系电话</w:t>
            </w:r>
          </w:p>
        </w:tc>
        <w:tc>
          <w:tcPr>
            <w:tcW w:w="1987" w:type="dxa"/>
            <w:tcBorders>
              <w:top w:val="nil"/>
              <w:left w:val="single" w:color="auto" w:sz="4" w:space="0"/>
              <w:bottom w:val="single" w:color="000000" w:sz="6" w:space="0"/>
              <w:right w:val="single" w:color="000000" w:sz="6" w:space="0"/>
            </w:tcBorders>
            <w:noWrap w:val="0"/>
            <w:tcMar>
              <w:top w:w="0" w:type="dxa"/>
              <w:left w:w="115"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trHeight w:val="890" w:hRule="atLeast"/>
          <w:jc w:val="center"/>
        </w:trPr>
        <w:tc>
          <w:tcPr>
            <w:tcW w:w="1208" w:type="dxa"/>
            <w:vMerge w:val="restart"/>
            <w:tcBorders>
              <w:top w:val="nil"/>
              <w:left w:val="single" w:color="000000" w:sz="6" w:space="0"/>
              <w:right w:val="nil"/>
            </w:tcBorders>
            <w:noWrap w:val="0"/>
            <w:tcMar>
              <w:top w:w="0" w:type="dxa"/>
              <w:left w:w="115"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黑体" w:hAnsi="黑体" w:eastAsia="黑体" w:cs="黑体"/>
                <w:color w:val="auto"/>
                <w:sz w:val="19"/>
                <w:szCs w:val="19"/>
                <w:lang w:val="en-US" w:eastAsia="zh-CN"/>
              </w:rPr>
            </w:pPr>
            <w:r>
              <w:rPr>
                <w:rFonts w:hint="eastAsia" w:ascii="黑体" w:hAnsi="黑体" w:eastAsia="黑体" w:cs="黑体"/>
                <w:color w:val="auto"/>
                <w:sz w:val="24"/>
                <w:szCs w:val="24"/>
              </w:rPr>
              <w:t>租赁农地项目规划情况</w:t>
            </w:r>
            <w:r>
              <w:rPr>
                <w:rFonts w:hint="eastAsia" w:ascii="黑体" w:hAnsi="黑体" w:eastAsia="黑体" w:cs="黑体"/>
                <w:color w:val="auto"/>
                <w:sz w:val="24"/>
                <w:szCs w:val="24"/>
                <w:lang w:val="en-US" w:eastAsia="zh-CN"/>
              </w:rPr>
              <w:t xml:space="preserve">   </w:t>
            </w:r>
          </w:p>
        </w:tc>
        <w:tc>
          <w:tcPr>
            <w:tcW w:w="1357" w:type="dxa"/>
            <w:tcBorders>
              <w:top w:val="nil"/>
              <w:left w:val="single" w:color="000000" w:sz="6" w:space="0"/>
              <w:bottom w:val="single" w:color="000000" w:sz="6" w:space="0"/>
              <w:right w:val="single" w:color="auto" w:sz="4" w:space="0"/>
            </w:tcBorders>
            <w:noWrap w:val="0"/>
            <w:tcMar>
              <w:top w:w="0" w:type="dxa"/>
              <w:left w:w="115"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auto"/>
                <w:sz w:val="19"/>
                <w:szCs w:val="19"/>
              </w:rPr>
            </w:pPr>
            <w:r>
              <w:rPr>
                <w:rFonts w:hint="eastAsia" w:ascii="仿宋_GB2312" w:hAnsi="仿宋_GB2312" w:eastAsia="仿宋_GB2312" w:cs="仿宋_GB2312"/>
                <w:color w:val="auto"/>
                <w:sz w:val="24"/>
                <w:szCs w:val="24"/>
              </w:rPr>
              <w:t>项目地址</w:t>
            </w:r>
          </w:p>
        </w:tc>
        <w:tc>
          <w:tcPr>
            <w:tcW w:w="7244" w:type="dxa"/>
            <w:gridSpan w:val="6"/>
            <w:tcBorders>
              <w:top w:val="nil"/>
              <w:left w:val="single" w:color="auto" w:sz="4" w:space="0"/>
              <w:bottom w:val="single" w:color="000000" w:sz="6" w:space="0"/>
              <w:right w:val="single" w:color="000000" w:sz="6" w:space="0"/>
            </w:tcBorders>
            <w:noWrap w:val="0"/>
            <w:tcMar>
              <w:top w:w="0" w:type="dxa"/>
              <w:left w:w="115"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trHeight w:val="935" w:hRule="atLeast"/>
          <w:jc w:val="center"/>
        </w:trPr>
        <w:tc>
          <w:tcPr>
            <w:tcW w:w="1208" w:type="dxa"/>
            <w:vMerge w:val="continue"/>
            <w:tcBorders>
              <w:left w:val="single" w:color="000000" w:sz="6" w:space="0"/>
              <w:bottom w:val="single" w:color="000000" w:sz="6" w:space="0"/>
              <w:right w:val="nil"/>
            </w:tcBorders>
            <w:noWrap w:val="0"/>
            <w:tcMar>
              <w:top w:w="0" w:type="dxa"/>
              <w:left w:w="115"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黑体" w:hAnsi="黑体" w:eastAsia="黑体" w:cs="黑体"/>
                <w:color w:val="auto"/>
                <w:sz w:val="24"/>
                <w:szCs w:val="24"/>
              </w:rPr>
            </w:pPr>
          </w:p>
        </w:tc>
        <w:tc>
          <w:tcPr>
            <w:tcW w:w="1357" w:type="dxa"/>
            <w:tcBorders>
              <w:top w:val="nil"/>
              <w:left w:val="single" w:color="000000" w:sz="6" w:space="0"/>
              <w:bottom w:val="single" w:color="000000" w:sz="6" w:space="0"/>
              <w:right w:val="single" w:color="auto" w:sz="4" w:space="0"/>
            </w:tcBorders>
            <w:noWrap w:val="0"/>
            <w:tcMar>
              <w:top w:w="0" w:type="dxa"/>
              <w:left w:w="115"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规划面积</w:t>
            </w:r>
          </w:p>
        </w:tc>
        <w:tc>
          <w:tcPr>
            <w:tcW w:w="2145" w:type="dxa"/>
            <w:gridSpan w:val="2"/>
            <w:tcBorders>
              <w:top w:val="nil"/>
              <w:left w:val="single" w:color="auto" w:sz="4" w:space="0"/>
              <w:bottom w:val="single" w:color="000000" w:sz="6" w:space="0"/>
              <w:right w:val="single" w:color="auto" w:sz="4" w:space="0"/>
            </w:tcBorders>
            <w:noWrap w:val="0"/>
            <w:tcMar>
              <w:top w:w="0" w:type="dxa"/>
              <w:left w:w="115"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sz w:val="24"/>
                <w:szCs w:val="24"/>
                <w:lang w:val="en-US" w:eastAsia="zh-CN"/>
              </w:rPr>
            </w:pPr>
          </w:p>
        </w:tc>
        <w:tc>
          <w:tcPr>
            <w:tcW w:w="1634" w:type="dxa"/>
            <w:tcBorders>
              <w:top w:val="nil"/>
              <w:left w:val="single" w:color="auto" w:sz="4" w:space="0"/>
              <w:bottom w:val="single" w:color="000000" w:sz="6" w:space="0"/>
              <w:right w:val="single" w:color="auto" w:sz="4" w:space="0"/>
            </w:tcBorders>
            <w:noWrap w:val="0"/>
            <w:tcMar>
              <w:top w:w="0" w:type="dxa"/>
              <w:left w:w="115"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主要经营品种</w:t>
            </w:r>
          </w:p>
        </w:tc>
        <w:tc>
          <w:tcPr>
            <w:tcW w:w="3465" w:type="dxa"/>
            <w:gridSpan w:val="3"/>
            <w:tcBorders>
              <w:top w:val="nil"/>
              <w:left w:val="single" w:color="auto" w:sz="4" w:space="0"/>
              <w:bottom w:val="single" w:color="000000" w:sz="6" w:space="0"/>
              <w:right w:val="single" w:color="000000" w:sz="6" w:space="0"/>
            </w:tcBorders>
            <w:noWrap w:val="0"/>
            <w:tcMar>
              <w:top w:w="0" w:type="dxa"/>
              <w:left w:w="115"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trHeight w:val="1417" w:hRule="atLeast"/>
          <w:jc w:val="center"/>
        </w:trPr>
        <w:tc>
          <w:tcPr>
            <w:tcW w:w="1208" w:type="dxa"/>
            <w:vMerge w:val="restart"/>
            <w:tcBorders>
              <w:top w:val="nil"/>
              <w:left w:val="single" w:color="000000" w:sz="6" w:space="0"/>
              <w:bottom w:val="single" w:color="000000" w:sz="6" w:space="0"/>
              <w:right w:val="nil"/>
            </w:tcBorders>
            <w:noWrap w:val="0"/>
            <w:tcMar>
              <w:top w:w="0" w:type="dxa"/>
              <w:left w:w="115"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土地流转</w:t>
            </w:r>
            <w:r>
              <w:rPr>
                <w:rFonts w:hint="eastAsia" w:ascii="黑体" w:hAnsi="黑体" w:eastAsia="黑体" w:cs="黑体"/>
                <w:color w:val="auto"/>
                <w:sz w:val="24"/>
                <w:szCs w:val="24"/>
                <w:lang w:val="en-US" w:eastAsia="zh-CN"/>
              </w:rPr>
              <w:t xml:space="preserve"> </w:t>
            </w:r>
            <w:r>
              <w:rPr>
                <w:rFonts w:hint="eastAsia" w:ascii="黑体" w:hAnsi="黑体" w:eastAsia="黑体" w:cs="黑体"/>
                <w:color w:val="auto"/>
                <w:sz w:val="24"/>
                <w:szCs w:val="24"/>
              </w:rPr>
              <w:t>意向协议</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黑体" w:hAnsi="黑体" w:eastAsia="黑体" w:cs="黑体"/>
                <w:color w:val="auto"/>
                <w:sz w:val="19"/>
                <w:szCs w:val="19"/>
              </w:rPr>
            </w:pPr>
            <w:r>
              <w:rPr>
                <w:rFonts w:hint="eastAsia" w:ascii="黑体" w:hAnsi="黑体" w:eastAsia="黑体" w:cs="黑体"/>
                <w:color w:val="auto"/>
                <w:sz w:val="24"/>
                <w:szCs w:val="24"/>
              </w:rPr>
              <w:t>情况</w:t>
            </w:r>
          </w:p>
        </w:tc>
        <w:tc>
          <w:tcPr>
            <w:tcW w:w="2376" w:type="dxa"/>
            <w:gridSpan w:val="2"/>
            <w:vMerge w:val="restart"/>
            <w:tcBorders>
              <w:top w:val="nil"/>
              <w:left w:val="single" w:color="000000" w:sz="6" w:space="0"/>
              <w:bottom w:val="single" w:color="000000" w:sz="6" w:space="0"/>
              <w:right w:val="nil"/>
            </w:tcBorders>
            <w:noWrap w:val="0"/>
            <w:tcMar>
              <w:top w:w="0" w:type="dxa"/>
              <w:left w:w="115"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auto"/>
                <w:sz w:val="19"/>
                <w:szCs w:val="19"/>
              </w:rPr>
            </w:pPr>
            <w:r>
              <w:rPr>
                <w:rFonts w:hint="eastAsia" w:ascii="仿宋_GB2312" w:hAnsi="仿宋_GB2312" w:eastAsia="仿宋_GB2312" w:cs="仿宋_GB2312"/>
                <w:color w:val="auto"/>
                <w:sz w:val="24"/>
                <w:szCs w:val="24"/>
              </w:rPr>
              <w:t>流转土地面积</w:t>
            </w:r>
          </w:p>
        </w:tc>
        <w:tc>
          <w:tcPr>
            <w:tcW w:w="6225" w:type="dxa"/>
            <w:gridSpan w:val="5"/>
            <w:tcBorders>
              <w:top w:val="single" w:color="000000" w:sz="6" w:space="0"/>
              <w:left w:val="single" w:color="000000" w:sz="6" w:space="0"/>
              <w:bottom w:val="single" w:color="000000" w:sz="6" w:space="0"/>
              <w:right w:val="single" w:color="000000" w:sz="6" w:space="0"/>
            </w:tcBorders>
            <w:noWrap w:val="0"/>
            <w:tcMar>
              <w:top w:w="0" w:type="dxa"/>
              <w:left w:w="115" w:type="dxa"/>
              <w:bottom w:w="0" w:type="dxa"/>
              <w:right w:w="11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sz w:val="19"/>
                <w:szCs w:val="19"/>
                <w:u w:val="single"/>
                <w:lang w:val="en-US" w:eastAsia="zh-CN"/>
              </w:rPr>
            </w:pPr>
            <w:r>
              <w:rPr>
                <w:rFonts w:hint="eastAsia" w:ascii="仿宋_GB2312" w:hAnsi="仿宋_GB2312" w:eastAsia="仿宋_GB2312" w:cs="仿宋_GB2312"/>
                <w:color w:val="auto"/>
                <w:sz w:val="24"/>
                <w:szCs w:val="24"/>
              </w:rPr>
              <w:t>总面积：</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rPr>
              <w:t>亩</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其中耕地</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lang w:val="en-US" w:eastAsia="zh-CN"/>
              </w:rPr>
              <w:t>亩，基本农田</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lang w:val="en-US" w:eastAsia="zh-CN"/>
              </w:rPr>
              <w:t>亩。耕地质量等级为</w:t>
            </w:r>
            <w:r>
              <w:rPr>
                <w:rFonts w:hint="eastAsia" w:ascii="仿宋_GB2312" w:hAnsi="仿宋_GB2312" w:eastAsia="仿宋_GB2312" w:cs="仿宋_GB2312"/>
                <w:color w:val="auto"/>
                <w:sz w:val="24"/>
                <w:szCs w:val="24"/>
                <w:u w:val="singl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trHeight w:val="1417" w:hRule="atLeast"/>
          <w:jc w:val="center"/>
        </w:trPr>
        <w:tc>
          <w:tcPr>
            <w:tcW w:w="1208" w:type="dxa"/>
            <w:vMerge w:val="continue"/>
            <w:tcBorders>
              <w:top w:val="nil"/>
              <w:left w:val="single" w:color="000000" w:sz="6" w:space="0"/>
              <w:bottom w:val="single" w:color="000000" w:sz="6" w:space="0"/>
              <w:right w:val="nil"/>
            </w:tcBorders>
            <w:noWrap w:val="0"/>
            <w:tcMar>
              <w:top w:w="0" w:type="dxa"/>
              <w:left w:w="115" w:type="dxa"/>
              <w:bottom w:w="0" w:type="dxa"/>
              <w:right w:w="0" w:type="dxa"/>
            </w:tcMar>
            <w:vAlign w:val="center"/>
          </w:tcPr>
          <w:p>
            <w:pPr>
              <w:keepNext w:val="0"/>
              <w:keepLines w:val="0"/>
              <w:pageBreakBefore w:val="0"/>
              <w:kinsoku/>
              <w:wordWrap/>
              <w:overflowPunct/>
              <w:topLinePunct w:val="0"/>
              <w:autoSpaceDE/>
              <w:autoSpaceDN/>
              <w:bidi w:val="0"/>
              <w:adjustRightInd/>
              <w:snapToGrid/>
              <w:spacing w:after="0" w:line="560" w:lineRule="exact"/>
              <w:textAlignment w:val="auto"/>
              <w:rPr>
                <w:rFonts w:hint="eastAsia" w:ascii="黑体" w:hAnsi="黑体" w:eastAsia="黑体" w:cs="黑体"/>
                <w:color w:val="auto"/>
                <w:sz w:val="24"/>
                <w:szCs w:val="24"/>
              </w:rPr>
            </w:pPr>
          </w:p>
        </w:tc>
        <w:tc>
          <w:tcPr>
            <w:tcW w:w="2376" w:type="dxa"/>
            <w:gridSpan w:val="2"/>
            <w:vMerge w:val="continue"/>
            <w:tcBorders>
              <w:top w:val="nil"/>
              <w:left w:val="single" w:color="000000" w:sz="6" w:space="0"/>
              <w:bottom w:val="single" w:color="000000" w:sz="6" w:space="0"/>
              <w:right w:val="nil"/>
            </w:tcBorders>
            <w:noWrap w:val="0"/>
            <w:tcMar>
              <w:top w:w="0" w:type="dxa"/>
              <w:left w:w="115" w:type="dxa"/>
              <w:bottom w:w="0" w:type="dxa"/>
              <w:right w:w="0" w:type="dxa"/>
            </w:tcMar>
            <w:vAlign w:val="center"/>
          </w:tcPr>
          <w:p>
            <w:pPr>
              <w:keepNext w:val="0"/>
              <w:keepLines w:val="0"/>
              <w:pageBreakBefore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color w:val="auto"/>
                <w:sz w:val="24"/>
                <w:szCs w:val="24"/>
              </w:rPr>
            </w:pPr>
          </w:p>
        </w:tc>
        <w:tc>
          <w:tcPr>
            <w:tcW w:w="6225" w:type="dxa"/>
            <w:gridSpan w:val="5"/>
            <w:tcBorders>
              <w:top w:val="single" w:color="000000" w:sz="6" w:space="0"/>
              <w:left w:val="single" w:color="000000" w:sz="6" w:space="0"/>
              <w:bottom w:val="single" w:color="000000" w:sz="6" w:space="0"/>
              <w:right w:val="single" w:color="000000" w:sz="6" w:space="0"/>
            </w:tcBorders>
            <w:noWrap w:val="0"/>
            <w:tcMar>
              <w:top w:w="0" w:type="dxa"/>
              <w:left w:w="115" w:type="dxa"/>
              <w:bottom w:w="0" w:type="dxa"/>
              <w:right w:w="11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sz w:val="19"/>
                <w:szCs w:val="19"/>
              </w:rPr>
            </w:pPr>
            <w:r>
              <w:rPr>
                <w:rFonts w:hint="eastAsia" w:ascii="仿宋_GB2312" w:hAnsi="仿宋_GB2312" w:eastAsia="仿宋_GB2312" w:cs="仿宋_GB2312"/>
                <w:color w:val="auto"/>
                <w:sz w:val="24"/>
                <w:szCs w:val="24"/>
              </w:rPr>
              <w:t>1.流转集体经济组织土地：</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rPr>
              <w:t>亩</w:t>
            </w:r>
            <w:r>
              <w:rPr>
                <w:rFonts w:hint="eastAsia" w:ascii="仿宋_GB2312" w:hAnsi="仿宋_GB2312" w:eastAsia="仿宋_GB2312" w:cs="仿宋_GB2312"/>
                <w:color w:val="auto"/>
                <w:sz w:val="24"/>
                <w:szCs w:val="24"/>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trHeight w:val="1417" w:hRule="atLeast"/>
          <w:jc w:val="center"/>
        </w:trPr>
        <w:tc>
          <w:tcPr>
            <w:tcW w:w="1208" w:type="dxa"/>
            <w:vMerge w:val="continue"/>
            <w:tcBorders>
              <w:top w:val="nil"/>
              <w:left w:val="single" w:color="000000" w:sz="6" w:space="0"/>
              <w:bottom w:val="single" w:color="000000" w:sz="6" w:space="0"/>
              <w:right w:val="nil"/>
            </w:tcBorders>
            <w:noWrap w:val="0"/>
            <w:tcMar>
              <w:top w:w="0" w:type="dxa"/>
              <w:left w:w="115" w:type="dxa"/>
              <w:bottom w:w="0" w:type="dxa"/>
              <w:right w:w="0" w:type="dxa"/>
            </w:tcMar>
            <w:vAlign w:val="center"/>
          </w:tcPr>
          <w:p>
            <w:pPr>
              <w:keepNext w:val="0"/>
              <w:keepLines w:val="0"/>
              <w:pageBreakBefore w:val="0"/>
              <w:kinsoku/>
              <w:wordWrap/>
              <w:overflowPunct/>
              <w:topLinePunct w:val="0"/>
              <w:autoSpaceDE/>
              <w:autoSpaceDN/>
              <w:bidi w:val="0"/>
              <w:adjustRightInd/>
              <w:snapToGrid/>
              <w:spacing w:after="0" w:line="560" w:lineRule="exact"/>
              <w:textAlignment w:val="auto"/>
              <w:rPr>
                <w:rFonts w:hint="eastAsia" w:ascii="黑体" w:hAnsi="黑体" w:eastAsia="黑体" w:cs="黑体"/>
                <w:color w:val="auto"/>
                <w:sz w:val="24"/>
                <w:szCs w:val="24"/>
              </w:rPr>
            </w:pPr>
          </w:p>
        </w:tc>
        <w:tc>
          <w:tcPr>
            <w:tcW w:w="2376" w:type="dxa"/>
            <w:gridSpan w:val="2"/>
            <w:vMerge w:val="continue"/>
            <w:tcBorders>
              <w:top w:val="nil"/>
              <w:left w:val="single" w:color="000000" w:sz="6" w:space="0"/>
              <w:bottom w:val="single" w:color="000000" w:sz="6" w:space="0"/>
              <w:right w:val="nil"/>
            </w:tcBorders>
            <w:noWrap w:val="0"/>
            <w:tcMar>
              <w:top w:w="0" w:type="dxa"/>
              <w:left w:w="115" w:type="dxa"/>
              <w:bottom w:w="0" w:type="dxa"/>
              <w:right w:w="0" w:type="dxa"/>
            </w:tcMar>
            <w:vAlign w:val="center"/>
          </w:tcPr>
          <w:p>
            <w:pPr>
              <w:keepNext w:val="0"/>
              <w:keepLines w:val="0"/>
              <w:pageBreakBefore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color w:val="auto"/>
                <w:sz w:val="24"/>
                <w:szCs w:val="24"/>
              </w:rPr>
            </w:pPr>
          </w:p>
        </w:tc>
        <w:tc>
          <w:tcPr>
            <w:tcW w:w="6225" w:type="dxa"/>
            <w:gridSpan w:val="5"/>
            <w:tcBorders>
              <w:top w:val="single" w:color="000000" w:sz="6" w:space="0"/>
              <w:left w:val="single" w:color="000000" w:sz="6" w:space="0"/>
              <w:bottom w:val="single" w:color="000000" w:sz="6" w:space="0"/>
              <w:right w:val="single" w:color="000000" w:sz="6" w:space="0"/>
            </w:tcBorders>
            <w:noWrap w:val="0"/>
            <w:tcMar>
              <w:top w:w="0" w:type="dxa"/>
              <w:left w:w="115" w:type="dxa"/>
              <w:bottom w:w="0" w:type="dxa"/>
              <w:right w:w="11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19"/>
                <w:szCs w:val="19"/>
              </w:rPr>
            </w:pPr>
            <w:r>
              <w:rPr>
                <w:rFonts w:hint="eastAsia" w:ascii="仿宋_GB2312" w:hAnsi="仿宋_GB2312" w:eastAsia="仿宋_GB2312" w:cs="仿宋_GB2312"/>
                <w:color w:val="auto"/>
                <w:sz w:val="24"/>
                <w:szCs w:val="24"/>
              </w:rPr>
              <w:t>2.</w:t>
            </w:r>
            <w:r>
              <w:rPr>
                <w:rFonts w:hint="eastAsia" w:ascii="仿宋_GB2312" w:hAnsi="仿宋_GB2312" w:eastAsia="仿宋_GB2312" w:cs="仿宋_GB2312"/>
                <w:color w:val="auto"/>
                <w:sz w:val="24"/>
                <w:szCs w:val="24"/>
                <w:lang w:val="en-US" w:eastAsia="zh-CN"/>
              </w:rPr>
              <w:t>流转</w:t>
            </w:r>
            <w:r>
              <w:rPr>
                <w:rFonts w:hint="eastAsia" w:ascii="仿宋_GB2312" w:hAnsi="仿宋_GB2312" w:eastAsia="仿宋_GB2312" w:cs="仿宋_GB2312"/>
                <w:color w:val="auto"/>
                <w:sz w:val="24"/>
                <w:szCs w:val="24"/>
              </w:rPr>
              <w:t>农户</w:t>
            </w:r>
            <w:r>
              <w:rPr>
                <w:rFonts w:hint="eastAsia" w:ascii="仿宋_GB2312" w:hAnsi="仿宋_GB2312" w:eastAsia="仿宋_GB2312" w:cs="仿宋_GB2312"/>
                <w:color w:val="auto"/>
                <w:sz w:val="24"/>
                <w:szCs w:val="24"/>
                <w:lang w:eastAsia="zh-CN"/>
              </w:rPr>
              <w:t>二轮</w:t>
            </w:r>
            <w:r>
              <w:rPr>
                <w:rFonts w:hint="eastAsia" w:ascii="仿宋_GB2312" w:hAnsi="仿宋_GB2312" w:eastAsia="仿宋_GB2312" w:cs="仿宋_GB2312"/>
                <w:color w:val="auto"/>
                <w:sz w:val="24"/>
                <w:szCs w:val="24"/>
              </w:rPr>
              <w:t>承包土地：</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rPr>
              <w:t>亩，涉及农户</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rPr>
              <w:t>户</w:t>
            </w:r>
            <w:r>
              <w:rPr>
                <w:rFonts w:hint="eastAsia" w:ascii="仿宋_GB2312" w:hAnsi="仿宋_GB2312" w:eastAsia="仿宋_GB2312" w:cs="仿宋_GB2312"/>
                <w:color w:val="auto"/>
                <w:sz w:val="24"/>
                <w:szCs w:val="24"/>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trHeight w:val="1123" w:hRule="atLeast"/>
          <w:jc w:val="center"/>
        </w:trPr>
        <w:tc>
          <w:tcPr>
            <w:tcW w:w="1208" w:type="dxa"/>
            <w:vMerge w:val="continue"/>
            <w:tcBorders>
              <w:top w:val="nil"/>
              <w:left w:val="single" w:color="000000" w:sz="6" w:space="0"/>
              <w:bottom w:val="single" w:color="000000" w:sz="6" w:space="0"/>
              <w:right w:val="nil"/>
            </w:tcBorders>
            <w:noWrap w:val="0"/>
            <w:tcMar>
              <w:top w:w="0" w:type="dxa"/>
              <w:left w:w="115" w:type="dxa"/>
              <w:bottom w:w="0" w:type="dxa"/>
              <w:right w:w="0" w:type="dxa"/>
            </w:tcMar>
            <w:vAlign w:val="center"/>
          </w:tcPr>
          <w:p>
            <w:pPr>
              <w:keepNext w:val="0"/>
              <w:keepLines w:val="0"/>
              <w:pageBreakBefore w:val="0"/>
              <w:kinsoku/>
              <w:wordWrap/>
              <w:overflowPunct/>
              <w:topLinePunct w:val="0"/>
              <w:autoSpaceDE/>
              <w:autoSpaceDN/>
              <w:bidi w:val="0"/>
              <w:adjustRightInd/>
              <w:snapToGrid/>
              <w:spacing w:after="0" w:line="560" w:lineRule="exact"/>
              <w:textAlignment w:val="auto"/>
              <w:rPr>
                <w:rFonts w:hint="eastAsia" w:ascii="黑体" w:hAnsi="黑体" w:eastAsia="黑体" w:cs="黑体"/>
                <w:color w:val="auto"/>
                <w:sz w:val="24"/>
                <w:szCs w:val="24"/>
              </w:rPr>
            </w:pPr>
          </w:p>
        </w:tc>
        <w:tc>
          <w:tcPr>
            <w:tcW w:w="2376" w:type="dxa"/>
            <w:gridSpan w:val="2"/>
            <w:tcBorders>
              <w:top w:val="nil"/>
              <w:left w:val="single" w:color="000000" w:sz="6" w:space="0"/>
              <w:bottom w:val="single" w:color="000000" w:sz="6" w:space="0"/>
              <w:right w:val="nil"/>
            </w:tcBorders>
            <w:noWrap w:val="0"/>
            <w:tcMar>
              <w:top w:w="0" w:type="dxa"/>
              <w:left w:w="115"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auto"/>
                <w:sz w:val="19"/>
                <w:szCs w:val="19"/>
                <w:lang w:val="en-US" w:eastAsia="zh-CN"/>
              </w:rPr>
            </w:pPr>
            <w:r>
              <w:rPr>
                <w:rFonts w:hint="eastAsia" w:ascii="仿宋_GB2312" w:hAnsi="仿宋_GB2312" w:eastAsia="仿宋_GB2312" w:cs="仿宋_GB2312"/>
                <w:color w:val="auto"/>
                <w:sz w:val="24"/>
                <w:szCs w:val="24"/>
                <w:lang w:val="en-US" w:eastAsia="zh-CN"/>
              </w:rPr>
              <w:t>流转期限</w:t>
            </w:r>
          </w:p>
        </w:tc>
        <w:tc>
          <w:tcPr>
            <w:tcW w:w="6225" w:type="dxa"/>
            <w:gridSpan w:val="5"/>
            <w:tcBorders>
              <w:top w:val="single" w:color="000000" w:sz="6" w:space="0"/>
              <w:left w:val="single" w:color="000000" w:sz="6" w:space="0"/>
              <w:bottom w:val="single" w:color="000000" w:sz="6" w:space="0"/>
              <w:right w:val="single" w:color="000000" w:sz="6" w:space="0"/>
            </w:tcBorders>
            <w:noWrap w:val="0"/>
            <w:tcMar>
              <w:top w:w="0" w:type="dxa"/>
              <w:left w:w="115" w:type="dxa"/>
              <w:bottom w:w="0" w:type="dxa"/>
              <w:right w:w="11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sz w:val="19"/>
                <w:szCs w:val="19"/>
              </w:rPr>
            </w:pPr>
            <w:r>
              <w:rPr>
                <w:rFonts w:hint="eastAsia" w:ascii="仿宋_GB2312" w:hAnsi="仿宋_GB2312" w:eastAsia="仿宋_GB2312" w:cs="仿宋_GB2312"/>
                <w:color w:val="auto"/>
                <w:sz w:val="19"/>
                <w:szCs w:val="19"/>
                <w:u w:val="single"/>
                <w:lang w:val="en-US" w:eastAsia="zh-CN"/>
              </w:rPr>
              <w:t xml:space="preserve">        </w:t>
            </w:r>
            <w:r>
              <w:rPr>
                <w:rFonts w:hint="eastAsia" w:ascii="仿宋_GB2312" w:hAnsi="仿宋_GB2312" w:eastAsia="仿宋_GB2312" w:cs="仿宋_GB2312"/>
                <w:color w:val="auto"/>
                <w:sz w:val="24"/>
                <w:szCs w:val="24"/>
              </w:rPr>
              <w:t>年</w:t>
            </w:r>
            <w:r>
              <w:rPr>
                <w:rStyle w:val="14"/>
                <w:rFonts w:hint="eastAsia" w:ascii="仿宋_GB2312" w:hAnsi="仿宋_GB2312" w:eastAsia="仿宋_GB2312" w:cs="仿宋_GB2312"/>
                <w:color w:val="auto"/>
                <w:lang w:val="en-US" w:eastAsia="zh-CN" w:bidi="ar"/>
              </w:rPr>
              <w:t xml:space="preserve">    </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rPr>
              <w:t>日起至</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rPr>
              <w:t>年</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rPr>
              <w:t>日止</w:t>
            </w:r>
            <w:r>
              <w:rPr>
                <w:rFonts w:hint="eastAsia" w:ascii="仿宋_GB2312" w:hAnsi="仿宋_GB2312" w:eastAsia="仿宋_GB2312" w:cs="仿宋_GB2312"/>
                <w:color w:val="auto"/>
                <w:sz w:val="24"/>
                <w:szCs w:val="24"/>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trHeight w:val="1203" w:hRule="atLeast"/>
          <w:jc w:val="center"/>
        </w:trPr>
        <w:tc>
          <w:tcPr>
            <w:tcW w:w="1208" w:type="dxa"/>
            <w:vMerge w:val="continue"/>
            <w:tcBorders>
              <w:top w:val="nil"/>
              <w:left w:val="single" w:color="000000" w:sz="6" w:space="0"/>
              <w:bottom w:val="single" w:color="000000" w:sz="6" w:space="0"/>
              <w:right w:val="nil"/>
            </w:tcBorders>
            <w:noWrap w:val="0"/>
            <w:tcMar>
              <w:top w:w="0" w:type="dxa"/>
              <w:left w:w="115" w:type="dxa"/>
              <w:bottom w:w="0" w:type="dxa"/>
              <w:right w:w="0" w:type="dxa"/>
            </w:tcMar>
            <w:vAlign w:val="center"/>
          </w:tcPr>
          <w:p>
            <w:pPr>
              <w:keepNext w:val="0"/>
              <w:keepLines w:val="0"/>
              <w:pageBreakBefore w:val="0"/>
              <w:kinsoku/>
              <w:wordWrap/>
              <w:overflowPunct/>
              <w:topLinePunct w:val="0"/>
              <w:autoSpaceDE/>
              <w:autoSpaceDN/>
              <w:bidi w:val="0"/>
              <w:adjustRightInd/>
              <w:snapToGrid/>
              <w:spacing w:after="0" w:line="560" w:lineRule="exact"/>
              <w:textAlignment w:val="auto"/>
              <w:rPr>
                <w:rFonts w:hint="eastAsia" w:ascii="黑体" w:hAnsi="黑体" w:eastAsia="黑体" w:cs="黑体"/>
                <w:color w:val="auto"/>
                <w:sz w:val="24"/>
                <w:szCs w:val="24"/>
              </w:rPr>
            </w:pPr>
          </w:p>
        </w:tc>
        <w:tc>
          <w:tcPr>
            <w:tcW w:w="2376" w:type="dxa"/>
            <w:gridSpan w:val="2"/>
            <w:tcBorders>
              <w:top w:val="nil"/>
              <w:left w:val="single" w:color="000000" w:sz="6" w:space="0"/>
              <w:bottom w:val="single" w:color="000000" w:sz="6" w:space="0"/>
              <w:right w:val="nil"/>
            </w:tcBorders>
            <w:noWrap w:val="0"/>
            <w:tcMar>
              <w:top w:w="0" w:type="dxa"/>
              <w:left w:w="115"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auto"/>
                <w:sz w:val="19"/>
                <w:szCs w:val="19"/>
              </w:rPr>
            </w:pPr>
            <w:r>
              <w:rPr>
                <w:rFonts w:hint="eastAsia" w:ascii="仿宋_GB2312" w:hAnsi="仿宋_GB2312" w:eastAsia="仿宋_GB2312" w:cs="仿宋_GB2312"/>
                <w:color w:val="auto"/>
                <w:sz w:val="24"/>
                <w:szCs w:val="24"/>
              </w:rPr>
              <w:t>流转土地主要用途</w:t>
            </w:r>
          </w:p>
        </w:tc>
        <w:tc>
          <w:tcPr>
            <w:tcW w:w="6225" w:type="dxa"/>
            <w:gridSpan w:val="5"/>
            <w:tcBorders>
              <w:top w:val="single" w:color="000000" w:sz="6" w:space="0"/>
              <w:left w:val="single" w:color="000000" w:sz="6" w:space="0"/>
              <w:bottom w:val="single" w:color="000000" w:sz="6" w:space="0"/>
              <w:right w:val="single" w:color="000000" w:sz="6" w:space="0"/>
            </w:tcBorders>
            <w:noWrap w:val="0"/>
            <w:tcMar>
              <w:top w:w="0" w:type="dxa"/>
              <w:left w:w="115" w:type="dxa"/>
              <w:bottom w:w="0" w:type="dxa"/>
              <w:right w:w="11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color w:val="auto"/>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trHeight w:val="1692" w:hRule="atLeast"/>
          <w:jc w:val="center"/>
        </w:trPr>
        <w:tc>
          <w:tcPr>
            <w:tcW w:w="1208" w:type="dxa"/>
            <w:vMerge w:val="continue"/>
            <w:tcBorders>
              <w:top w:val="nil"/>
              <w:left w:val="single" w:color="000000" w:sz="6" w:space="0"/>
              <w:bottom w:val="single" w:color="000000" w:sz="6" w:space="0"/>
              <w:right w:val="nil"/>
            </w:tcBorders>
            <w:noWrap w:val="0"/>
            <w:tcMar>
              <w:top w:w="0" w:type="dxa"/>
              <w:left w:w="115" w:type="dxa"/>
              <w:bottom w:w="0" w:type="dxa"/>
              <w:right w:w="0" w:type="dxa"/>
            </w:tcMar>
            <w:vAlign w:val="center"/>
          </w:tcPr>
          <w:p>
            <w:pPr>
              <w:keepNext w:val="0"/>
              <w:keepLines w:val="0"/>
              <w:pageBreakBefore w:val="0"/>
              <w:kinsoku/>
              <w:wordWrap/>
              <w:overflowPunct/>
              <w:topLinePunct w:val="0"/>
              <w:autoSpaceDE/>
              <w:autoSpaceDN/>
              <w:bidi w:val="0"/>
              <w:adjustRightInd/>
              <w:snapToGrid/>
              <w:spacing w:after="0" w:line="560" w:lineRule="exact"/>
              <w:textAlignment w:val="auto"/>
              <w:rPr>
                <w:rFonts w:hint="eastAsia" w:ascii="黑体" w:hAnsi="黑体" w:eastAsia="黑体" w:cs="黑体"/>
                <w:color w:val="auto"/>
                <w:sz w:val="24"/>
                <w:szCs w:val="24"/>
              </w:rPr>
            </w:pPr>
          </w:p>
        </w:tc>
        <w:tc>
          <w:tcPr>
            <w:tcW w:w="2376" w:type="dxa"/>
            <w:gridSpan w:val="2"/>
            <w:tcBorders>
              <w:top w:val="nil"/>
              <w:left w:val="single" w:color="000000" w:sz="6" w:space="0"/>
              <w:bottom w:val="single" w:color="000000" w:sz="6" w:space="0"/>
              <w:right w:val="nil"/>
            </w:tcBorders>
            <w:noWrap w:val="0"/>
            <w:tcMar>
              <w:top w:w="0" w:type="dxa"/>
              <w:left w:w="115"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sz w:val="19"/>
                <w:szCs w:val="19"/>
              </w:rPr>
            </w:pPr>
            <w:r>
              <w:rPr>
                <w:rFonts w:hint="eastAsia" w:ascii="仿宋_GB2312" w:hAnsi="仿宋_GB2312" w:eastAsia="仿宋_GB2312" w:cs="仿宋_GB2312"/>
                <w:color w:val="auto"/>
                <w:sz w:val="24"/>
                <w:szCs w:val="24"/>
              </w:rPr>
              <w:t>流转价格及给付方式</w:t>
            </w:r>
          </w:p>
        </w:tc>
        <w:tc>
          <w:tcPr>
            <w:tcW w:w="6225" w:type="dxa"/>
            <w:gridSpan w:val="5"/>
            <w:tcBorders>
              <w:top w:val="single" w:color="000000" w:sz="6" w:space="0"/>
              <w:left w:val="single" w:color="000000" w:sz="6" w:space="0"/>
              <w:bottom w:val="single" w:color="000000" w:sz="6" w:space="0"/>
              <w:right w:val="single" w:color="000000" w:sz="6" w:space="0"/>
            </w:tcBorders>
            <w:noWrap w:val="0"/>
            <w:tcMar>
              <w:top w:w="0" w:type="dxa"/>
              <w:left w:w="115" w:type="dxa"/>
              <w:bottom w:w="0" w:type="dxa"/>
              <w:right w:w="11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sz w:val="24"/>
                <w:szCs w:val="24"/>
                <w:u w:val="none"/>
                <w:lang w:eastAsia="zh-CN"/>
              </w:rPr>
            </w:pPr>
            <w:r>
              <w:rPr>
                <w:rFonts w:hint="eastAsia" w:ascii="仿宋_GB2312" w:hAnsi="仿宋_GB2312" w:eastAsia="仿宋_GB2312" w:cs="仿宋_GB2312"/>
                <w:color w:val="auto"/>
                <w:sz w:val="24"/>
                <w:szCs w:val="24"/>
              </w:rPr>
              <w:t>最高单价：</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最低单价</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none"/>
                <w:lang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sz w:val="19"/>
                <w:szCs w:val="19"/>
                <w:u w:val="none"/>
                <w:lang w:eastAsia="zh-CN"/>
              </w:rPr>
            </w:pPr>
            <w:r>
              <w:rPr>
                <w:rFonts w:hint="eastAsia" w:ascii="仿宋_GB2312" w:hAnsi="仿宋_GB2312" w:eastAsia="仿宋_GB2312" w:cs="仿宋_GB2312"/>
                <w:color w:val="auto"/>
                <w:sz w:val="24"/>
                <w:szCs w:val="24"/>
              </w:rPr>
              <w:t>给付方式</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trHeight w:val="1060" w:hRule="atLeast"/>
          <w:jc w:val="center"/>
        </w:trPr>
        <w:tc>
          <w:tcPr>
            <w:tcW w:w="1208" w:type="dxa"/>
            <w:vMerge w:val="restart"/>
            <w:tcBorders>
              <w:top w:val="single" w:color="auto" w:sz="4" w:space="0"/>
              <w:left w:val="single" w:color="000000" w:sz="6" w:space="0"/>
              <w:bottom w:val="single" w:color="000000" w:sz="6" w:space="0"/>
              <w:right w:val="nil"/>
            </w:tcBorders>
            <w:noWrap w:val="0"/>
            <w:tcMar>
              <w:top w:w="0" w:type="dxa"/>
              <w:left w:w="115"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黑体" w:hAnsi="黑体" w:eastAsia="黑体" w:cs="黑体"/>
                <w:color w:val="auto"/>
                <w:sz w:val="19"/>
                <w:szCs w:val="19"/>
              </w:rPr>
            </w:pPr>
            <w:r>
              <w:rPr>
                <w:rFonts w:hint="eastAsia" w:ascii="黑体" w:hAnsi="黑体" w:eastAsia="黑体" w:cs="黑体"/>
                <w:color w:val="auto"/>
                <w:sz w:val="24"/>
                <w:szCs w:val="24"/>
              </w:rPr>
              <w:t>主体资信及农业经营能力评价</w:t>
            </w:r>
          </w:p>
        </w:tc>
        <w:tc>
          <w:tcPr>
            <w:tcW w:w="2376" w:type="dxa"/>
            <w:gridSpan w:val="2"/>
            <w:tcBorders>
              <w:top w:val="single" w:color="auto" w:sz="4" w:space="0"/>
              <w:left w:val="single" w:color="000000" w:sz="6" w:space="0"/>
              <w:bottom w:val="single" w:color="000000" w:sz="6" w:space="0"/>
              <w:right w:val="nil"/>
            </w:tcBorders>
            <w:noWrap w:val="0"/>
            <w:tcMar>
              <w:top w:w="0" w:type="dxa"/>
              <w:left w:w="115"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auto"/>
                <w:sz w:val="19"/>
                <w:szCs w:val="19"/>
              </w:rPr>
            </w:pPr>
            <w:r>
              <w:rPr>
                <w:rFonts w:hint="eastAsia" w:ascii="仿宋_GB2312" w:hAnsi="仿宋_GB2312" w:eastAsia="仿宋_GB2312" w:cs="仿宋_GB2312"/>
                <w:color w:val="auto"/>
                <w:sz w:val="24"/>
                <w:szCs w:val="24"/>
              </w:rPr>
              <w:t>已投入资本及拟投入资本情况</w:t>
            </w:r>
          </w:p>
        </w:tc>
        <w:tc>
          <w:tcPr>
            <w:tcW w:w="6225" w:type="dxa"/>
            <w:gridSpan w:val="5"/>
            <w:tcBorders>
              <w:top w:val="single" w:color="auto" w:sz="4" w:space="0"/>
              <w:left w:val="single" w:color="000000" w:sz="6" w:space="0"/>
              <w:bottom w:val="single" w:color="000000" w:sz="6" w:space="0"/>
              <w:right w:val="single" w:color="000000" w:sz="6" w:space="0"/>
            </w:tcBorders>
            <w:noWrap w:val="0"/>
            <w:tcMar>
              <w:top w:w="0" w:type="dxa"/>
              <w:left w:w="115" w:type="dxa"/>
              <w:bottom w:w="0" w:type="dxa"/>
              <w:right w:w="11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color w:val="auto"/>
                <w:sz w:val="19"/>
                <w:szCs w:val="19"/>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trHeight w:val="841" w:hRule="atLeast"/>
          <w:jc w:val="center"/>
        </w:trPr>
        <w:tc>
          <w:tcPr>
            <w:tcW w:w="1208" w:type="dxa"/>
            <w:vMerge w:val="continue"/>
            <w:tcBorders>
              <w:top w:val="nil"/>
              <w:left w:val="single" w:color="000000" w:sz="6" w:space="0"/>
              <w:bottom w:val="single" w:color="000000" w:sz="6" w:space="0"/>
              <w:right w:val="nil"/>
            </w:tcBorders>
            <w:noWrap w:val="0"/>
            <w:tcMar>
              <w:top w:w="0" w:type="dxa"/>
              <w:left w:w="115" w:type="dxa"/>
              <w:bottom w:w="0" w:type="dxa"/>
              <w:right w:w="0" w:type="dxa"/>
            </w:tcMar>
            <w:vAlign w:val="center"/>
          </w:tcPr>
          <w:p>
            <w:pPr>
              <w:keepNext w:val="0"/>
              <w:keepLines w:val="0"/>
              <w:pageBreakBefore w:val="0"/>
              <w:kinsoku/>
              <w:wordWrap/>
              <w:overflowPunct/>
              <w:topLinePunct w:val="0"/>
              <w:autoSpaceDE/>
              <w:autoSpaceDN/>
              <w:bidi w:val="0"/>
              <w:adjustRightInd/>
              <w:snapToGrid/>
              <w:spacing w:after="0" w:line="560" w:lineRule="exact"/>
              <w:textAlignment w:val="auto"/>
              <w:rPr>
                <w:rFonts w:hint="eastAsia" w:ascii="黑体" w:hAnsi="黑体" w:eastAsia="黑体" w:cs="黑体"/>
                <w:color w:val="auto"/>
                <w:sz w:val="24"/>
                <w:szCs w:val="24"/>
              </w:rPr>
            </w:pPr>
          </w:p>
        </w:tc>
        <w:tc>
          <w:tcPr>
            <w:tcW w:w="2376" w:type="dxa"/>
            <w:gridSpan w:val="2"/>
            <w:tcBorders>
              <w:top w:val="nil"/>
              <w:left w:val="single" w:color="000000" w:sz="6" w:space="0"/>
              <w:bottom w:val="single" w:color="000000" w:sz="6" w:space="0"/>
              <w:right w:val="nil"/>
            </w:tcBorders>
            <w:noWrap w:val="0"/>
            <w:tcMar>
              <w:top w:w="0" w:type="dxa"/>
              <w:left w:w="115"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auto"/>
                <w:sz w:val="19"/>
                <w:szCs w:val="19"/>
              </w:rPr>
            </w:pPr>
            <w:r>
              <w:rPr>
                <w:rFonts w:hint="eastAsia" w:ascii="仿宋_GB2312" w:hAnsi="仿宋_GB2312" w:eastAsia="仿宋_GB2312" w:cs="仿宋_GB2312"/>
                <w:color w:val="auto"/>
                <w:sz w:val="24"/>
                <w:szCs w:val="24"/>
              </w:rPr>
              <w:t>农业经营能力情况</w:t>
            </w:r>
          </w:p>
        </w:tc>
        <w:tc>
          <w:tcPr>
            <w:tcW w:w="6225" w:type="dxa"/>
            <w:gridSpan w:val="5"/>
            <w:tcBorders>
              <w:top w:val="single" w:color="000000" w:sz="6" w:space="0"/>
              <w:left w:val="single" w:color="000000" w:sz="6" w:space="0"/>
              <w:bottom w:val="single" w:color="000000" w:sz="6" w:space="0"/>
              <w:right w:val="single" w:color="000000" w:sz="6" w:space="0"/>
            </w:tcBorders>
            <w:noWrap w:val="0"/>
            <w:tcMar>
              <w:top w:w="0" w:type="dxa"/>
              <w:left w:w="115" w:type="dxa"/>
              <w:bottom w:w="0" w:type="dxa"/>
              <w:right w:w="11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color w:val="auto"/>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trHeight w:val="850" w:hRule="atLeast"/>
          <w:jc w:val="center"/>
        </w:trPr>
        <w:tc>
          <w:tcPr>
            <w:tcW w:w="1208" w:type="dxa"/>
            <w:vMerge w:val="continue"/>
            <w:tcBorders>
              <w:top w:val="nil"/>
              <w:left w:val="single" w:color="000000" w:sz="6" w:space="0"/>
              <w:bottom w:val="single" w:color="auto" w:sz="4" w:space="0"/>
              <w:right w:val="nil"/>
            </w:tcBorders>
            <w:noWrap w:val="0"/>
            <w:tcMar>
              <w:top w:w="0" w:type="dxa"/>
              <w:left w:w="115" w:type="dxa"/>
              <w:bottom w:w="0" w:type="dxa"/>
              <w:right w:w="0" w:type="dxa"/>
            </w:tcMar>
            <w:vAlign w:val="center"/>
          </w:tcPr>
          <w:p>
            <w:pPr>
              <w:keepNext w:val="0"/>
              <w:keepLines w:val="0"/>
              <w:pageBreakBefore w:val="0"/>
              <w:kinsoku/>
              <w:wordWrap/>
              <w:overflowPunct/>
              <w:topLinePunct w:val="0"/>
              <w:autoSpaceDE/>
              <w:autoSpaceDN/>
              <w:bidi w:val="0"/>
              <w:adjustRightInd/>
              <w:snapToGrid/>
              <w:spacing w:after="0" w:line="560" w:lineRule="exact"/>
              <w:textAlignment w:val="auto"/>
              <w:rPr>
                <w:rFonts w:hint="eastAsia" w:ascii="黑体" w:hAnsi="黑体" w:eastAsia="黑体" w:cs="黑体"/>
                <w:color w:val="auto"/>
                <w:sz w:val="24"/>
                <w:szCs w:val="24"/>
              </w:rPr>
            </w:pPr>
          </w:p>
        </w:tc>
        <w:tc>
          <w:tcPr>
            <w:tcW w:w="2376" w:type="dxa"/>
            <w:gridSpan w:val="2"/>
            <w:tcBorders>
              <w:top w:val="nil"/>
              <w:left w:val="single" w:color="000000" w:sz="6" w:space="0"/>
              <w:bottom w:val="single" w:color="auto" w:sz="4" w:space="0"/>
              <w:right w:val="nil"/>
            </w:tcBorders>
            <w:noWrap w:val="0"/>
            <w:tcMar>
              <w:top w:w="0" w:type="dxa"/>
              <w:left w:w="115"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auto"/>
                <w:sz w:val="19"/>
                <w:szCs w:val="19"/>
              </w:rPr>
            </w:pPr>
            <w:r>
              <w:rPr>
                <w:rFonts w:hint="eastAsia" w:ascii="仿宋_GB2312" w:hAnsi="仿宋_GB2312" w:eastAsia="仿宋_GB2312" w:cs="仿宋_GB2312"/>
                <w:color w:val="auto"/>
                <w:sz w:val="24"/>
                <w:szCs w:val="24"/>
              </w:rPr>
              <w:t>商业信誉情况</w:t>
            </w:r>
          </w:p>
        </w:tc>
        <w:tc>
          <w:tcPr>
            <w:tcW w:w="6225" w:type="dxa"/>
            <w:gridSpan w:val="5"/>
            <w:tcBorders>
              <w:top w:val="single" w:color="000000" w:sz="6" w:space="0"/>
              <w:left w:val="single" w:color="000000" w:sz="6" w:space="0"/>
              <w:bottom w:val="single" w:color="auto" w:sz="4" w:space="0"/>
              <w:right w:val="single" w:color="000000" w:sz="6" w:space="0"/>
            </w:tcBorders>
            <w:noWrap w:val="0"/>
            <w:tcMar>
              <w:top w:w="0" w:type="dxa"/>
              <w:left w:w="115" w:type="dxa"/>
              <w:bottom w:w="0" w:type="dxa"/>
              <w:right w:w="11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color w:val="auto"/>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trHeight w:val="1782" w:hRule="atLeast"/>
          <w:jc w:val="center"/>
        </w:trPr>
        <w:tc>
          <w:tcPr>
            <w:tcW w:w="1208" w:type="dxa"/>
            <w:vMerge w:val="restart"/>
            <w:tcBorders>
              <w:top w:val="single" w:color="auto" w:sz="4" w:space="0"/>
              <w:left w:val="single" w:color="000000" w:sz="6" w:space="0"/>
              <w:bottom w:val="single" w:color="000000" w:sz="6" w:space="0"/>
              <w:right w:val="nil"/>
            </w:tcBorders>
            <w:noWrap w:val="0"/>
            <w:tcMar>
              <w:top w:w="0" w:type="dxa"/>
              <w:left w:w="115"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黑体" w:hAnsi="黑体" w:eastAsia="黑体" w:cs="黑体"/>
                <w:color w:val="auto"/>
                <w:sz w:val="19"/>
                <w:szCs w:val="19"/>
              </w:rPr>
            </w:pPr>
            <w:r>
              <w:rPr>
                <w:rFonts w:hint="eastAsia" w:ascii="黑体" w:hAnsi="黑体" w:eastAsia="黑体" w:cs="黑体"/>
                <w:color w:val="auto"/>
                <w:sz w:val="24"/>
                <w:szCs w:val="24"/>
              </w:rPr>
              <w:t>经营项目内容评价</w:t>
            </w:r>
          </w:p>
        </w:tc>
        <w:tc>
          <w:tcPr>
            <w:tcW w:w="2376" w:type="dxa"/>
            <w:gridSpan w:val="2"/>
            <w:tcBorders>
              <w:top w:val="single" w:color="auto" w:sz="4" w:space="0"/>
              <w:left w:val="single" w:color="000000" w:sz="6" w:space="0"/>
              <w:bottom w:val="single" w:color="000000" w:sz="6" w:space="0"/>
              <w:right w:val="nil"/>
            </w:tcBorders>
            <w:noWrap w:val="0"/>
            <w:tcMar>
              <w:top w:w="0" w:type="dxa"/>
              <w:left w:w="115"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auto"/>
                <w:sz w:val="19"/>
                <w:szCs w:val="19"/>
              </w:rPr>
            </w:pPr>
            <w:r>
              <w:rPr>
                <w:rFonts w:hint="eastAsia" w:ascii="仿宋_GB2312" w:hAnsi="仿宋_GB2312" w:eastAsia="仿宋_GB2312" w:cs="仿宋_GB2312"/>
                <w:color w:val="auto"/>
                <w:spacing w:val="-11"/>
                <w:sz w:val="24"/>
                <w:szCs w:val="24"/>
              </w:rPr>
              <w:t>是否符合当地产业布局和现代农业发展规划</w:t>
            </w:r>
          </w:p>
        </w:tc>
        <w:tc>
          <w:tcPr>
            <w:tcW w:w="6225" w:type="dxa"/>
            <w:gridSpan w:val="5"/>
            <w:tcBorders>
              <w:top w:val="single" w:color="auto" w:sz="4" w:space="0"/>
              <w:left w:val="single" w:color="000000" w:sz="6" w:space="0"/>
              <w:bottom w:val="single" w:color="000000" w:sz="6" w:space="0"/>
              <w:right w:val="single" w:color="000000" w:sz="6" w:space="0"/>
            </w:tcBorders>
            <w:noWrap w:val="0"/>
            <w:tcMar>
              <w:top w:w="0" w:type="dxa"/>
              <w:left w:w="115" w:type="dxa"/>
              <w:bottom w:w="0" w:type="dxa"/>
              <w:right w:w="11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color w:val="auto"/>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trHeight w:val="1261" w:hRule="atLeast"/>
          <w:jc w:val="center"/>
        </w:trPr>
        <w:tc>
          <w:tcPr>
            <w:tcW w:w="1208" w:type="dxa"/>
            <w:vMerge w:val="continue"/>
            <w:tcBorders>
              <w:top w:val="nil"/>
              <w:left w:val="single" w:color="000000" w:sz="6" w:space="0"/>
              <w:bottom w:val="single" w:color="000000" w:sz="6" w:space="0"/>
              <w:right w:val="nil"/>
            </w:tcBorders>
            <w:noWrap w:val="0"/>
            <w:tcMar>
              <w:top w:w="0" w:type="dxa"/>
              <w:left w:w="115" w:type="dxa"/>
              <w:bottom w:w="0" w:type="dxa"/>
              <w:right w:w="0" w:type="dxa"/>
            </w:tcMar>
            <w:vAlign w:val="center"/>
          </w:tcPr>
          <w:p>
            <w:pPr>
              <w:keepNext w:val="0"/>
              <w:keepLines w:val="0"/>
              <w:pageBreakBefore w:val="0"/>
              <w:kinsoku/>
              <w:wordWrap/>
              <w:overflowPunct/>
              <w:topLinePunct w:val="0"/>
              <w:autoSpaceDE/>
              <w:autoSpaceDN/>
              <w:bidi w:val="0"/>
              <w:adjustRightInd/>
              <w:snapToGrid/>
              <w:spacing w:after="0" w:line="560" w:lineRule="exact"/>
              <w:textAlignment w:val="auto"/>
              <w:rPr>
                <w:rFonts w:hint="eastAsia" w:ascii="黑体" w:hAnsi="黑体" w:eastAsia="黑体" w:cs="黑体"/>
                <w:color w:val="auto"/>
                <w:sz w:val="24"/>
                <w:szCs w:val="24"/>
              </w:rPr>
            </w:pPr>
          </w:p>
        </w:tc>
        <w:tc>
          <w:tcPr>
            <w:tcW w:w="2376" w:type="dxa"/>
            <w:gridSpan w:val="2"/>
            <w:tcBorders>
              <w:top w:val="nil"/>
              <w:left w:val="single" w:color="000000" w:sz="6" w:space="0"/>
              <w:bottom w:val="nil"/>
              <w:right w:val="nil"/>
            </w:tcBorders>
            <w:noWrap w:val="0"/>
            <w:tcMar>
              <w:top w:w="0" w:type="dxa"/>
              <w:left w:w="115"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auto"/>
                <w:sz w:val="19"/>
                <w:szCs w:val="19"/>
              </w:rPr>
            </w:pPr>
            <w:r>
              <w:rPr>
                <w:rFonts w:hint="eastAsia" w:ascii="仿宋_GB2312" w:hAnsi="仿宋_GB2312" w:eastAsia="仿宋_GB2312" w:cs="仿宋_GB2312"/>
                <w:color w:val="auto"/>
                <w:sz w:val="24"/>
                <w:szCs w:val="24"/>
              </w:rPr>
              <w:t>是否符合土地用途</w:t>
            </w:r>
          </w:p>
        </w:tc>
        <w:tc>
          <w:tcPr>
            <w:tcW w:w="6225" w:type="dxa"/>
            <w:gridSpan w:val="5"/>
            <w:tcBorders>
              <w:top w:val="single" w:color="000000" w:sz="6" w:space="0"/>
              <w:left w:val="single" w:color="000000" w:sz="6" w:space="0"/>
              <w:bottom w:val="nil"/>
              <w:right w:val="single" w:color="000000" w:sz="6" w:space="0"/>
            </w:tcBorders>
            <w:noWrap w:val="0"/>
            <w:tcMar>
              <w:top w:w="0" w:type="dxa"/>
              <w:left w:w="115" w:type="dxa"/>
              <w:bottom w:w="0" w:type="dxa"/>
              <w:right w:w="11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color w:val="auto"/>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trHeight w:val="850" w:hRule="atLeast"/>
          <w:jc w:val="center"/>
        </w:trPr>
        <w:tc>
          <w:tcPr>
            <w:tcW w:w="1208" w:type="dxa"/>
            <w:tcBorders>
              <w:top w:val="nil"/>
              <w:left w:val="single" w:color="000000" w:sz="6" w:space="0"/>
              <w:bottom w:val="single" w:color="000000" w:sz="6" w:space="0"/>
              <w:right w:val="nil"/>
            </w:tcBorders>
            <w:noWrap w:val="0"/>
            <w:tcMar>
              <w:top w:w="0" w:type="dxa"/>
              <w:left w:w="115"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黑体" w:hAnsi="黑体" w:eastAsia="黑体" w:cs="黑体"/>
                <w:color w:val="auto"/>
                <w:sz w:val="19"/>
                <w:szCs w:val="19"/>
              </w:rPr>
            </w:pPr>
            <w:r>
              <w:rPr>
                <w:rFonts w:hint="eastAsia" w:ascii="黑体" w:hAnsi="黑体" w:eastAsia="黑体" w:cs="黑体"/>
                <w:color w:val="auto"/>
                <w:sz w:val="24"/>
                <w:szCs w:val="24"/>
              </w:rPr>
              <w:t>流转风险防范情况评价</w:t>
            </w:r>
          </w:p>
        </w:tc>
        <w:tc>
          <w:tcPr>
            <w:tcW w:w="2376" w:type="dxa"/>
            <w:gridSpan w:val="2"/>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auto"/>
                <w:sz w:val="19"/>
                <w:szCs w:val="19"/>
              </w:rPr>
            </w:pPr>
            <w:r>
              <w:rPr>
                <w:rFonts w:hint="eastAsia" w:ascii="仿宋_GB2312" w:hAnsi="仿宋_GB2312" w:eastAsia="仿宋_GB2312" w:cs="仿宋_GB2312"/>
                <w:color w:val="auto"/>
                <w:sz w:val="24"/>
                <w:szCs w:val="24"/>
              </w:rPr>
              <w:t>风险防范方式</w:t>
            </w:r>
          </w:p>
        </w:tc>
        <w:tc>
          <w:tcPr>
            <w:tcW w:w="2760" w:type="dxa"/>
            <w:gridSpan w:val="2"/>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sz w:val="19"/>
                <w:szCs w:val="19"/>
              </w:rPr>
            </w:pPr>
          </w:p>
        </w:tc>
        <w:tc>
          <w:tcPr>
            <w:tcW w:w="1465"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auto"/>
                <w:sz w:val="19"/>
                <w:szCs w:val="19"/>
              </w:rPr>
            </w:pPr>
            <w:r>
              <w:rPr>
                <w:rFonts w:hint="eastAsia" w:ascii="仿宋_GB2312" w:hAnsi="仿宋_GB2312" w:eastAsia="仿宋_GB2312" w:cs="仿宋_GB2312"/>
                <w:color w:val="auto"/>
                <w:sz w:val="24"/>
                <w:szCs w:val="24"/>
              </w:rPr>
              <w:t>缴纳风险保障金（元）</w:t>
            </w:r>
          </w:p>
        </w:tc>
        <w:tc>
          <w:tcPr>
            <w:tcW w:w="2000" w:type="dxa"/>
            <w:gridSpan w:val="2"/>
            <w:tcBorders>
              <w:top w:val="single" w:color="000000" w:sz="6" w:space="0"/>
              <w:left w:val="single" w:color="000000" w:sz="6" w:space="0"/>
              <w:bottom w:val="single" w:color="000000" w:sz="6" w:space="0"/>
              <w:right w:val="single" w:color="000000" w:sz="6" w:space="0"/>
            </w:tcBorders>
            <w:noWrap w:val="0"/>
            <w:tcMar>
              <w:top w:w="0" w:type="dxa"/>
              <w:left w:w="115" w:type="dxa"/>
              <w:bottom w:w="0" w:type="dxa"/>
              <w:right w:w="11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trHeight w:val="1881" w:hRule="atLeast"/>
          <w:jc w:val="center"/>
        </w:trPr>
        <w:tc>
          <w:tcPr>
            <w:tcW w:w="1208" w:type="dxa"/>
            <w:tcBorders>
              <w:top w:val="nil"/>
              <w:left w:val="single" w:color="000000" w:sz="6" w:space="0"/>
              <w:bottom w:val="single" w:color="auto" w:sz="4" w:space="0"/>
              <w:right w:val="single" w:color="auto" w:sz="4" w:space="0"/>
            </w:tcBorders>
            <w:noWrap w:val="0"/>
            <w:tcMar>
              <w:top w:w="0" w:type="dxa"/>
              <w:left w:w="115"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黑体" w:hAnsi="黑体" w:eastAsia="黑体" w:cs="黑体"/>
                <w:color w:val="auto"/>
                <w:sz w:val="24"/>
                <w:szCs w:val="24"/>
              </w:rPr>
            </w:pPr>
            <w:r>
              <w:rPr>
                <w:rFonts w:hint="eastAsia" w:ascii="黑体" w:hAnsi="黑体" w:eastAsia="黑体" w:cs="黑体"/>
                <w:color w:val="auto"/>
                <w:sz w:val="24"/>
                <w:szCs w:val="24"/>
                <w:lang w:val="en-US" w:eastAsia="zh-CN"/>
              </w:rPr>
              <w:t>村级审查审核小组签字</w:t>
            </w:r>
          </w:p>
        </w:tc>
        <w:tc>
          <w:tcPr>
            <w:tcW w:w="8601" w:type="dxa"/>
            <w:gridSpan w:val="7"/>
            <w:tcBorders>
              <w:top w:val="single" w:color="000000" w:sz="6" w:space="0"/>
              <w:left w:val="single" w:color="auto" w:sz="4" w:space="0"/>
              <w:bottom w:val="single" w:color="auto" w:sz="4" w:space="0"/>
              <w:right w:val="single" w:color="000000" w:sz="6" w:space="0"/>
            </w:tcBorders>
            <w:noWrap w:val="0"/>
            <w:tcMar>
              <w:top w:w="0" w:type="dxa"/>
              <w:left w:w="115" w:type="dxa"/>
              <w:bottom w:w="0" w:type="dxa"/>
              <w:right w:w="11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trHeight w:val="2988" w:hRule="atLeast"/>
          <w:jc w:val="center"/>
        </w:trPr>
        <w:tc>
          <w:tcPr>
            <w:tcW w:w="1208" w:type="dxa"/>
            <w:tcBorders>
              <w:top w:val="single" w:color="auto" w:sz="4" w:space="0"/>
              <w:left w:val="single" w:color="000000" w:sz="6" w:space="0"/>
              <w:bottom w:val="single" w:color="auto" w:sz="4" w:space="0"/>
              <w:right w:val="single" w:color="auto" w:sz="4" w:space="0"/>
            </w:tcBorders>
            <w:noWrap w:val="0"/>
            <w:tcMar>
              <w:top w:w="0" w:type="dxa"/>
              <w:left w:w="115"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乡（镇）政府意见</w:t>
            </w:r>
          </w:p>
        </w:tc>
        <w:tc>
          <w:tcPr>
            <w:tcW w:w="8601" w:type="dxa"/>
            <w:gridSpan w:val="7"/>
            <w:tcBorders>
              <w:top w:val="single" w:color="auto" w:sz="4" w:space="0"/>
              <w:left w:val="single" w:color="auto" w:sz="4" w:space="0"/>
              <w:bottom w:val="single" w:color="auto" w:sz="4" w:space="0"/>
              <w:right w:val="single" w:color="000000" w:sz="6" w:space="0"/>
            </w:tcBorders>
            <w:noWrap w:val="0"/>
            <w:tcMar>
              <w:top w:w="0" w:type="dxa"/>
              <w:left w:w="115"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sz w:val="24"/>
                <w:szCs w:val="24"/>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3360" w:firstLineChars="1400"/>
              <w:jc w:val="left"/>
              <w:textAlignment w:val="auto"/>
              <w:rPr>
                <w:rFonts w:hint="eastAsia" w:ascii="仿宋_GB2312" w:hAnsi="仿宋_GB2312" w:eastAsia="仿宋_GB2312" w:cs="仿宋_GB2312"/>
                <w:color w:val="auto"/>
                <w:sz w:val="24"/>
                <w:szCs w:val="24"/>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3360" w:firstLineChars="1400"/>
              <w:jc w:val="left"/>
              <w:textAlignment w:val="auto"/>
              <w:rPr>
                <w:rFonts w:hint="eastAsia" w:ascii="仿宋_GB2312" w:hAnsi="仿宋_GB2312" w:eastAsia="仿宋_GB2312" w:cs="仿宋_GB2312"/>
                <w:color w:val="auto"/>
                <w:sz w:val="24"/>
                <w:szCs w:val="24"/>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2400" w:firstLineChars="10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负责人签字：</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（公章）</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年</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trHeight w:val="3936" w:hRule="atLeast"/>
          <w:jc w:val="center"/>
        </w:trPr>
        <w:tc>
          <w:tcPr>
            <w:tcW w:w="1208" w:type="dxa"/>
            <w:tcBorders>
              <w:top w:val="single" w:color="auto" w:sz="4" w:space="0"/>
              <w:left w:val="single" w:color="000000" w:sz="6" w:space="0"/>
              <w:bottom w:val="single" w:color="auto" w:sz="4" w:space="0"/>
              <w:right w:val="single" w:color="auto" w:sz="4" w:space="0"/>
            </w:tcBorders>
            <w:noWrap w:val="0"/>
            <w:tcMar>
              <w:top w:w="0" w:type="dxa"/>
              <w:left w:w="115"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县级农业农村主管部门（农经局）意见</w:t>
            </w:r>
          </w:p>
        </w:tc>
        <w:tc>
          <w:tcPr>
            <w:tcW w:w="8601" w:type="dxa"/>
            <w:gridSpan w:val="7"/>
            <w:tcBorders>
              <w:top w:val="single" w:color="auto" w:sz="4" w:space="0"/>
              <w:left w:val="single" w:color="auto" w:sz="4" w:space="0"/>
              <w:bottom w:val="single" w:color="auto" w:sz="4" w:space="0"/>
              <w:right w:val="single" w:color="000000" w:sz="6" w:space="0"/>
            </w:tcBorders>
            <w:noWrap w:val="0"/>
            <w:tcMar>
              <w:top w:w="0" w:type="dxa"/>
              <w:left w:w="115"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宋体" w:cs="Times New Roman"/>
                <w:color w:val="auto"/>
                <w:sz w:val="24"/>
                <w:szCs w:val="24"/>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sz w:val="24"/>
                <w:szCs w:val="24"/>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sz w:val="24"/>
                <w:szCs w:val="24"/>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2400" w:firstLineChars="1000"/>
              <w:jc w:val="left"/>
              <w:textAlignment w:val="auto"/>
              <w:rPr>
                <w:rFonts w:hint="default" w:ascii="Times New Roman" w:hAnsi="Times New Roman" w:eastAsia="宋体" w:cs="Times New Roman"/>
                <w:color w:val="auto"/>
                <w:sz w:val="24"/>
                <w:szCs w:val="24"/>
              </w:rPr>
            </w:pPr>
            <w:r>
              <w:rPr>
                <w:rFonts w:hint="eastAsia" w:ascii="仿宋_GB2312" w:hAnsi="仿宋_GB2312" w:eastAsia="仿宋_GB2312" w:cs="仿宋_GB2312"/>
                <w:color w:val="auto"/>
                <w:sz w:val="24"/>
                <w:szCs w:val="24"/>
              </w:rPr>
              <w:t>负责人签字：</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（公章）</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年</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日</w:t>
            </w:r>
          </w:p>
        </w:tc>
      </w:tr>
    </w:tbl>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right="0" w:rightChars="0"/>
        <w:jc w:val="left"/>
        <w:rPr>
          <w:rFonts w:hint="eastAsia" w:ascii="仿宋_GB2312" w:hAnsi="仿宋_GB2312" w:eastAsia="仿宋_GB2312" w:cs="仿宋_GB2312"/>
          <w:i w:val="0"/>
          <w:caps w:val="0"/>
          <w:color w:val="333333"/>
          <w:spacing w:val="0"/>
          <w:sz w:val="24"/>
          <w:szCs w:val="24"/>
          <w:shd w:val="clear" w:fill="FFFFFF"/>
          <w:lang w:val="en-US" w:eastAsia="zh-CN"/>
        </w:rPr>
      </w:pPr>
    </w:p>
    <w:p>
      <w:pPr>
        <w:keepNext w:val="0"/>
        <w:keepLines w:val="0"/>
        <w:pageBreakBefore w:val="0"/>
        <w:kinsoku/>
        <w:wordWrap/>
        <w:overflowPunct/>
        <w:topLinePunct w:val="0"/>
        <w:autoSpaceDE/>
        <w:autoSpaceDN/>
        <w:bidi w:val="0"/>
        <w:spacing w:line="560" w:lineRule="exact"/>
        <w:jc w:val="both"/>
        <w:rPr>
          <w:rFonts w:hint="default" w:ascii="黑体" w:hAnsi="黑体" w:eastAsia="黑体" w:cs="黑体"/>
          <w:color w:val="auto"/>
          <w:sz w:val="28"/>
          <w:szCs w:val="28"/>
          <w:lang w:val="en-US" w:eastAsia="zh-CN"/>
        </w:rPr>
      </w:pPr>
    </w:p>
    <w:p>
      <w:pPr>
        <w:keepNext w:val="0"/>
        <w:keepLines w:val="0"/>
        <w:pageBreakBefore w:val="0"/>
        <w:kinsoku/>
        <w:wordWrap/>
        <w:overflowPunct/>
        <w:topLinePunct w:val="0"/>
        <w:autoSpaceDE/>
        <w:autoSpaceDN/>
        <w:bidi w:val="0"/>
        <w:spacing w:line="560" w:lineRule="exact"/>
        <w:jc w:val="both"/>
        <w:rPr>
          <w:rFonts w:hint="default" w:ascii="黑体" w:hAnsi="黑体" w:eastAsia="黑体" w:cs="黑体"/>
          <w:color w:val="auto"/>
          <w:sz w:val="28"/>
          <w:szCs w:val="28"/>
          <w:lang w:val="en-US" w:eastAsia="zh-CN"/>
        </w:rPr>
      </w:pPr>
    </w:p>
    <w:p>
      <w:pPr>
        <w:keepNext w:val="0"/>
        <w:keepLines w:val="0"/>
        <w:pageBreakBefore w:val="0"/>
        <w:kinsoku/>
        <w:wordWrap/>
        <w:overflowPunct/>
        <w:topLinePunct w:val="0"/>
        <w:autoSpaceDE/>
        <w:autoSpaceDN/>
        <w:bidi w:val="0"/>
        <w:spacing w:line="560" w:lineRule="exact"/>
        <w:jc w:val="both"/>
        <w:rPr>
          <w:rFonts w:hint="default" w:ascii="黑体" w:hAnsi="黑体" w:eastAsia="黑体" w:cs="黑体"/>
          <w:color w:val="auto"/>
          <w:sz w:val="28"/>
          <w:szCs w:val="28"/>
          <w:lang w:val="en-US" w:eastAsia="zh-CN"/>
        </w:rPr>
      </w:pPr>
    </w:p>
    <w:p>
      <w:pPr>
        <w:keepNext w:val="0"/>
        <w:keepLines w:val="0"/>
        <w:pageBreakBefore w:val="0"/>
        <w:kinsoku/>
        <w:wordWrap/>
        <w:overflowPunct/>
        <w:topLinePunct w:val="0"/>
        <w:autoSpaceDE/>
        <w:autoSpaceDN/>
        <w:bidi w:val="0"/>
        <w:spacing w:line="560" w:lineRule="exact"/>
        <w:jc w:val="both"/>
        <w:rPr>
          <w:rFonts w:hint="default" w:ascii="黑体" w:hAnsi="黑体" w:eastAsia="黑体" w:cs="黑体"/>
          <w:color w:val="auto"/>
          <w:sz w:val="28"/>
          <w:szCs w:val="28"/>
          <w:lang w:val="en-US" w:eastAsia="zh-CN"/>
        </w:rPr>
      </w:pPr>
    </w:p>
    <w:p>
      <w:pPr>
        <w:keepNext w:val="0"/>
        <w:keepLines w:val="0"/>
        <w:pageBreakBefore w:val="0"/>
        <w:kinsoku/>
        <w:wordWrap/>
        <w:overflowPunct/>
        <w:topLinePunct w:val="0"/>
        <w:autoSpaceDE/>
        <w:autoSpaceDN/>
        <w:bidi w:val="0"/>
        <w:spacing w:line="560" w:lineRule="exact"/>
        <w:jc w:val="both"/>
        <w:rPr>
          <w:rFonts w:hint="default" w:ascii="黑体" w:hAnsi="黑体" w:eastAsia="黑体" w:cs="黑体"/>
          <w:color w:val="auto"/>
          <w:sz w:val="28"/>
          <w:szCs w:val="28"/>
          <w:lang w:val="en-US" w:eastAsia="zh-CN"/>
        </w:rPr>
      </w:pPr>
    </w:p>
    <w:p>
      <w:pPr>
        <w:keepNext w:val="0"/>
        <w:keepLines w:val="0"/>
        <w:pageBreakBefore w:val="0"/>
        <w:kinsoku/>
        <w:wordWrap/>
        <w:overflowPunct/>
        <w:topLinePunct w:val="0"/>
        <w:autoSpaceDE/>
        <w:autoSpaceDN/>
        <w:bidi w:val="0"/>
        <w:spacing w:line="560" w:lineRule="exact"/>
        <w:jc w:val="both"/>
        <w:rPr>
          <w:rFonts w:hint="default" w:ascii="黑体" w:hAnsi="黑体" w:eastAsia="黑体" w:cs="黑体"/>
          <w:color w:val="auto"/>
          <w:sz w:val="28"/>
          <w:szCs w:val="28"/>
          <w:lang w:val="en-US" w:eastAsia="zh-CN"/>
        </w:rPr>
      </w:pPr>
    </w:p>
    <w:p>
      <w:pPr>
        <w:keepNext w:val="0"/>
        <w:keepLines w:val="0"/>
        <w:pageBreakBefore w:val="0"/>
        <w:kinsoku/>
        <w:wordWrap/>
        <w:overflowPunct/>
        <w:topLinePunct w:val="0"/>
        <w:autoSpaceDE/>
        <w:autoSpaceDN/>
        <w:bidi w:val="0"/>
        <w:spacing w:line="560" w:lineRule="exact"/>
        <w:jc w:val="both"/>
        <w:rPr>
          <w:rFonts w:hint="default" w:ascii="黑体" w:hAnsi="黑体" w:eastAsia="黑体" w:cs="黑体"/>
          <w:color w:val="auto"/>
          <w:sz w:val="28"/>
          <w:szCs w:val="28"/>
          <w:lang w:val="en-US" w:eastAsia="zh-CN"/>
        </w:rPr>
      </w:pPr>
    </w:p>
    <w:p>
      <w:pPr>
        <w:keepNext w:val="0"/>
        <w:keepLines w:val="0"/>
        <w:pageBreakBefore w:val="0"/>
        <w:kinsoku/>
        <w:wordWrap/>
        <w:overflowPunct/>
        <w:topLinePunct w:val="0"/>
        <w:autoSpaceDE/>
        <w:autoSpaceDN/>
        <w:bidi w:val="0"/>
        <w:spacing w:line="560" w:lineRule="exact"/>
        <w:jc w:val="both"/>
        <w:rPr>
          <w:rFonts w:hint="default" w:ascii="黑体" w:hAnsi="黑体" w:eastAsia="黑体" w:cs="黑体"/>
          <w:color w:val="auto"/>
          <w:sz w:val="28"/>
          <w:szCs w:val="28"/>
          <w:lang w:val="en-US" w:eastAsia="zh-CN"/>
        </w:rPr>
      </w:pPr>
    </w:p>
    <w:p>
      <w:pPr>
        <w:keepNext w:val="0"/>
        <w:keepLines w:val="0"/>
        <w:pageBreakBefore w:val="0"/>
        <w:kinsoku/>
        <w:wordWrap/>
        <w:overflowPunct/>
        <w:topLinePunct w:val="0"/>
        <w:autoSpaceDE/>
        <w:autoSpaceDN/>
        <w:bidi w:val="0"/>
        <w:spacing w:line="560" w:lineRule="exact"/>
        <w:jc w:val="both"/>
        <w:rPr>
          <w:rFonts w:hint="default" w:ascii="黑体" w:hAnsi="黑体" w:eastAsia="黑体" w:cs="黑体"/>
          <w:color w:val="auto"/>
          <w:sz w:val="28"/>
          <w:szCs w:val="28"/>
          <w:lang w:val="en-US" w:eastAsia="zh-CN"/>
        </w:rPr>
      </w:pPr>
    </w:p>
    <w:p>
      <w:pPr>
        <w:keepNext w:val="0"/>
        <w:keepLines w:val="0"/>
        <w:pageBreakBefore w:val="0"/>
        <w:kinsoku/>
        <w:wordWrap/>
        <w:overflowPunct/>
        <w:topLinePunct w:val="0"/>
        <w:autoSpaceDE/>
        <w:autoSpaceDN/>
        <w:bidi w:val="0"/>
        <w:spacing w:line="560" w:lineRule="exact"/>
        <w:jc w:val="both"/>
        <w:rPr>
          <w:rFonts w:hint="default" w:ascii="黑体" w:hAnsi="黑体" w:eastAsia="黑体" w:cs="黑体"/>
          <w:color w:val="auto"/>
          <w:sz w:val="28"/>
          <w:szCs w:val="28"/>
          <w:lang w:val="en-US" w:eastAsia="zh-CN"/>
        </w:rPr>
      </w:pPr>
    </w:p>
    <w:p>
      <w:pPr>
        <w:keepNext w:val="0"/>
        <w:keepLines w:val="0"/>
        <w:pageBreakBefore w:val="0"/>
        <w:kinsoku/>
        <w:wordWrap/>
        <w:overflowPunct/>
        <w:topLinePunct w:val="0"/>
        <w:autoSpaceDE/>
        <w:autoSpaceDN/>
        <w:bidi w:val="0"/>
        <w:spacing w:line="560" w:lineRule="exact"/>
        <w:jc w:val="both"/>
        <w:rPr>
          <w:rFonts w:hint="default" w:ascii="黑体" w:hAnsi="黑体" w:eastAsia="黑体" w:cs="黑体"/>
          <w:color w:val="auto"/>
          <w:sz w:val="28"/>
          <w:szCs w:val="28"/>
          <w:lang w:val="en-US" w:eastAsia="zh-CN"/>
        </w:rPr>
      </w:pPr>
    </w:p>
    <w:p>
      <w:pPr>
        <w:keepNext w:val="0"/>
        <w:keepLines w:val="0"/>
        <w:pageBreakBefore w:val="0"/>
        <w:kinsoku/>
        <w:wordWrap/>
        <w:overflowPunct/>
        <w:topLinePunct w:val="0"/>
        <w:autoSpaceDE/>
        <w:autoSpaceDN/>
        <w:bidi w:val="0"/>
        <w:spacing w:line="560" w:lineRule="exact"/>
        <w:jc w:val="both"/>
        <w:rPr>
          <w:rFonts w:hint="eastAsia" w:ascii="Times New Roman" w:hAnsi="Times New Roman" w:eastAsia="方正小标宋简体" w:cs="Times New Roman"/>
          <w:color w:val="auto"/>
          <w:sz w:val="44"/>
          <w:szCs w:val="44"/>
          <w:lang w:eastAsia="zh-CN"/>
        </w:rPr>
      </w:pPr>
      <w:r>
        <w:rPr>
          <w:rFonts w:hint="default" w:ascii="黑体" w:hAnsi="黑体" w:eastAsia="黑体" w:cs="黑体"/>
          <w:color w:val="auto"/>
          <w:sz w:val="28"/>
          <w:szCs w:val="28"/>
          <w:lang w:val="en-US" w:eastAsia="zh-CN"/>
        </w:rPr>
        <w:t>附件</w:t>
      </w:r>
      <w:r>
        <w:rPr>
          <w:rFonts w:hint="eastAsia" w:ascii="黑体" w:hAnsi="黑体" w:eastAsia="黑体" w:cs="黑体"/>
          <w:color w:val="auto"/>
          <w:sz w:val="28"/>
          <w:szCs w:val="28"/>
          <w:lang w:val="en-US" w:eastAsia="zh-CN"/>
        </w:rPr>
        <w:t>5</w:t>
      </w:r>
    </w:p>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方正小标宋简体" w:cs="Times New Roman"/>
          <w:color w:val="auto"/>
          <w:sz w:val="44"/>
          <w:szCs w:val="44"/>
          <w:lang w:val="en-US" w:eastAsia="zh-CN"/>
        </w:rPr>
      </w:pPr>
      <w:r>
        <w:rPr>
          <w:rFonts w:hint="eastAsia" w:ascii="Times New Roman" w:hAnsi="Times New Roman" w:eastAsia="方正小标宋简体" w:cs="Times New Roman"/>
          <w:color w:val="auto"/>
          <w:sz w:val="44"/>
          <w:szCs w:val="44"/>
          <w:lang w:eastAsia="zh-CN"/>
        </w:rPr>
        <w:t>玛纳斯县</w:t>
      </w:r>
      <w:r>
        <w:rPr>
          <w:rFonts w:hint="default" w:ascii="Times New Roman" w:hAnsi="Times New Roman" w:eastAsia="方正小标宋简体" w:cs="Times New Roman"/>
          <w:color w:val="auto"/>
          <w:sz w:val="44"/>
          <w:szCs w:val="44"/>
        </w:rPr>
        <w:t>工商资本租赁农地</w:t>
      </w:r>
      <w:r>
        <w:rPr>
          <w:rFonts w:hint="default" w:ascii="Times New Roman" w:hAnsi="Times New Roman" w:eastAsia="方正小标宋简体" w:cs="Times New Roman"/>
          <w:color w:val="auto"/>
          <w:sz w:val="44"/>
          <w:szCs w:val="44"/>
          <w:lang w:val="en-US" w:eastAsia="zh-CN"/>
        </w:rPr>
        <w:t>备案表</w:t>
      </w:r>
    </w:p>
    <w:p>
      <w:pPr>
        <w:keepNext w:val="0"/>
        <w:keepLines w:val="0"/>
        <w:pageBreakBefore w:val="0"/>
        <w:kinsoku/>
        <w:wordWrap/>
        <w:overflowPunct/>
        <w:topLinePunct w:val="0"/>
        <w:autoSpaceDE/>
        <w:autoSpaceDN/>
        <w:bidi w:val="0"/>
        <w:spacing w:line="560" w:lineRule="exact"/>
        <w:ind w:firstLine="3360" w:firstLineChars="1200"/>
        <w:jc w:val="left"/>
        <w:rPr>
          <w:rFonts w:hint="default" w:ascii="Times New Roman" w:hAnsi="Times New Roman" w:eastAsia="方正小标宋简体" w:cs="Times New Roman"/>
          <w:color w:val="auto"/>
          <w:sz w:val="28"/>
          <w:szCs w:val="28"/>
          <w:lang w:val="en-US" w:eastAsia="zh-CN"/>
        </w:rPr>
      </w:pPr>
      <w:r>
        <w:rPr>
          <w:rFonts w:hint="eastAsia" w:ascii="Times New Roman" w:hAnsi="Times New Roman" w:eastAsia="方正小标宋简体" w:cs="Times New Roman"/>
          <w:color w:val="auto"/>
          <w:sz w:val="28"/>
          <w:szCs w:val="28"/>
          <w:lang w:val="en-US" w:eastAsia="zh-CN"/>
        </w:rPr>
        <w:t>备案编号：</w:t>
      </w:r>
    </w:p>
    <w:tbl>
      <w:tblPr>
        <w:tblStyle w:val="9"/>
        <w:tblW w:w="98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5" w:type="dxa"/>
          <w:left w:w="105" w:type="dxa"/>
          <w:bottom w:w="105" w:type="dxa"/>
          <w:right w:w="105" w:type="dxa"/>
        </w:tblCellMar>
      </w:tblPr>
      <w:tblGrid>
        <w:gridCol w:w="1142"/>
        <w:gridCol w:w="1239"/>
        <w:gridCol w:w="1019"/>
        <w:gridCol w:w="1126"/>
        <w:gridCol w:w="1634"/>
        <w:gridCol w:w="1478"/>
        <w:gridCol w:w="22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trHeight w:val="754" w:hRule="atLeast"/>
          <w:jc w:val="center"/>
        </w:trPr>
        <w:tc>
          <w:tcPr>
            <w:tcW w:w="1142" w:type="dxa"/>
            <w:vMerge w:val="restart"/>
            <w:tcBorders>
              <w:top w:val="single" w:color="auto" w:sz="4" w:space="0"/>
              <w:left w:val="single" w:color="000000" w:sz="6" w:space="0"/>
              <w:bottom w:val="single" w:color="000000" w:sz="6" w:space="0"/>
              <w:right w:val="nil"/>
            </w:tcBorders>
            <w:noWrap w:val="0"/>
            <w:tcMar>
              <w:top w:w="0" w:type="dxa"/>
              <w:left w:w="115"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黑体" w:hAnsi="黑体" w:eastAsia="黑体" w:cs="黑体"/>
                <w:color w:val="auto"/>
                <w:sz w:val="19"/>
                <w:szCs w:val="19"/>
              </w:rPr>
            </w:pPr>
            <w:r>
              <w:rPr>
                <w:rFonts w:hint="eastAsia" w:ascii="黑体" w:hAnsi="黑体" w:eastAsia="黑体" w:cs="黑体"/>
                <w:color w:val="auto"/>
                <w:sz w:val="24"/>
                <w:szCs w:val="24"/>
              </w:rPr>
              <w:t>工商资本基本情况</w:t>
            </w:r>
          </w:p>
        </w:tc>
        <w:tc>
          <w:tcPr>
            <w:tcW w:w="1239" w:type="dxa"/>
            <w:tcBorders>
              <w:top w:val="single" w:color="auto" w:sz="4" w:space="0"/>
              <w:left w:val="single" w:color="000000" w:sz="6" w:space="0"/>
              <w:bottom w:val="single" w:color="000000" w:sz="6" w:space="0"/>
              <w:right w:val="single" w:color="auto" w:sz="4" w:space="0"/>
            </w:tcBorders>
            <w:noWrap w:val="0"/>
            <w:tcMar>
              <w:top w:w="0" w:type="dxa"/>
              <w:left w:w="115"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auto"/>
                <w:sz w:val="19"/>
                <w:szCs w:val="19"/>
              </w:rPr>
            </w:pPr>
            <w:r>
              <w:rPr>
                <w:rFonts w:hint="eastAsia" w:ascii="仿宋_GB2312" w:hAnsi="仿宋_GB2312" w:eastAsia="仿宋_GB2312" w:cs="仿宋_GB2312"/>
                <w:color w:val="auto"/>
                <w:sz w:val="24"/>
                <w:szCs w:val="24"/>
              </w:rPr>
              <w:t>公司（或业主）名称</w:t>
            </w:r>
          </w:p>
        </w:tc>
        <w:tc>
          <w:tcPr>
            <w:tcW w:w="3779" w:type="dxa"/>
            <w:gridSpan w:val="3"/>
            <w:tcBorders>
              <w:top w:val="single" w:color="auto" w:sz="4" w:space="0"/>
              <w:left w:val="single" w:color="auto" w:sz="4" w:space="0"/>
              <w:bottom w:val="single" w:color="000000" w:sz="6" w:space="0"/>
              <w:right w:val="nil"/>
            </w:tcBorders>
            <w:noWrap w:val="0"/>
            <w:tcMar>
              <w:top w:w="0" w:type="dxa"/>
              <w:left w:w="115"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sz w:val="24"/>
                <w:szCs w:val="24"/>
              </w:rPr>
            </w:pPr>
          </w:p>
        </w:tc>
        <w:tc>
          <w:tcPr>
            <w:tcW w:w="1478" w:type="dxa"/>
            <w:tcBorders>
              <w:top w:val="single" w:color="auto" w:sz="4" w:space="0"/>
              <w:left w:val="single" w:color="000000" w:sz="6" w:space="0"/>
              <w:bottom w:val="single" w:color="000000" w:sz="6" w:space="0"/>
              <w:right w:val="single" w:color="auto" w:sz="4" w:space="0"/>
            </w:tcBorders>
            <w:noWrap w:val="0"/>
            <w:tcMar>
              <w:top w:w="0" w:type="dxa"/>
              <w:left w:w="115"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auto"/>
                <w:sz w:val="19"/>
                <w:szCs w:val="19"/>
              </w:rPr>
            </w:pPr>
            <w:r>
              <w:rPr>
                <w:rFonts w:hint="eastAsia" w:ascii="仿宋_GB2312" w:hAnsi="仿宋_GB2312" w:eastAsia="仿宋_GB2312" w:cs="仿宋_GB2312"/>
                <w:color w:val="auto"/>
                <w:sz w:val="24"/>
                <w:szCs w:val="24"/>
              </w:rPr>
              <w:t>法定代表人</w:t>
            </w:r>
          </w:p>
        </w:tc>
        <w:tc>
          <w:tcPr>
            <w:tcW w:w="2220" w:type="dxa"/>
            <w:tcBorders>
              <w:top w:val="single" w:color="auto" w:sz="4" w:space="0"/>
              <w:left w:val="single" w:color="auto" w:sz="4" w:space="0"/>
              <w:bottom w:val="single" w:color="000000" w:sz="6" w:space="0"/>
              <w:right w:val="single" w:color="000000" w:sz="6" w:space="0"/>
            </w:tcBorders>
            <w:noWrap w:val="0"/>
            <w:tcMar>
              <w:top w:w="0" w:type="dxa"/>
              <w:left w:w="115"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trHeight w:val="680" w:hRule="atLeast"/>
          <w:jc w:val="center"/>
        </w:trPr>
        <w:tc>
          <w:tcPr>
            <w:tcW w:w="1142" w:type="dxa"/>
            <w:vMerge w:val="continue"/>
            <w:tcBorders>
              <w:top w:val="nil"/>
              <w:left w:val="single" w:color="000000" w:sz="6" w:space="0"/>
              <w:bottom w:val="single" w:color="000000" w:sz="6" w:space="0"/>
              <w:right w:val="nil"/>
            </w:tcBorders>
            <w:noWrap w:val="0"/>
            <w:tcMar>
              <w:top w:w="0" w:type="dxa"/>
              <w:left w:w="115" w:type="dxa"/>
              <w:bottom w:w="0" w:type="dxa"/>
              <w:right w:w="0" w:type="dxa"/>
            </w:tcMar>
            <w:vAlign w:val="center"/>
          </w:tcPr>
          <w:p>
            <w:pPr>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黑体" w:hAnsi="黑体" w:eastAsia="黑体" w:cs="黑体"/>
                <w:color w:val="auto"/>
                <w:sz w:val="24"/>
                <w:szCs w:val="24"/>
              </w:rPr>
            </w:pPr>
          </w:p>
        </w:tc>
        <w:tc>
          <w:tcPr>
            <w:tcW w:w="1239" w:type="dxa"/>
            <w:tcBorders>
              <w:top w:val="nil"/>
              <w:left w:val="single" w:color="000000" w:sz="6" w:space="0"/>
              <w:bottom w:val="single" w:color="000000" w:sz="6" w:space="0"/>
              <w:right w:val="single" w:color="auto" w:sz="4" w:space="0"/>
            </w:tcBorders>
            <w:noWrap w:val="0"/>
            <w:tcMar>
              <w:top w:w="0" w:type="dxa"/>
              <w:left w:w="115"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auto"/>
                <w:sz w:val="19"/>
                <w:szCs w:val="19"/>
                <w:lang w:val="en-US" w:eastAsia="zh-CN"/>
              </w:rPr>
            </w:pPr>
            <w:r>
              <w:rPr>
                <w:rFonts w:hint="eastAsia" w:ascii="仿宋_GB2312" w:hAnsi="仿宋_GB2312" w:eastAsia="仿宋_GB2312" w:cs="仿宋_GB2312"/>
                <w:color w:val="auto"/>
                <w:sz w:val="24"/>
                <w:szCs w:val="24"/>
                <w:lang w:val="en-US" w:eastAsia="zh-CN"/>
              </w:rPr>
              <w:t>通讯地址</w:t>
            </w:r>
          </w:p>
        </w:tc>
        <w:tc>
          <w:tcPr>
            <w:tcW w:w="3779" w:type="dxa"/>
            <w:gridSpan w:val="3"/>
            <w:tcBorders>
              <w:top w:val="nil"/>
              <w:left w:val="single" w:color="auto" w:sz="4" w:space="0"/>
              <w:bottom w:val="single" w:color="auto" w:sz="4" w:space="0"/>
              <w:right w:val="nil"/>
            </w:tcBorders>
            <w:noWrap w:val="0"/>
            <w:tcMar>
              <w:top w:w="0" w:type="dxa"/>
              <w:left w:w="115"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sz w:val="24"/>
                <w:szCs w:val="24"/>
              </w:rPr>
            </w:pPr>
          </w:p>
        </w:tc>
        <w:tc>
          <w:tcPr>
            <w:tcW w:w="1478" w:type="dxa"/>
            <w:tcBorders>
              <w:top w:val="nil"/>
              <w:left w:val="single" w:color="000000" w:sz="6" w:space="0"/>
              <w:bottom w:val="single" w:color="000000" w:sz="6" w:space="0"/>
              <w:right w:val="single" w:color="auto" w:sz="4" w:space="0"/>
            </w:tcBorders>
            <w:noWrap w:val="0"/>
            <w:tcMar>
              <w:top w:w="0" w:type="dxa"/>
              <w:left w:w="115"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auto"/>
                <w:sz w:val="19"/>
                <w:szCs w:val="19"/>
              </w:rPr>
            </w:pPr>
            <w:r>
              <w:rPr>
                <w:rFonts w:hint="eastAsia" w:ascii="仿宋_GB2312" w:hAnsi="仿宋_GB2312" w:eastAsia="仿宋_GB2312" w:cs="仿宋_GB2312"/>
                <w:color w:val="auto"/>
                <w:sz w:val="24"/>
                <w:szCs w:val="24"/>
              </w:rPr>
              <w:t>联系电话</w:t>
            </w:r>
          </w:p>
        </w:tc>
        <w:tc>
          <w:tcPr>
            <w:tcW w:w="2220" w:type="dxa"/>
            <w:tcBorders>
              <w:top w:val="nil"/>
              <w:left w:val="single" w:color="auto" w:sz="4" w:space="0"/>
              <w:bottom w:val="single" w:color="000000" w:sz="6" w:space="0"/>
              <w:right w:val="single" w:color="000000" w:sz="6" w:space="0"/>
            </w:tcBorders>
            <w:noWrap w:val="0"/>
            <w:tcMar>
              <w:top w:w="0" w:type="dxa"/>
              <w:left w:w="115"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trHeight w:val="800" w:hRule="atLeast"/>
          <w:jc w:val="center"/>
        </w:trPr>
        <w:tc>
          <w:tcPr>
            <w:tcW w:w="1142" w:type="dxa"/>
            <w:vMerge w:val="restart"/>
            <w:tcBorders>
              <w:top w:val="nil"/>
              <w:left w:val="single" w:color="000000" w:sz="6" w:space="0"/>
              <w:right w:val="nil"/>
            </w:tcBorders>
            <w:noWrap w:val="0"/>
            <w:tcMar>
              <w:top w:w="0" w:type="dxa"/>
              <w:left w:w="115"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黑体" w:hAnsi="黑体" w:eastAsia="黑体" w:cs="黑体"/>
                <w:color w:val="auto"/>
                <w:sz w:val="19"/>
                <w:szCs w:val="19"/>
                <w:lang w:val="en-US" w:eastAsia="zh-CN"/>
              </w:rPr>
            </w:pPr>
            <w:r>
              <w:rPr>
                <w:rFonts w:hint="eastAsia" w:ascii="黑体" w:hAnsi="黑体" w:eastAsia="黑体" w:cs="黑体"/>
                <w:color w:val="auto"/>
                <w:sz w:val="24"/>
                <w:szCs w:val="24"/>
              </w:rPr>
              <w:t>租赁农地项目规划情况</w:t>
            </w:r>
          </w:p>
        </w:tc>
        <w:tc>
          <w:tcPr>
            <w:tcW w:w="1239" w:type="dxa"/>
            <w:tcBorders>
              <w:top w:val="nil"/>
              <w:left w:val="single" w:color="000000" w:sz="6" w:space="0"/>
              <w:bottom w:val="single" w:color="000000" w:sz="6" w:space="0"/>
              <w:right w:val="single" w:color="auto" w:sz="4" w:space="0"/>
            </w:tcBorders>
            <w:noWrap w:val="0"/>
            <w:tcMar>
              <w:top w:w="0" w:type="dxa"/>
              <w:left w:w="115"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auto"/>
                <w:sz w:val="19"/>
                <w:szCs w:val="19"/>
              </w:rPr>
            </w:pPr>
            <w:r>
              <w:rPr>
                <w:rFonts w:hint="eastAsia" w:ascii="仿宋_GB2312" w:hAnsi="仿宋_GB2312" w:eastAsia="仿宋_GB2312" w:cs="仿宋_GB2312"/>
                <w:color w:val="auto"/>
                <w:sz w:val="24"/>
                <w:szCs w:val="24"/>
              </w:rPr>
              <w:t>项目地址</w:t>
            </w:r>
          </w:p>
        </w:tc>
        <w:tc>
          <w:tcPr>
            <w:tcW w:w="7477" w:type="dxa"/>
            <w:gridSpan w:val="5"/>
            <w:tcBorders>
              <w:top w:val="nil"/>
              <w:left w:val="single" w:color="auto" w:sz="4" w:space="0"/>
              <w:bottom w:val="single" w:color="000000" w:sz="6" w:space="0"/>
              <w:right w:val="single" w:color="000000" w:sz="6" w:space="0"/>
            </w:tcBorders>
            <w:noWrap w:val="0"/>
            <w:tcMar>
              <w:top w:w="0" w:type="dxa"/>
              <w:left w:w="115"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trHeight w:val="890" w:hRule="atLeast"/>
          <w:jc w:val="center"/>
        </w:trPr>
        <w:tc>
          <w:tcPr>
            <w:tcW w:w="1142" w:type="dxa"/>
            <w:vMerge w:val="continue"/>
            <w:tcBorders>
              <w:left w:val="single" w:color="000000" w:sz="6" w:space="0"/>
              <w:bottom w:val="single" w:color="000000" w:sz="6" w:space="0"/>
              <w:right w:val="nil"/>
            </w:tcBorders>
            <w:noWrap w:val="0"/>
            <w:tcMar>
              <w:top w:w="0" w:type="dxa"/>
              <w:left w:w="115"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黑体" w:hAnsi="黑体" w:eastAsia="黑体" w:cs="黑体"/>
                <w:color w:val="auto"/>
                <w:sz w:val="24"/>
                <w:szCs w:val="24"/>
              </w:rPr>
            </w:pPr>
          </w:p>
        </w:tc>
        <w:tc>
          <w:tcPr>
            <w:tcW w:w="1239" w:type="dxa"/>
            <w:tcBorders>
              <w:top w:val="nil"/>
              <w:left w:val="single" w:color="000000" w:sz="6" w:space="0"/>
              <w:bottom w:val="single" w:color="000000" w:sz="6" w:space="0"/>
              <w:right w:val="single" w:color="auto" w:sz="4" w:space="0"/>
            </w:tcBorders>
            <w:noWrap w:val="0"/>
            <w:tcMar>
              <w:top w:w="0" w:type="dxa"/>
              <w:left w:w="115"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规划面积</w:t>
            </w:r>
          </w:p>
        </w:tc>
        <w:tc>
          <w:tcPr>
            <w:tcW w:w="2145" w:type="dxa"/>
            <w:gridSpan w:val="2"/>
            <w:tcBorders>
              <w:top w:val="nil"/>
              <w:left w:val="single" w:color="auto" w:sz="4" w:space="0"/>
              <w:bottom w:val="single" w:color="000000" w:sz="6" w:space="0"/>
              <w:right w:val="single" w:color="auto" w:sz="4" w:space="0"/>
            </w:tcBorders>
            <w:noWrap w:val="0"/>
            <w:tcMar>
              <w:top w:w="0" w:type="dxa"/>
              <w:left w:w="115"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sz w:val="24"/>
                <w:szCs w:val="24"/>
                <w:lang w:val="en-US" w:eastAsia="zh-CN"/>
              </w:rPr>
            </w:pPr>
          </w:p>
        </w:tc>
        <w:tc>
          <w:tcPr>
            <w:tcW w:w="1634" w:type="dxa"/>
            <w:tcBorders>
              <w:top w:val="nil"/>
              <w:left w:val="single" w:color="auto" w:sz="4" w:space="0"/>
              <w:bottom w:val="single" w:color="000000" w:sz="6" w:space="0"/>
              <w:right w:val="single" w:color="auto" w:sz="4" w:space="0"/>
            </w:tcBorders>
            <w:noWrap w:val="0"/>
            <w:tcMar>
              <w:top w:w="0" w:type="dxa"/>
              <w:left w:w="115"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主要经营品种</w:t>
            </w:r>
          </w:p>
        </w:tc>
        <w:tc>
          <w:tcPr>
            <w:tcW w:w="3698" w:type="dxa"/>
            <w:gridSpan w:val="2"/>
            <w:tcBorders>
              <w:top w:val="nil"/>
              <w:left w:val="single" w:color="auto" w:sz="4" w:space="0"/>
              <w:bottom w:val="single" w:color="000000" w:sz="6" w:space="0"/>
              <w:right w:val="single" w:color="000000" w:sz="6" w:space="0"/>
            </w:tcBorders>
            <w:noWrap w:val="0"/>
            <w:tcMar>
              <w:top w:w="0" w:type="dxa"/>
              <w:left w:w="115"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trHeight w:val="949" w:hRule="atLeast"/>
          <w:jc w:val="center"/>
        </w:trPr>
        <w:tc>
          <w:tcPr>
            <w:tcW w:w="1142" w:type="dxa"/>
            <w:vMerge w:val="restart"/>
            <w:tcBorders>
              <w:top w:val="nil"/>
              <w:left w:val="single" w:color="000000" w:sz="6" w:space="0"/>
              <w:bottom w:val="single" w:color="000000" w:sz="6" w:space="0"/>
              <w:right w:val="nil"/>
            </w:tcBorders>
            <w:noWrap w:val="0"/>
            <w:tcMar>
              <w:top w:w="0" w:type="dxa"/>
              <w:left w:w="115"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黑体" w:hAnsi="黑体" w:eastAsia="黑体" w:cs="黑体"/>
                <w:color w:val="auto"/>
                <w:sz w:val="19"/>
                <w:szCs w:val="19"/>
              </w:rPr>
            </w:pPr>
            <w:r>
              <w:rPr>
                <w:rFonts w:hint="eastAsia" w:ascii="黑体" w:hAnsi="黑体" w:eastAsia="黑体" w:cs="黑体"/>
                <w:color w:val="auto"/>
                <w:sz w:val="24"/>
                <w:szCs w:val="24"/>
              </w:rPr>
              <w:t>土地流转</w:t>
            </w:r>
            <w:r>
              <w:rPr>
                <w:rFonts w:hint="eastAsia" w:ascii="黑体" w:hAnsi="黑体" w:eastAsia="黑体" w:cs="黑体"/>
                <w:color w:val="auto"/>
                <w:sz w:val="24"/>
                <w:szCs w:val="24"/>
                <w:lang w:val="en-US" w:eastAsia="zh-CN"/>
              </w:rPr>
              <w:t xml:space="preserve"> 合同</w:t>
            </w:r>
            <w:r>
              <w:rPr>
                <w:rFonts w:hint="eastAsia" w:ascii="黑体" w:hAnsi="黑体" w:eastAsia="黑体" w:cs="黑体"/>
                <w:color w:val="auto"/>
                <w:sz w:val="24"/>
                <w:szCs w:val="24"/>
              </w:rPr>
              <w:t>情况</w:t>
            </w:r>
          </w:p>
        </w:tc>
        <w:tc>
          <w:tcPr>
            <w:tcW w:w="2258" w:type="dxa"/>
            <w:gridSpan w:val="2"/>
            <w:vMerge w:val="restart"/>
            <w:tcBorders>
              <w:top w:val="nil"/>
              <w:left w:val="single" w:color="000000" w:sz="6" w:space="0"/>
              <w:bottom w:val="single" w:color="000000" w:sz="6" w:space="0"/>
              <w:right w:val="nil"/>
            </w:tcBorders>
            <w:noWrap w:val="0"/>
            <w:tcMar>
              <w:top w:w="0" w:type="dxa"/>
              <w:left w:w="115"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auto"/>
                <w:sz w:val="19"/>
                <w:szCs w:val="19"/>
              </w:rPr>
            </w:pPr>
            <w:r>
              <w:rPr>
                <w:rFonts w:hint="eastAsia" w:ascii="仿宋_GB2312" w:hAnsi="仿宋_GB2312" w:eastAsia="仿宋_GB2312" w:cs="仿宋_GB2312"/>
                <w:color w:val="auto"/>
                <w:sz w:val="24"/>
                <w:szCs w:val="24"/>
              </w:rPr>
              <w:t>流转土地面积</w:t>
            </w:r>
          </w:p>
        </w:tc>
        <w:tc>
          <w:tcPr>
            <w:tcW w:w="6458" w:type="dxa"/>
            <w:gridSpan w:val="4"/>
            <w:tcBorders>
              <w:top w:val="single" w:color="000000" w:sz="6" w:space="0"/>
              <w:left w:val="single" w:color="000000" w:sz="6" w:space="0"/>
              <w:bottom w:val="single" w:color="000000" w:sz="6" w:space="0"/>
              <w:right w:val="single" w:color="000000" w:sz="6" w:space="0"/>
            </w:tcBorders>
            <w:noWrap w:val="0"/>
            <w:tcMar>
              <w:top w:w="0" w:type="dxa"/>
              <w:left w:w="115" w:type="dxa"/>
              <w:bottom w:w="0" w:type="dxa"/>
              <w:right w:w="11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sz w:val="19"/>
                <w:szCs w:val="19"/>
                <w:lang w:val="en-US" w:eastAsia="zh-CN"/>
              </w:rPr>
            </w:pPr>
            <w:r>
              <w:rPr>
                <w:rFonts w:hint="eastAsia" w:ascii="仿宋_GB2312" w:hAnsi="仿宋_GB2312" w:eastAsia="仿宋_GB2312" w:cs="仿宋_GB2312"/>
                <w:color w:val="auto"/>
                <w:sz w:val="24"/>
                <w:szCs w:val="24"/>
              </w:rPr>
              <w:t>总面积：</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rPr>
              <w:t>亩</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其中耕地</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lang w:val="en-US" w:eastAsia="zh-CN"/>
              </w:rPr>
              <w:t>亩，基本农田</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lang w:val="en-US" w:eastAsia="zh-CN"/>
              </w:rPr>
              <w:t>亩。耕地质量等级为</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trHeight w:val="874" w:hRule="atLeast"/>
          <w:jc w:val="center"/>
        </w:trPr>
        <w:tc>
          <w:tcPr>
            <w:tcW w:w="1142" w:type="dxa"/>
            <w:vMerge w:val="continue"/>
            <w:tcBorders>
              <w:top w:val="nil"/>
              <w:left w:val="single" w:color="000000" w:sz="6" w:space="0"/>
              <w:bottom w:val="single" w:color="000000" w:sz="6" w:space="0"/>
              <w:right w:val="nil"/>
            </w:tcBorders>
            <w:noWrap w:val="0"/>
            <w:tcMar>
              <w:top w:w="0" w:type="dxa"/>
              <w:left w:w="115" w:type="dxa"/>
              <w:bottom w:w="0" w:type="dxa"/>
              <w:right w:w="0" w:type="dxa"/>
            </w:tcMar>
            <w:vAlign w:val="center"/>
          </w:tcPr>
          <w:p>
            <w:pPr>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黑体" w:hAnsi="黑体" w:eastAsia="黑体" w:cs="黑体"/>
                <w:color w:val="auto"/>
                <w:sz w:val="24"/>
                <w:szCs w:val="24"/>
              </w:rPr>
            </w:pPr>
          </w:p>
        </w:tc>
        <w:tc>
          <w:tcPr>
            <w:tcW w:w="2258" w:type="dxa"/>
            <w:gridSpan w:val="2"/>
            <w:vMerge w:val="continue"/>
            <w:tcBorders>
              <w:top w:val="nil"/>
              <w:left w:val="single" w:color="000000" w:sz="6" w:space="0"/>
              <w:bottom w:val="single" w:color="000000" w:sz="6" w:space="0"/>
              <w:right w:val="nil"/>
            </w:tcBorders>
            <w:noWrap w:val="0"/>
            <w:tcMar>
              <w:top w:w="0" w:type="dxa"/>
              <w:left w:w="115" w:type="dxa"/>
              <w:bottom w:w="0" w:type="dxa"/>
              <w:right w:w="0" w:type="dxa"/>
            </w:tcMar>
            <w:vAlign w:val="center"/>
          </w:tcPr>
          <w:p>
            <w:pPr>
              <w:keepNext w:val="0"/>
              <w:keepLines w:val="0"/>
              <w:pageBreakBefore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color w:val="auto"/>
                <w:sz w:val="24"/>
                <w:szCs w:val="24"/>
              </w:rPr>
            </w:pPr>
          </w:p>
        </w:tc>
        <w:tc>
          <w:tcPr>
            <w:tcW w:w="6458" w:type="dxa"/>
            <w:gridSpan w:val="4"/>
            <w:tcBorders>
              <w:top w:val="single" w:color="000000" w:sz="6" w:space="0"/>
              <w:left w:val="single" w:color="000000" w:sz="6" w:space="0"/>
              <w:bottom w:val="single" w:color="000000" w:sz="6" w:space="0"/>
              <w:right w:val="single" w:color="000000" w:sz="6" w:space="0"/>
            </w:tcBorders>
            <w:noWrap w:val="0"/>
            <w:tcMar>
              <w:top w:w="0" w:type="dxa"/>
              <w:left w:w="115" w:type="dxa"/>
              <w:bottom w:w="0" w:type="dxa"/>
              <w:right w:w="11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sz w:val="19"/>
                <w:szCs w:val="19"/>
              </w:rPr>
            </w:pPr>
            <w:r>
              <w:rPr>
                <w:rFonts w:hint="eastAsia" w:ascii="仿宋_GB2312" w:hAnsi="仿宋_GB2312" w:eastAsia="仿宋_GB2312" w:cs="仿宋_GB2312"/>
                <w:color w:val="auto"/>
                <w:sz w:val="24"/>
                <w:szCs w:val="24"/>
              </w:rPr>
              <w:t>1.流转集体经济组织土地：</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rPr>
              <w:t>亩</w:t>
            </w:r>
            <w:r>
              <w:rPr>
                <w:rFonts w:hint="eastAsia" w:ascii="仿宋_GB2312" w:hAnsi="仿宋_GB2312" w:eastAsia="仿宋_GB2312" w:cs="仿宋_GB2312"/>
                <w:color w:val="auto"/>
                <w:sz w:val="24"/>
                <w:szCs w:val="24"/>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trHeight w:val="814" w:hRule="atLeast"/>
          <w:jc w:val="center"/>
        </w:trPr>
        <w:tc>
          <w:tcPr>
            <w:tcW w:w="1142" w:type="dxa"/>
            <w:vMerge w:val="continue"/>
            <w:tcBorders>
              <w:top w:val="nil"/>
              <w:left w:val="single" w:color="000000" w:sz="6" w:space="0"/>
              <w:bottom w:val="single" w:color="000000" w:sz="6" w:space="0"/>
              <w:right w:val="nil"/>
            </w:tcBorders>
            <w:noWrap w:val="0"/>
            <w:tcMar>
              <w:top w:w="0" w:type="dxa"/>
              <w:left w:w="115" w:type="dxa"/>
              <w:bottom w:w="0" w:type="dxa"/>
              <w:right w:w="0" w:type="dxa"/>
            </w:tcMar>
            <w:vAlign w:val="center"/>
          </w:tcPr>
          <w:p>
            <w:pPr>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黑体" w:hAnsi="黑体" w:eastAsia="黑体" w:cs="黑体"/>
                <w:color w:val="auto"/>
                <w:sz w:val="24"/>
                <w:szCs w:val="24"/>
              </w:rPr>
            </w:pPr>
          </w:p>
        </w:tc>
        <w:tc>
          <w:tcPr>
            <w:tcW w:w="2258" w:type="dxa"/>
            <w:gridSpan w:val="2"/>
            <w:vMerge w:val="continue"/>
            <w:tcBorders>
              <w:top w:val="nil"/>
              <w:left w:val="single" w:color="000000" w:sz="6" w:space="0"/>
              <w:bottom w:val="single" w:color="000000" w:sz="6" w:space="0"/>
              <w:right w:val="nil"/>
            </w:tcBorders>
            <w:noWrap w:val="0"/>
            <w:tcMar>
              <w:top w:w="0" w:type="dxa"/>
              <w:left w:w="115" w:type="dxa"/>
              <w:bottom w:w="0" w:type="dxa"/>
              <w:right w:w="0" w:type="dxa"/>
            </w:tcMar>
            <w:vAlign w:val="center"/>
          </w:tcPr>
          <w:p>
            <w:pPr>
              <w:keepNext w:val="0"/>
              <w:keepLines w:val="0"/>
              <w:pageBreakBefore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color w:val="auto"/>
                <w:sz w:val="24"/>
                <w:szCs w:val="24"/>
              </w:rPr>
            </w:pPr>
          </w:p>
        </w:tc>
        <w:tc>
          <w:tcPr>
            <w:tcW w:w="6458" w:type="dxa"/>
            <w:gridSpan w:val="4"/>
            <w:tcBorders>
              <w:top w:val="single" w:color="000000" w:sz="6" w:space="0"/>
              <w:left w:val="single" w:color="000000" w:sz="6" w:space="0"/>
              <w:bottom w:val="single" w:color="000000" w:sz="6" w:space="0"/>
              <w:right w:val="single" w:color="000000" w:sz="6" w:space="0"/>
            </w:tcBorders>
            <w:noWrap w:val="0"/>
            <w:tcMar>
              <w:top w:w="0" w:type="dxa"/>
              <w:left w:w="115" w:type="dxa"/>
              <w:bottom w:w="0" w:type="dxa"/>
              <w:right w:w="11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19"/>
                <w:szCs w:val="19"/>
              </w:rPr>
            </w:pPr>
            <w:r>
              <w:rPr>
                <w:rFonts w:hint="eastAsia" w:ascii="仿宋_GB2312" w:hAnsi="仿宋_GB2312" w:eastAsia="仿宋_GB2312" w:cs="仿宋_GB2312"/>
                <w:color w:val="auto"/>
                <w:sz w:val="24"/>
                <w:szCs w:val="24"/>
              </w:rPr>
              <w:t>2.</w:t>
            </w:r>
            <w:r>
              <w:rPr>
                <w:rFonts w:hint="eastAsia" w:ascii="仿宋_GB2312" w:hAnsi="仿宋_GB2312" w:eastAsia="仿宋_GB2312" w:cs="仿宋_GB2312"/>
                <w:color w:val="auto"/>
                <w:sz w:val="24"/>
                <w:szCs w:val="24"/>
                <w:lang w:val="en-US" w:eastAsia="zh-CN"/>
              </w:rPr>
              <w:t>流转</w:t>
            </w:r>
            <w:r>
              <w:rPr>
                <w:rFonts w:hint="eastAsia" w:ascii="仿宋_GB2312" w:hAnsi="仿宋_GB2312" w:eastAsia="仿宋_GB2312" w:cs="仿宋_GB2312"/>
                <w:color w:val="auto"/>
                <w:sz w:val="24"/>
                <w:szCs w:val="24"/>
              </w:rPr>
              <w:t>农户</w:t>
            </w:r>
            <w:r>
              <w:rPr>
                <w:rFonts w:hint="eastAsia" w:ascii="仿宋_GB2312" w:hAnsi="仿宋_GB2312" w:eastAsia="仿宋_GB2312" w:cs="仿宋_GB2312"/>
                <w:color w:val="auto"/>
                <w:sz w:val="24"/>
                <w:szCs w:val="24"/>
                <w:lang w:eastAsia="zh-CN"/>
              </w:rPr>
              <w:t>二轮</w:t>
            </w:r>
            <w:r>
              <w:rPr>
                <w:rFonts w:hint="eastAsia" w:ascii="仿宋_GB2312" w:hAnsi="仿宋_GB2312" w:eastAsia="仿宋_GB2312" w:cs="仿宋_GB2312"/>
                <w:color w:val="auto"/>
                <w:sz w:val="24"/>
                <w:szCs w:val="24"/>
              </w:rPr>
              <w:t>承包土地：</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rPr>
              <w:t>亩，涉及农户</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rPr>
              <w:t>户</w:t>
            </w:r>
            <w:r>
              <w:rPr>
                <w:rFonts w:hint="eastAsia" w:ascii="仿宋_GB2312" w:hAnsi="仿宋_GB2312" w:eastAsia="仿宋_GB2312" w:cs="仿宋_GB2312"/>
                <w:color w:val="auto"/>
                <w:sz w:val="24"/>
                <w:szCs w:val="24"/>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trHeight w:val="700" w:hRule="atLeast"/>
          <w:jc w:val="center"/>
        </w:trPr>
        <w:tc>
          <w:tcPr>
            <w:tcW w:w="1142" w:type="dxa"/>
            <w:vMerge w:val="continue"/>
            <w:tcBorders>
              <w:top w:val="nil"/>
              <w:left w:val="single" w:color="000000" w:sz="6" w:space="0"/>
              <w:bottom w:val="single" w:color="000000" w:sz="6" w:space="0"/>
              <w:right w:val="nil"/>
            </w:tcBorders>
            <w:noWrap w:val="0"/>
            <w:tcMar>
              <w:top w:w="0" w:type="dxa"/>
              <w:left w:w="115" w:type="dxa"/>
              <w:bottom w:w="0" w:type="dxa"/>
              <w:right w:w="0" w:type="dxa"/>
            </w:tcMar>
            <w:vAlign w:val="center"/>
          </w:tcPr>
          <w:p>
            <w:pPr>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黑体" w:hAnsi="黑体" w:eastAsia="黑体" w:cs="黑体"/>
                <w:color w:val="auto"/>
                <w:sz w:val="24"/>
                <w:szCs w:val="24"/>
              </w:rPr>
            </w:pPr>
          </w:p>
        </w:tc>
        <w:tc>
          <w:tcPr>
            <w:tcW w:w="2258" w:type="dxa"/>
            <w:gridSpan w:val="2"/>
            <w:tcBorders>
              <w:top w:val="nil"/>
              <w:left w:val="single" w:color="000000" w:sz="6" w:space="0"/>
              <w:bottom w:val="single" w:color="000000" w:sz="6" w:space="0"/>
              <w:right w:val="nil"/>
            </w:tcBorders>
            <w:noWrap w:val="0"/>
            <w:tcMar>
              <w:top w:w="0" w:type="dxa"/>
              <w:left w:w="115"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auto"/>
                <w:sz w:val="19"/>
                <w:szCs w:val="19"/>
                <w:lang w:val="en-US" w:eastAsia="zh-CN"/>
              </w:rPr>
            </w:pPr>
            <w:r>
              <w:rPr>
                <w:rFonts w:hint="eastAsia" w:ascii="仿宋_GB2312" w:hAnsi="仿宋_GB2312" w:eastAsia="仿宋_GB2312" w:cs="仿宋_GB2312"/>
                <w:color w:val="auto"/>
                <w:sz w:val="24"/>
                <w:szCs w:val="24"/>
                <w:lang w:val="en-US" w:eastAsia="zh-CN"/>
              </w:rPr>
              <w:t>流转期限</w:t>
            </w:r>
          </w:p>
        </w:tc>
        <w:tc>
          <w:tcPr>
            <w:tcW w:w="6458" w:type="dxa"/>
            <w:gridSpan w:val="4"/>
            <w:tcBorders>
              <w:top w:val="single" w:color="000000" w:sz="6" w:space="0"/>
              <w:left w:val="single" w:color="000000" w:sz="6" w:space="0"/>
              <w:bottom w:val="single" w:color="000000" w:sz="6" w:space="0"/>
              <w:right w:val="single" w:color="000000" w:sz="6" w:space="0"/>
            </w:tcBorders>
            <w:noWrap w:val="0"/>
            <w:tcMar>
              <w:top w:w="0" w:type="dxa"/>
              <w:left w:w="115" w:type="dxa"/>
              <w:bottom w:w="0" w:type="dxa"/>
              <w:right w:w="11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sz w:val="19"/>
                <w:szCs w:val="19"/>
              </w:rPr>
            </w:pPr>
            <w:r>
              <w:rPr>
                <w:rFonts w:hint="eastAsia" w:ascii="仿宋_GB2312" w:hAnsi="仿宋_GB2312" w:eastAsia="仿宋_GB2312" w:cs="仿宋_GB2312"/>
                <w:color w:val="auto"/>
                <w:sz w:val="19"/>
                <w:szCs w:val="19"/>
                <w:u w:val="single"/>
                <w:lang w:val="en-US" w:eastAsia="zh-CN"/>
              </w:rPr>
              <w:t xml:space="preserve">        </w:t>
            </w:r>
            <w:r>
              <w:rPr>
                <w:rFonts w:hint="eastAsia" w:ascii="仿宋_GB2312" w:hAnsi="仿宋_GB2312" w:eastAsia="仿宋_GB2312" w:cs="仿宋_GB2312"/>
                <w:color w:val="auto"/>
                <w:sz w:val="24"/>
                <w:szCs w:val="24"/>
              </w:rPr>
              <w:t>年</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rPr>
              <w:t>日起至</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rPr>
              <w:t>年</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rPr>
              <w:t>日止</w:t>
            </w:r>
            <w:r>
              <w:rPr>
                <w:rFonts w:hint="eastAsia" w:ascii="仿宋_GB2312" w:hAnsi="仿宋_GB2312" w:eastAsia="仿宋_GB2312" w:cs="仿宋_GB2312"/>
                <w:color w:val="auto"/>
                <w:sz w:val="24"/>
                <w:szCs w:val="24"/>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trHeight w:val="934" w:hRule="atLeast"/>
          <w:jc w:val="center"/>
        </w:trPr>
        <w:tc>
          <w:tcPr>
            <w:tcW w:w="1142" w:type="dxa"/>
            <w:vMerge w:val="continue"/>
            <w:tcBorders>
              <w:top w:val="nil"/>
              <w:left w:val="single" w:color="000000" w:sz="6" w:space="0"/>
              <w:bottom w:val="single" w:color="000000" w:sz="6" w:space="0"/>
              <w:right w:val="nil"/>
            </w:tcBorders>
            <w:noWrap w:val="0"/>
            <w:tcMar>
              <w:top w:w="0" w:type="dxa"/>
              <w:left w:w="115" w:type="dxa"/>
              <w:bottom w:w="0" w:type="dxa"/>
              <w:right w:w="0" w:type="dxa"/>
            </w:tcMar>
            <w:vAlign w:val="center"/>
          </w:tcPr>
          <w:p>
            <w:pPr>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黑体" w:hAnsi="黑体" w:eastAsia="黑体" w:cs="黑体"/>
                <w:color w:val="auto"/>
                <w:sz w:val="24"/>
                <w:szCs w:val="24"/>
              </w:rPr>
            </w:pPr>
          </w:p>
        </w:tc>
        <w:tc>
          <w:tcPr>
            <w:tcW w:w="2258" w:type="dxa"/>
            <w:gridSpan w:val="2"/>
            <w:tcBorders>
              <w:top w:val="nil"/>
              <w:left w:val="single" w:color="000000" w:sz="6" w:space="0"/>
              <w:bottom w:val="single" w:color="000000" w:sz="6" w:space="0"/>
              <w:right w:val="nil"/>
            </w:tcBorders>
            <w:noWrap w:val="0"/>
            <w:tcMar>
              <w:top w:w="0" w:type="dxa"/>
              <w:left w:w="115"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auto"/>
                <w:sz w:val="19"/>
                <w:szCs w:val="19"/>
              </w:rPr>
            </w:pPr>
            <w:r>
              <w:rPr>
                <w:rFonts w:hint="eastAsia" w:ascii="仿宋_GB2312" w:hAnsi="仿宋_GB2312" w:eastAsia="仿宋_GB2312" w:cs="仿宋_GB2312"/>
                <w:color w:val="auto"/>
                <w:sz w:val="24"/>
                <w:szCs w:val="24"/>
              </w:rPr>
              <w:t>流转土地主要用途</w:t>
            </w:r>
          </w:p>
        </w:tc>
        <w:tc>
          <w:tcPr>
            <w:tcW w:w="6458" w:type="dxa"/>
            <w:gridSpan w:val="4"/>
            <w:tcBorders>
              <w:top w:val="single" w:color="000000" w:sz="6" w:space="0"/>
              <w:left w:val="single" w:color="000000" w:sz="6" w:space="0"/>
              <w:bottom w:val="single" w:color="000000" w:sz="6" w:space="0"/>
              <w:right w:val="single" w:color="000000" w:sz="6" w:space="0"/>
            </w:tcBorders>
            <w:noWrap w:val="0"/>
            <w:tcMar>
              <w:top w:w="0" w:type="dxa"/>
              <w:left w:w="115" w:type="dxa"/>
              <w:bottom w:w="0" w:type="dxa"/>
              <w:right w:w="11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color w:val="auto"/>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trHeight w:val="740" w:hRule="atLeast"/>
          <w:jc w:val="center"/>
        </w:trPr>
        <w:tc>
          <w:tcPr>
            <w:tcW w:w="1142" w:type="dxa"/>
            <w:vMerge w:val="continue"/>
            <w:tcBorders>
              <w:top w:val="nil"/>
              <w:left w:val="single" w:color="000000" w:sz="6" w:space="0"/>
              <w:bottom w:val="single" w:color="auto" w:sz="4" w:space="0"/>
              <w:right w:val="nil"/>
            </w:tcBorders>
            <w:noWrap w:val="0"/>
            <w:tcMar>
              <w:top w:w="0" w:type="dxa"/>
              <w:left w:w="115" w:type="dxa"/>
              <w:bottom w:w="0" w:type="dxa"/>
              <w:right w:w="0" w:type="dxa"/>
            </w:tcMar>
            <w:vAlign w:val="center"/>
          </w:tcPr>
          <w:p>
            <w:pPr>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黑体" w:hAnsi="黑体" w:eastAsia="黑体" w:cs="黑体"/>
                <w:color w:val="auto"/>
                <w:sz w:val="24"/>
                <w:szCs w:val="24"/>
              </w:rPr>
            </w:pPr>
          </w:p>
        </w:tc>
        <w:tc>
          <w:tcPr>
            <w:tcW w:w="2258" w:type="dxa"/>
            <w:gridSpan w:val="2"/>
            <w:tcBorders>
              <w:top w:val="nil"/>
              <w:left w:val="single" w:color="000000" w:sz="6" w:space="0"/>
              <w:bottom w:val="single" w:color="auto" w:sz="4" w:space="0"/>
              <w:right w:val="nil"/>
            </w:tcBorders>
            <w:noWrap w:val="0"/>
            <w:tcMar>
              <w:top w:w="0" w:type="dxa"/>
              <w:left w:w="115"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auto"/>
                <w:sz w:val="19"/>
                <w:szCs w:val="19"/>
              </w:rPr>
            </w:pPr>
            <w:r>
              <w:rPr>
                <w:rFonts w:hint="eastAsia" w:ascii="仿宋_GB2312" w:hAnsi="仿宋_GB2312" w:eastAsia="仿宋_GB2312" w:cs="仿宋_GB2312"/>
                <w:color w:val="auto"/>
                <w:spacing w:val="-11"/>
                <w:sz w:val="24"/>
                <w:szCs w:val="24"/>
              </w:rPr>
              <w:t>流转价格及给付方式</w:t>
            </w:r>
          </w:p>
        </w:tc>
        <w:tc>
          <w:tcPr>
            <w:tcW w:w="6458" w:type="dxa"/>
            <w:gridSpan w:val="4"/>
            <w:tcBorders>
              <w:top w:val="single" w:color="000000" w:sz="6" w:space="0"/>
              <w:left w:val="single" w:color="000000" w:sz="6" w:space="0"/>
              <w:bottom w:val="single" w:color="auto" w:sz="4" w:space="0"/>
              <w:right w:val="single" w:color="000000" w:sz="6" w:space="0"/>
            </w:tcBorders>
            <w:noWrap w:val="0"/>
            <w:tcMar>
              <w:top w:w="0" w:type="dxa"/>
              <w:left w:w="115" w:type="dxa"/>
              <w:bottom w:w="0" w:type="dxa"/>
              <w:right w:w="11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sz w:val="24"/>
                <w:szCs w:val="24"/>
                <w:u w:val="none"/>
                <w:lang w:eastAsia="zh-CN"/>
              </w:rPr>
            </w:pPr>
            <w:r>
              <w:rPr>
                <w:rFonts w:hint="eastAsia" w:ascii="仿宋_GB2312" w:hAnsi="仿宋_GB2312" w:eastAsia="仿宋_GB2312" w:cs="仿宋_GB2312"/>
                <w:color w:val="auto"/>
                <w:sz w:val="24"/>
                <w:szCs w:val="24"/>
              </w:rPr>
              <w:t>最高单价：</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最低单价</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none"/>
                <w:lang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sz w:val="19"/>
                <w:szCs w:val="19"/>
                <w:u w:val="none"/>
                <w:lang w:eastAsia="zh-CN"/>
              </w:rPr>
            </w:pPr>
            <w:r>
              <w:rPr>
                <w:rFonts w:hint="eastAsia" w:ascii="仿宋_GB2312" w:hAnsi="仿宋_GB2312" w:eastAsia="仿宋_GB2312" w:cs="仿宋_GB2312"/>
                <w:color w:val="auto"/>
                <w:sz w:val="24"/>
                <w:szCs w:val="24"/>
              </w:rPr>
              <w:t>给付方式</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trHeight w:val="90" w:hRule="atLeast"/>
          <w:jc w:val="center"/>
        </w:trPr>
        <w:tc>
          <w:tcPr>
            <w:tcW w:w="1142" w:type="dxa"/>
            <w:tcBorders>
              <w:top w:val="single" w:color="auto" w:sz="4" w:space="0"/>
              <w:left w:val="single" w:color="000000" w:sz="6" w:space="0"/>
              <w:bottom w:val="single" w:color="auto" w:sz="4" w:space="0"/>
              <w:right w:val="single" w:color="auto" w:sz="4" w:space="0"/>
            </w:tcBorders>
            <w:noWrap w:val="0"/>
            <w:tcMar>
              <w:top w:w="0" w:type="dxa"/>
              <w:left w:w="115"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村股份（经济）合作社意见</w:t>
            </w:r>
          </w:p>
        </w:tc>
        <w:tc>
          <w:tcPr>
            <w:tcW w:w="8716" w:type="dxa"/>
            <w:gridSpan w:val="6"/>
            <w:tcBorders>
              <w:top w:val="single" w:color="auto" w:sz="4" w:space="0"/>
              <w:left w:val="single" w:color="auto" w:sz="4" w:space="0"/>
              <w:bottom w:val="single" w:color="auto" w:sz="4" w:space="0"/>
              <w:right w:val="single" w:color="000000" w:sz="6" w:space="0"/>
            </w:tcBorders>
            <w:noWrap w:val="0"/>
            <w:tcMar>
              <w:top w:w="0" w:type="dxa"/>
              <w:left w:w="115"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sz w:val="24"/>
                <w:szCs w:val="24"/>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2640" w:firstLineChars="1100"/>
              <w:jc w:val="left"/>
              <w:textAlignment w:val="auto"/>
              <w:rPr>
                <w:rFonts w:hint="eastAsia" w:ascii="仿宋_GB2312" w:hAnsi="仿宋_GB2312" w:eastAsia="仿宋_GB2312" w:cs="仿宋_GB2312"/>
                <w:color w:val="auto"/>
                <w:sz w:val="24"/>
                <w:szCs w:val="24"/>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2640" w:firstLineChars="1100"/>
              <w:jc w:val="left"/>
              <w:textAlignment w:val="auto"/>
              <w:rPr>
                <w:rFonts w:hint="eastAsia" w:ascii="仿宋_GB2312" w:hAnsi="仿宋_GB2312" w:eastAsia="仿宋_GB2312" w:cs="仿宋_GB2312"/>
                <w:color w:val="auto"/>
                <w:sz w:val="24"/>
                <w:szCs w:val="24"/>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2640" w:firstLineChars="1100"/>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负责人签字：</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（公章）</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年</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trHeight w:val="4202" w:hRule="atLeast"/>
          <w:jc w:val="center"/>
        </w:trPr>
        <w:tc>
          <w:tcPr>
            <w:tcW w:w="1142" w:type="dxa"/>
            <w:tcBorders>
              <w:top w:val="single" w:color="auto" w:sz="4" w:space="0"/>
              <w:left w:val="single" w:color="000000" w:sz="6" w:space="0"/>
              <w:bottom w:val="single" w:color="auto" w:sz="4" w:space="0"/>
              <w:right w:val="single" w:color="auto" w:sz="4" w:space="0"/>
            </w:tcBorders>
            <w:noWrap w:val="0"/>
            <w:tcMar>
              <w:top w:w="0" w:type="dxa"/>
              <w:left w:w="115"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乡（镇）政府意见</w:t>
            </w:r>
          </w:p>
        </w:tc>
        <w:tc>
          <w:tcPr>
            <w:tcW w:w="8716" w:type="dxa"/>
            <w:gridSpan w:val="6"/>
            <w:tcBorders>
              <w:top w:val="single" w:color="auto" w:sz="4" w:space="0"/>
              <w:left w:val="single" w:color="auto" w:sz="4" w:space="0"/>
              <w:bottom w:val="single" w:color="auto" w:sz="4" w:space="0"/>
              <w:right w:val="single" w:color="000000" w:sz="6" w:space="0"/>
            </w:tcBorders>
            <w:noWrap w:val="0"/>
            <w:tcMar>
              <w:top w:w="0" w:type="dxa"/>
              <w:left w:w="115"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sz w:val="24"/>
                <w:szCs w:val="24"/>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2640" w:firstLineChars="1100"/>
              <w:jc w:val="left"/>
              <w:textAlignment w:val="auto"/>
              <w:rPr>
                <w:rFonts w:hint="eastAsia" w:ascii="仿宋_GB2312" w:hAnsi="仿宋_GB2312" w:eastAsia="仿宋_GB2312" w:cs="仿宋_GB2312"/>
                <w:color w:val="auto"/>
                <w:sz w:val="24"/>
                <w:szCs w:val="24"/>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2640" w:firstLineChars="1100"/>
              <w:jc w:val="left"/>
              <w:textAlignment w:val="auto"/>
              <w:rPr>
                <w:rFonts w:hint="eastAsia" w:ascii="仿宋_GB2312" w:hAnsi="仿宋_GB2312" w:eastAsia="仿宋_GB2312" w:cs="仿宋_GB2312"/>
                <w:color w:val="auto"/>
                <w:sz w:val="24"/>
                <w:szCs w:val="24"/>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2640" w:firstLineChars="1100"/>
              <w:jc w:val="left"/>
              <w:textAlignment w:val="auto"/>
              <w:rPr>
                <w:rFonts w:hint="eastAsia" w:ascii="仿宋_GB2312" w:hAnsi="仿宋_GB2312" w:eastAsia="仿宋_GB2312" w:cs="仿宋_GB2312"/>
                <w:color w:val="auto"/>
                <w:sz w:val="24"/>
                <w:szCs w:val="24"/>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2640" w:firstLineChars="1100"/>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负责人签字：</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（公章）</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年</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trHeight w:val="3984" w:hRule="atLeast"/>
          <w:jc w:val="center"/>
        </w:trPr>
        <w:tc>
          <w:tcPr>
            <w:tcW w:w="1142" w:type="dxa"/>
            <w:tcBorders>
              <w:top w:val="single" w:color="auto" w:sz="4" w:space="0"/>
              <w:left w:val="single" w:color="000000" w:sz="6" w:space="0"/>
              <w:bottom w:val="single" w:color="auto" w:sz="4" w:space="0"/>
              <w:right w:val="single" w:color="auto" w:sz="4" w:space="0"/>
            </w:tcBorders>
            <w:noWrap w:val="0"/>
            <w:tcMar>
              <w:top w:w="0" w:type="dxa"/>
              <w:left w:w="115"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县级农业农村主管部门（农经局）意见</w:t>
            </w:r>
          </w:p>
        </w:tc>
        <w:tc>
          <w:tcPr>
            <w:tcW w:w="8716" w:type="dxa"/>
            <w:gridSpan w:val="6"/>
            <w:tcBorders>
              <w:top w:val="single" w:color="auto" w:sz="4" w:space="0"/>
              <w:left w:val="single" w:color="auto" w:sz="4" w:space="0"/>
              <w:bottom w:val="single" w:color="auto" w:sz="4" w:space="0"/>
              <w:right w:val="single" w:color="000000" w:sz="6" w:space="0"/>
            </w:tcBorders>
            <w:noWrap w:val="0"/>
            <w:tcMar>
              <w:top w:w="0" w:type="dxa"/>
              <w:left w:w="115"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sz w:val="24"/>
                <w:szCs w:val="24"/>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sz w:val="24"/>
                <w:szCs w:val="24"/>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sz w:val="24"/>
                <w:szCs w:val="24"/>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sz w:val="24"/>
                <w:szCs w:val="24"/>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2640" w:firstLineChars="1100"/>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负责人签字：</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（公章）</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年</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trHeight w:val="4868" w:hRule="atLeast"/>
          <w:jc w:val="center"/>
        </w:trPr>
        <w:tc>
          <w:tcPr>
            <w:tcW w:w="1142" w:type="dxa"/>
            <w:tcBorders>
              <w:top w:val="single" w:color="auto" w:sz="4" w:space="0"/>
              <w:left w:val="single" w:color="000000" w:sz="6" w:space="0"/>
              <w:bottom w:val="single" w:color="000000" w:sz="6" w:space="0"/>
              <w:right w:val="single" w:color="auto" w:sz="4" w:space="0"/>
            </w:tcBorders>
            <w:noWrap w:val="0"/>
            <w:tcMar>
              <w:top w:w="0" w:type="dxa"/>
              <w:left w:w="115"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州农业农村主管部门意见</w:t>
            </w:r>
          </w:p>
        </w:tc>
        <w:tc>
          <w:tcPr>
            <w:tcW w:w="8716" w:type="dxa"/>
            <w:gridSpan w:val="6"/>
            <w:tcBorders>
              <w:top w:val="single" w:color="auto" w:sz="4" w:space="0"/>
              <w:left w:val="single" w:color="auto" w:sz="4" w:space="0"/>
              <w:bottom w:val="single" w:color="000000" w:sz="6" w:space="0"/>
              <w:right w:val="single" w:color="000000" w:sz="6" w:space="0"/>
            </w:tcBorders>
            <w:noWrap w:val="0"/>
            <w:tcMar>
              <w:top w:w="0" w:type="dxa"/>
              <w:left w:w="115"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sz w:val="24"/>
                <w:szCs w:val="24"/>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sz w:val="24"/>
                <w:szCs w:val="24"/>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2640" w:firstLineChars="1100"/>
              <w:jc w:val="left"/>
              <w:textAlignment w:val="auto"/>
              <w:rPr>
                <w:rFonts w:hint="eastAsia" w:ascii="仿宋_GB2312" w:hAnsi="仿宋_GB2312" w:eastAsia="仿宋_GB2312" w:cs="仿宋_GB2312"/>
                <w:color w:val="auto"/>
                <w:sz w:val="24"/>
                <w:szCs w:val="24"/>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2640" w:firstLineChars="1100"/>
              <w:jc w:val="left"/>
              <w:textAlignment w:val="auto"/>
              <w:rPr>
                <w:rFonts w:hint="eastAsia" w:ascii="仿宋_GB2312" w:hAnsi="仿宋_GB2312" w:eastAsia="仿宋_GB2312" w:cs="仿宋_GB2312"/>
                <w:color w:val="auto"/>
                <w:sz w:val="24"/>
                <w:szCs w:val="24"/>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2640" w:firstLineChars="1100"/>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负责人签字：</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（公章）</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年</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日</w:t>
            </w:r>
          </w:p>
        </w:tc>
      </w:tr>
    </w:tbl>
    <w:p>
      <w:pPr>
        <w:keepNext w:val="0"/>
        <w:keepLines w:val="0"/>
        <w:pageBreakBefore w:val="0"/>
        <w:kinsoku/>
        <w:wordWrap/>
        <w:overflowPunct/>
        <w:topLinePunct w:val="0"/>
        <w:autoSpaceDE/>
        <w:autoSpaceDN/>
        <w:bidi w:val="0"/>
        <w:spacing w:line="560" w:lineRule="exact"/>
      </w:pPr>
    </w:p>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方正小标宋简体" w:cs="Times New Roman"/>
          <w:color w:val="auto"/>
          <w:spacing w:val="0"/>
          <w:w w:val="100"/>
          <w:position w:val="0"/>
          <w:sz w:val="44"/>
          <w:szCs w:val="44"/>
        </w:rPr>
      </w:pPr>
      <w:r>
        <w:rPr>
          <w:rFonts w:hint="eastAsia" w:ascii="黑体" w:hAnsi="黑体" w:eastAsia="黑体" w:cs="黑体"/>
          <w:color w:val="auto"/>
          <w:sz w:val="28"/>
          <w:szCs w:val="28"/>
          <w:lang w:val="en-US" w:eastAsia="zh-CN"/>
        </w:rPr>
        <w:t>附件6</w:t>
      </w:r>
    </w:p>
    <w:p>
      <w:pPr>
        <w:pStyle w:val="17"/>
        <w:keepNext w:val="0"/>
        <w:keepLines w:val="0"/>
        <w:pageBreakBefore w:val="0"/>
        <w:widowControl w:val="0"/>
        <w:shd w:val="clear" w:color="auto" w:fill="auto"/>
        <w:tabs>
          <w:tab w:val="left" w:pos="4450"/>
          <w:tab w:val="left" w:pos="4457"/>
          <w:tab w:val="left" w:pos="4615"/>
          <w:tab w:val="left" w:pos="4766"/>
          <w:tab w:val="left" w:pos="5882"/>
          <w:tab w:val="left" w:pos="7142"/>
          <w:tab w:val="left" w:pos="8266"/>
          <w:tab w:val="left" w:pos="8273"/>
        </w:tabs>
        <w:kinsoku/>
        <w:wordWrap/>
        <w:overflowPunct/>
        <w:topLinePunct w:val="0"/>
        <w:autoSpaceDE/>
        <w:autoSpaceDN/>
        <w:bidi w:val="0"/>
        <w:adjustRightInd/>
        <w:snapToGrid/>
        <w:spacing w:before="0" w:after="0" w:line="560" w:lineRule="exact"/>
        <w:ind w:left="0" w:leftChars="0" w:right="0" w:firstLine="0"/>
        <w:jc w:val="center"/>
        <w:textAlignment w:val="auto"/>
        <w:rPr>
          <w:rFonts w:hint="eastAsia" w:ascii="Times New Roman" w:hAnsi="Times New Roman" w:eastAsia="方正小标宋简体" w:cs="Times New Roman"/>
          <w:color w:val="auto"/>
          <w:spacing w:val="0"/>
          <w:w w:val="100"/>
          <w:position w:val="0"/>
          <w:lang w:eastAsia="zh-CN"/>
        </w:rPr>
      </w:pPr>
      <w:r>
        <w:rPr>
          <w:rFonts w:hint="eastAsia" w:ascii="Times New Roman" w:hAnsi="Times New Roman" w:eastAsia="方正小标宋简体" w:cs="Times New Roman"/>
          <w:color w:val="auto"/>
          <w:spacing w:val="0"/>
          <w:w w:val="100"/>
          <w:position w:val="0"/>
          <w:sz w:val="44"/>
          <w:szCs w:val="44"/>
          <w:lang w:eastAsia="zh-CN"/>
        </w:rPr>
        <w:t>玛纳斯县</w:t>
      </w:r>
      <w:r>
        <w:rPr>
          <w:rFonts w:hint="default" w:ascii="Times New Roman" w:hAnsi="Times New Roman" w:eastAsia="方正小标宋简体" w:cs="Times New Roman"/>
          <w:color w:val="auto"/>
          <w:spacing w:val="0"/>
          <w:w w:val="100"/>
          <w:position w:val="0"/>
          <w:sz w:val="44"/>
          <w:szCs w:val="44"/>
        </w:rPr>
        <w:t>农村土地经营权流转委托书</w:t>
      </w:r>
    </w:p>
    <w:p>
      <w:pPr>
        <w:pStyle w:val="17"/>
        <w:keepNext w:val="0"/>
        <w:keepLines w:val="0"/>
        <w:pageBreakBefore w:val="0"/>
        <w:widowControl w:val="0"/>
        <w:shd w:val="clear" w:color="auto" w:fill="auto"/>
        <w:tabs>
          <w:tab w:val="left" w:pos="4450"/>
          <w:tab w:val="left" w:pos="4457"/>
          <w:tab w:val="left" w:pos="4615"/>
          <w:tab w:val="left" w:pos="4766"/>
          <w:tab w:val="left" w:pos="5882"/>
          <w:tab w:val="left" w:pos="7142"/>
          <w:tab w:val="left" w:pos="8266"/>
          <w:tab w:val="left" w:pos="8273"/>
        </w:tabs>
        <w:kinsoku/>
        <w:wordWrap/>
        <w:overflowPunct/>
        <w:topLinePunct w:val="0"/>
        <w:autoSpaceDE/>
        <w:autoSpaceDN/>
        <w:bidi w:val="0"/>
        <w:adjustRightInd/>
        <w:snapToGrid/>
        <w:spacing w:before="0" w:after="0" w:line="560" w:lineRule="exact"/>
        <w:ind w:left="0" w:leftChars="0" w:right="0" w:firstLine="0"/>
        <w:jc w:val="left"/>
        <w:textAlignment w:val="auto"/>
        <w:rPr>
          <w:rFonts w:hint="default" w:ascii="Times New Roman" w:hAnsi="Times New Roman" w:eastAsia="仿宋_GB2312" w:cs="Times New Roman"/>
          <w:color w:val="auto"/>
          <w:spacing w:val="0"/>
          <w:w w:val="100"/>
          <w:position w:val="0"/>
          <w:sz w:val="32"/>
          <w:szCs w:val="32"/>
        </w:rPr>
      </w:pPr>
    </w:p>
    <w:p>
      <w:pPr>
        <w:pStyle w:val="17"/>
        <w:keepNext w:val="0"/>
        <w:keepLines w:val="0"/>
        <w:pageBreakBefore w:val="0"/>
        <w:widowControl w:val="0"/>
        <w:shd w:val="clear" w:color="auto" w:fill="auto"/>
        <w:tabs>
          <w:tab w:val="left" w:pos="4450"/>
          <w:tab w:val="left" w:pos="4457"/>
          <w:tab w:val="left" w:pos="4615"/>
          <w:tab w:val="left" w:pos="4766"/>
          <w:tab w:val="left" w:pos="5882"/>
          <w:tab w:val="left" w:pos="7142"/>
          <w:tab w:val="left" w:pos="8266"/>
          <w:tab w:val="left" w:pos="8273"/>
        </w:tabs>
        <w:kinsoku/>
        <w:wordWrap/>
        <w:overflowPunct/>
        <w:topLinePunct w:val="0"/>
        <w:autoSpaceDE/>
        <w:autoSpaceDN/>
        <w:bidi w:val="0"/>
        <w:adjustRightInd/>
        <w:snapToGrid/>
        <w:spacing w:before="0" w:after="0" w:line="560" w:lineRule="exact"/>
        <w:ind w:left="0" w:leftChars="0" w:right="0" w:firstLine="0"/>
        <w:jc w:val="left"/>
        <w:textAlignment w:val="auto"/>
        <w:rPr>
          <w:rFonts w:hint="default" w:ascii="Times New Roman" w:hAnsi="Times New Roman" w:eastAsia="仿宋_GB2312" w:cs="Times New Roman"/>
          <w:color w:val="auto"/>
          <w:spacing w:val="0"/>
          <w:w w:val="100"/>
          <w:position w:val="0"/>
          <w:sz w:val="32"/>
          <w:szCs w:val="32"/>
          <w:u w:val="single"/>
          <w:lang w:val="en-US" w:eastAsia="zh-CN"/>
        </w:rPr>
      </w:pPr>
      <w:r>
        <w:rPr>
          <w:rFonts w:hint="default" w:ascii="Times New Roman" w:hAnsi="Times New Roman" w:eastAsia="仿宋_GB2312" w:cs="Times New Roman"/>
          <w:color w:val="auto"/>
          <w:spacing w:val="0"/>
          <w:w w:val="100"/>
          <w:position w:val="0"/>
          <w:sz w:val="32"/>
          <w:szCs w:val="32"/>
        </w:rPr>
        <w:t>甲方（委托人）：</w:t>
      </w:r>
      <w:r>
        <w:rPr>
          <w:rFonts w:hint="default" w:ascii="Times New Roman" w:hAnsi="Times New Roman" w:eastAsia="仿宋_GB2312" w:cs="Times New Roman"/>
          <w:color w:val="auto"/>
          <w:sz w:val="32"/>
          <w:szCs w:val="32"/>
          <w:u w:val="single"/>
        </w:rPr>
        <w:t xml:space="preserve"> </w:t>
      </w:r>
      <w:r>
        <w:rPr>
          <w:rFonts w:hint="default"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pacing w:val="0"/>
          <w:w w:val="100"/>
          <w:position w:val="0"/>
          <w:sz w:val="32"/>
          <w:szCs w:val="32"/>
        </w:rPr>
        <w:t>身份证号：</w:t>
      </w:r>
      <w:r>
        <w:rPr>
          <w:rFonts w:hint="default" w:ascii="Times New Roman" w:hAnsi="Times New Roman" w:eastAsia="仿宋_GB2312" w:cs="Times New Roman"/>
          <w:color w:val="auto"/>
          <w:sz w:val="32"/>
          <w:szCs w:val="32"/>
          <w:u w:val="single"/>
          <w:lang w:val="en-US" w:eastAsia="zh-CN"/>
        </w:rPr>
        <w:t xml:space="preserve">              </w:t>
      </w:r>
    </w:p>
    <w:p>
      <w:pPr>
        <w:pStyle w:val="17"/>
        <w:keepNext w:val="0"/>
        <w:keepLines w:val="0"/>
        <w:pageBreakBefore w:val="0"/>
        <w:widowControl w:val="0"/>
        <w:shd w:val="clear" w:color="auto" w:fill="auto"/>
        <w:tabs>
          <w:tab w:val="left" w:pos="4450"/>
          <w:tab w:val="left" w:pos="4457"/>
          <w:tab w:val="left" w:pos="4615"/>
          <w:tab w:val="left" w:pos="4766"/>
          <w:tab w:val="left" w:pos="5882"/>
          <w:tab w:val="left" w:pos="7142"/>
          <w:tab w:val="left" w:pos="8266"/>
          <w:tab w:val="left" w:pos="8273"/>
        </w:tabs>
        <w:kinsoku/>
        <w:wordWrap/>
        <w:overflowPunct/>
        <w:topLinePunct w:val="0"/>
        <w:autoSpaceDE/>
        <w:autoSpaceDN/>
        <w:bidi w:val="0"/>
        <w:adjustRightInd/>
        <w:snapToGrid/>
        <w:spacing w:before="0" w:after="0" w:line="560" w:lineRule="exact"/>
        <w:ind w:left="0" w:leftChars="0" w:right="0" w:firstLine="0"/>
        <w:jc w:val="left"/>
        <w:textAlignment w:val="auto"/>
        <w:rPr>
          <w:rFonts w:hint="default" w:ascii="Times New Roman" w:hAnsi="Times New Roman" w:eastAsia="仿宋_GB2312" w:cs="Times New Roman"/>
          <w:color w:val="auto"/>
          <w:spacing w:val="0"/>
          <w:w w:val="100"/>
          <w:position w:val="0"/>
          <w:sz w:val="32"/>
          <w:szCs w:val="32"/>
        </w:rPr>
      </w:pPr>
      <w:r>
        <w:rPr>
          <w:rFonts w:hint="default" w:ascii="Times New Roman" w:hAnsi="Times New Roman" w:eastAsia="仿宋_GB2312" w:cs="Times New Roman"/>
          <w:color w:val="auto"/>
          <w:spacing w:val="0"/>
          <w:w w:val="100"/>
          <w:position w:val="0"/>
          <w:sz w:val="32"/>
          <w:szCs w:val="32"/>
          <w:lang w:val="en-US" w:eastAsia="zh-CN"/>
        </w:rPr>
        <w:t>地址</w:t>
      </w:r>
      <w:r>
        <w:rPr>
          <w:rFonts w:hint="default" w:ascii="Times New Roman" w:hAnsi="Times New Roman" w:eastAsia="仿宋_GB2312" w:cs="Times New Roman"/>
          <w:color w:val="auto"/>
          <w:spacing w:val="0"/>
          <w:w w:val="100"/>
          <w:position w:val="0"/>
          <w:sz w:val="32"/>
          <w:szCs w:val="32"/>
        </w:rPr>
        <w:t>：</w:t>
      </w:r>
      <w:r>
        <w:rPr>
          <w:rFonts w:hint="default" w:ascii="Times New Roman" w:hAnsi="Times New Roman" w:eastAsia="仿宋_GB2312" w:cs="Times New Roman"/>
          <w:color w:val="auto"/>
          <w:sz w:val="32"/>
          <w:szCs w:val="32"/>
          <w:u w:val="single"/>
        </w:rPr>
        <w:t xml:space="preserve"> </w:t>
      </w:r>
      <w:r>
        <w:rPr>
          <w:rFonts w:hint="default"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pacing w:val="0"/>
          <w:w w:val="100"/>
          <w:position w:val="0"/>
          <w:sz w:val="32"/>
          <w:szCs w:val="32"/>
        </w:rPr>
        <w:t>联系电话：</w:t>
      </w:r>
      <w:r>
        <w:rPr>
          <w:rFonts w:hint="default" w:ascii="Times New Roman" w:hAnsi="Times New Roman" w:eastAsia="仿宋_GB2312" w:cs="Times New Roman"/>
          <w:color w:val="auto"/>
          <w:sz w:val="32"/>
          <w:szCs w:val="32"/>
          <w:u w:val="single"/>
        </w:rPr>
        <w:t xml:space="preserve"> </w:t>
      </w:r>
      <w:r>
        <w:rPr>
          <w:rFonts w:hint="default"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pacing w:val="0"/>
          <w:w w:val="100"/>
          <w:position w:val="0"/>
          <w:sz w:val="32"/>
          <w:szCs w:val="32"/>
        </w:rPr>
        <w:t xml:space="preserve"> </w:t>
      </w:r>
    </w:p>
    <w:p>
      <w:pPr>
        <w:pStyle w:val="17"/>
        <w:keepNext w:val="0"/>
        <w:keepLines w:val="0"/>
        <w:pageBreakBefore w:val="0"/>
        <w:widowControl w:val="0"/>
        <w:shd w:val="clear" w:color="auto" w:fill="auto"/>
        <w:tabs>
          <w:tab w:val="left" w:pos="4450"/>
          <w:tab w:val="left" w:pos="4457"/>
          <w:tab w:val="left" w:pos="4615"/>
          <w:tab w:val="left" w:pos="4766"/>
          <w:tab w:val="left" w:pos="5882"/>
          <w:tab w:val="left" w:pos="7142"/>
          <w:tab w:val="left" w:pos="8266"/>
          <w:tab w:val="left" w:pos="8273"/>
        </w:tabs>
        <w:kinsoku/>
        <w:wordWrap/>
        <w:overflowPunct/>
        <w:topLinePunct w:val="0"/>
        <w:autoSpaceDE/>
        <w:autoSpaceDN/>
        <w:bidi w:val="0"/>
        <w:adjustRightInd/>
        <w:snapToGrid/>
        <w:spacing w:before="0" w:after="0" w:line="560" w:lineRule="exact"/>
        <w:ind w:left="0" w:leftChars="0" w:right="0" w:firstLine="0"/>
        <w:jc w:val="left"/>
        <w:textAlignment w:val="auto"/>
        <w:rPr>
          <w:rFonts w:hint="default" w:ascii="Times New Roman" w:hAnsi="Times New Roman" w:eastAsia="仿宋_GB2312" w:cs="Times New Roman"/>
          <w:color w:val="auto"/>
          <w:spacing w:val="0"/>
          <w:w w:val="100"/>
          <w:position w:val="0"/>
          <w:sz w:val="32"/>
          <w:szCs w:val="32"/>
        </w:rPr>
      </w:pPr>
      <w:r>
        <w:rPr>
          <w:rFonts w:hint="default" w:ascii="Times New Roman" w:hAnsi="Times New Roman" w:eastAsia="仿宋_GB2312" w:cs="Times New Roman"/>
          <w:color w:val="auto"/>
          <w:spacing w:val="0"/>
          <w:w w:val="100"/>
          <w:position w:val="0"/>
          <w:sz w:val="32"/>
          <w:szCs w:val="32"/>
        </w:rPr>
        <w:t>乙方（受托人）：</w:t>
      </w:r>
      <w:r>
        <w:rPr>
          <w:rFonts w:hint="default" w:ascii="Times New Roman" w:hAnsi="Times New Roman" w:eastAsia="仿宋_GB2312" w:cs="Times New Roman"/>
          <w:color w:val="auto"/>
          <w:sz w:val="32"/>
          <w:szCs w:val="32"/>
          <w:u w:val="single"/>
        </w:rPr>
        <w:t xml:space="preserve"> </w:t>
      </w:r>
      <w:r>
        <w:rPr>
          <w:rFonts w:hint="default"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pacing w:val="0"/>
          <w:w w:val="100"/>
          <w:position w:val="0"/>
          <w:sz w:val="32"/>
          <w:szCs w:val="32"/>
        </w:rPr>
        <w:t xml:space="preserve"> </w:t>
      </w:r>
    </w:p>
    <w:p>
      <w:pPr>
        <w:pStyle w:val="17"/>
        <w:keepNext w:val="0"/>
        <w:keepLines w:val="0"/>
        <w:pageBreakBefore w:val="0"/>
        <w:widowControl w:val="0"/>
        <w:shd w:val="clear" w:color="auto" w:fill="auto"/>
        <w:tabs>
          <w:tab w:val="left" w:pos="4450"/>
          <w:tab w:val="left" w:pos="4457"/>
          <w:tab w:val="left" w:pos="4615"/>
          <w:tab w:val="left" w:pos="4766"/>
          <w:tab w:val="left" w:pos="5882"/>
          <w:tab w:val="left" w:pos="7142"/>
          <w:tab w:val="left" w:pos="8266"/>
          <w:tab w:val="left" w:pos="8273"/>
        </w:tabs>
        <w:kinsoku/>
        <w:wordWrap/>
        <w:overflowPunct/>
        <w:topLinePunct w:val="0"/>
        <w:autoSpaceDE/>
        <w:autoSpaceDN/>
        <w:bidi w:val="0"/>
        <w:adjustRightInd/>
        <w:snapToGrid/>
        <w:spacing w:before="0" w:after="0" w:line="560" w:lineRule="exact"/>
        <w:ind w:left="0" w:leftChars="0" w:right="0" w:firstLine="0"/>
        <w:jc w:val="left"/>
        <w:textAlignment w:val="auto"/>
        <w:rPr>
          <w:rFonts w:hint="default" w:ascii="Times New Roman" w:hAnsi="Times New Roman" w:eastAsia="仿宋_GB2312" w:cs="Times New Roman"/>
          <w:color w:val="auto"/>
          <w:spacing w:val="0"/>
          <w:w w:val="100"/>
          <w:position w:val="0"/>
          <w:sz w:val="32"/>
          <w:szCs w:val="32"/>
          <w:lang w:val="en-US"/>
        </w:rPr>
      </w:pPr>
      <w:r>
        <w:rPr>
          <w:rFonts w:hint="default" w:ascii="Times New Roman" w:hAnsi="Times New Roman" w:eastAsia="仿宋_GB2312" w:cs="Times New Roman"/>
          <w:color w:val="auto"/>
          <w:spacing w:val="0"/>
          <w:w w:val="100"/>
          <w:position w:val="0"/>
          <w:sz w:val="32"/>
          <w:szCs w:val="32"/>
        </w:rPr>
        <w:t>身份证号（统一社会信用代码）</w:t>
      </w:r>
      <w:r>
        <w:rPr>
          <w:rFonts w:hint="default" w:ascii="Times New Roman" w:hAnsi="Times New Roman" w:eastAsia="仿宋_GB2312" w:cs="Times New Roman"/>
          <w:color w:val="auto"/>
          <w:sz w:val="32"/>
          <w:szCs w:val="32"/>
          <w:u w:val="single"/>
        </w:rPr>
        <w:t xml:space="preserve"> </w:t>
      </w:r>
      <w:r>
        <w:rPr>
          <w:rFonts w:hint="default" w:ascii="Times New Roman" w:hAnsi="Times New Roman" w:eastAsia="仿宋_GB2312" w:cs="Times New Roman"/>
          <w:color w:val="auto"/>
          <w:sz w:val="32"/>
          <w:szCs w:val="32"/>
          <w:u w:val="single"/>
          <w:lang w:val="en-US" w:eastAsia="zh-CN"/>
        </w:rPr>
        <w:t xml:space="preserve">                 </w:t>
      </w:r>
    </w:p>
    <w:p>
      <w:pPr>
        <w:pStyle w:val="17"/>
        <w:keepNext w:val="0"/>
        <w:keepLines w:val="0"/>
        <w:pageBreakBefore w:val="0"/>
        <w:widowControl w:val="0"/>
        <w:shd w:val="clear" w:color="auto" w:fill="auto"/>
        <w:tabs>
          <w:tab w:val="left" w:pos="4450"/>
          <w:tab w:val="left" w:pos="4457"/>
          <w:tab w:val="left" w:pos="4615"/>
          <w:tab w:val="left" w:pos="4766"/>
          <w:tab w:val="left" w:pos="5882"/>
          <w:tab w:val="left" w:pos="7142"/>
          <w:tab w:val="left" w:pos="8266"/>
          <w:tab w:val="left" w:pos="8273"/>
        </w:tabs>
        <w:kinsoku/>
        <w:wordWrap/>
        <w:overflowPunct/>
        <w:topLinePunct w:val="0"/>
        <w:autoSpaceDE/>
        <w:autoSpaceDN/>
        <w:bidi w:val="0"/>
        <w:adjustRightInd/>
        <w:snapToGrid/>
        <w:spacing w:before="0" w:after="0" w:line="560" w:lineRule="exact"/>
        <w:ind w:left="0" w:leftChars="0" w:right="0" w:firstLine="0"/>
        <w:jc w:val="left"/>
        <w:textAlignment w:val="auto"/>
        <w:rPr>
          <w:rFonts w:hint="default" w:ascii="Times New Roman" w:hAnsi="Times New Roman" w:eastAsia="仿宋_GB2312" w:cs="Times New Roman"/>
          <w:color w:val="auto"/>
          <w:spacing w:val="0"/>
          <w:w w:val="100"/>
          <w:position w:val="0"/>
          <w:sz w:val="32"/>
          <w:szCs w:val="32"/>
        </w:rPr>
      </w:pPr>
      <w:r>
        <w:rPr>
          <w:rFonts w:hint="default" w:ascii="Times New Roman" w:hAnsi="Times New Roman" w:eastAsia="仿宋_GB2312" w:cs="Times New Roman"/>
          <w:color w:val="auto"/>
          <w:spacing w:val="0"/>
          <w:w w:val="100"/>
          <w:position w:val="0"/>
          <w:sz w:val="32"/>
          <w:szCs w:val="32"/>
        </w:rPr>
        <w:t>代表人：</w:t>
      </w:r>
      <w:r>
        <w:rPr>
          <w:rFonts w:hint="default" w:ascii="Times New Roman" w:hAnsi="Times New Roman" w:eastAsia="仿宋_GB2312" w:cs="Times New Roman"/>
          <w:color w:val="auto"/>
          <w:sz w:val="32"/>
          <w:szCs w:val="32"/>
          <w:u w:val="single"/>
        </w:rPr>
        <w:t xml:space="preserve"> </w:t>
      </w:r>
      <w:r>
        <w:rPr>
          <w:rFonts w:hint="default"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pacing w:val="0"/>
          <w:w w:val="100"/>
          <w:position w:val="0"/>
          <w:sz w:val="32"/>
          <w:szCs w:val="32"/>
        </w:rPr>
        <w:t xml:space="preserve"> </w:t>
      </w:r>
    </w:p>
    <w:p>
      <w:pPr>
        <w:pStyle w:val="17"/>
        <w:keepNext w:val="0"/>
        <w:keepLines w:val="0"/>
        <w:pageBreakBefore w:val="0"/>
        <w:widowControl w:val="0"/>
        <w:shd w:val="clear" w:color="auto" w:fill="auto"/>
        <w:tabs>
          <w:tab w:val="left" w:pos="4450"/>
          <w:tab w:val="left" w:pos="4457"/>
          <w:tab w:val="left" w:pos="4615"/>
          <w:tab w:val="left" w:pos="4766"/>
          <w:tab w:val="left" w:pos="5882"/>
          <w:tab w:val="left" w:pos="7142"/>
          <w:tab w:val="left" w:pos="8266"/>
          <w:tab w:val="left" w:pos="8273"/>
        </w:tabs>
        <w:kinsoku/>
        <w:wordWrap/>
        <w:overflowPunct/>
        <w:topLinePunct w:val="0"/>
        <w:autoSpaceDE/>
        <w:autoSpaceDN/>
        <w:bidi w:val="0"/>
        <w:adjustRightInd/>
        <w:snapToGrid/>
        <w:spacing w:before="0" w:after="0" w:line="560" w:lineRule="exact"/>
        <w:ind w:left="0" w:leftChars="0" w:right="0" w:firstLine="0"/>
        <w:jc w:val="left"/>
        <w:textAlignment w:val="auto"/>
        <w:rPr>
          <w:rFonts w:hint="default" w:ascii="Times New Roman" w:hAnsi="Times New Roman" w:eastAsia="仿宋_GB2312" w:cs="Times New Roman"/>
          <w:color w:val="auto"/>
          <w:spacing w:val="0"/>
          <w:w w:val="100"/>
          <w:position w:val="0"/>
          <w:sz w:val="32"/>
          <w:szCs w:val="32"/>
        </w:rPr>
      </w:pPr>
      <w:r>
        <w:rPr>
          <w:rFonts w:hint="default" w:ascii="Times New Roman" w:hAnsi="Times New Roman" w:eastAsia="仿宋_GB2312" w:cs="Times New Roman"/>
          <w:color w:val="auto"/>
          <w:spacing w:val="0"/>
          <w:w w:val="100"/>
          <w:position w:val="0"/>
          <w:sz w:val="32"/>
          <w:szCs w:val="32"/>
          <w:lang w:val="en-US" w:eastAsia="zh-CN"/>
        </w:rPr>
        <w:t>地址</w:t>
      </w:r>
      <w:r>
        <w:rPr>
          <w:rFonts w:hint="default" w:ascii="Times New Roman" w:hAnsi="Times New Roman" w:eastAsia="仿宋_GB2312" w:cs="Times New Roman"/>
          <w:color w:val="auto"/>
          <w:spacing w:val="0"/>
          <w:w w:val="100"/>
          <w:position w:val="0"/>
          <w:sz w:val="32"/>
          <w:szCs w:val="32"/>
        </w:rPr>
        <w:t>：</w:t>
      </w:r>
      <w:r>
        <w:rPr>
          <w:rFonts w:hint="default" w:ascii="Times New Roman" w:hAnsi="Times New Roman" w:eastAsia="仿宋_GB2312" w:cs="Times New Roman"/>
          <w:color w:val="auto"/>
          <w:sz w:val="32"/>
          <w:szCs w:val="32"/>
          <w:u w:val="single"/>
        </w:rPr>
        <w:t xml:space="preserve"> </w:t>
      </w:r>
      <w:r>
        <w:rPr>
          <w:rFonts w:hint="default"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pacing w:val="0"/>
          <w:w w:val="100"/>
          <w:position w:val="0"/>
          <w:sz w:val="32"/>
          <w:szCs w:val="32"/>
        </w:rPr>
        <w:t xml:space="preserve"> </w:t>
      </w:r>
    </w:p>
    <w:p>
      <w:pPr>
        <w:pStyle w:val="17"/>
        <w:keepNext w:val="0"/>
        <w:keepLines w:val="0"/>
        <w:pageBreakBefore w:val="0"/>
        <w:widowControl w:val="0"/>
        <w:shd w:val="clear" w:color="auto" w:fill="auto"/>
        <w:tabs>
          <w:tab w:val="left" w:pos="4450"/>
          <w:tab w:val="left" w:pos="4457"/>
          <w:tab w:val="left" w:pos="4615"/>
          <w:tab w:val="left" w:pos="4766"/>
          <w:tab w:val="left" w:pos="5882"/>
          <w:tab w:val="left" w:pos="7142"/>
          <w:tab w:val="left" w:pos="8266"/>
          <w:tab w:val="left" w:pos="8273"/>
        </w:tabs>
        <w:kinsoku/>
        <w:wordWrap/>
        <w:overflowPunct/>
        <w:topLinePunct w:val="0"/>
        <w:autoSpaceDE/>
        <w:autoSpaceDN/>
        <w:bidi w:val="0"/>
        <w:adjustRightInd/>
        <w:snapToGrid/>
        <w:spacing w:before="0" w:after="0" w:line="560" w:lineRule="exact"/>
        <w:ind w:left="0" w:leftChars="0" w:right="0" w:firstLine="0"/>
        <w:jc w:val="left"/>
        <w:textAlignment w:val="auto"/>
        <w:rPr>
          <w:rFonts w:hint="default" w:ascii="Times New Roman" w:hAnsi="Times New Roman" w:eastAsia="仿宋_GB2312" w:cs="Times New Roman"/>
          <w:color w:val="auto"/>
          <w:sz w:val="32"/>
          <w:szCs w:val="32"/>
          <w:u w:val="single"/>
          <w:lang w:val="en-US" w:eastAsia="zh-CN"/>
        </w:rPr>
      </w:pPr>
      <w:r>
        <w:rPr>
          <w:rFonts w:hint="default" w:ascii="Times New Roman" w:hAnsi="Times New Roman" w:eastAsia="仿宋_GB2312" w:cs="Times New Roman"/>
          <w:color w:val="auto"/>
          <w:spacing w:val="0"/>
          <w:w w:val="100"/>
          <w:position w:val="0"/>
          <w:sz w:val="32"/>
          <w:szCs w:val="32"/>
        </w:rPr>
        <w:t>联系电话：</w:t>
      </w:r>
      <w:r>
        <w:rPr>
          <w:rFonts w:hint="default" w:ascii="Times New Roman" w:hAnsi="Times New Roman" w:eastAsia="仿宋_GB2312" w:cs="Times New Roman"/>
          <w:color w:val="auto"/>
          <w:spacing w:val="0"/>
          <w:w w:val="100"/>
          <w:position w:val="0"/>
          <w:sz w:val="32"/>
          <w:szCs w:val="32"/>
          <w:u w:val="single"/>
          <w:lang w:val="en-US" w:eastAsia="zh-CN"/>
        </w:rPr>
        <w:t xml:space="preserve">                  </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74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pacing w:val="0"/>
          <w:w w:val="100"/>
          <w:position w:val="0"/>
          <w:sz w:val="32"/>
          <w:szCs w:val="32"/>
        </w:rPr>
        <w:t>依据</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中华人民共和国农村土地承包法</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农村土地经营权流转管理办法</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《农村土地承包合同管理办法》等法律、法规和国家有关政策的规定，本着平等协商、自愿、有偿的原则，甲方同意将位于下列承包土地的经营权委托给乙方进行流转。</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left"/>
        <w:textAlignment w:val="auto"/>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pacing w:val="0"/>
          <w:w w:val="100"/>
          <w:position w:val="0"/>
          <w:sz w:val="32"/>
          <w:szCs w:val="32"/>
        </w:rPr>
        <w:t>一、委托流转土地面积、位置及用途</w:t>
      </w:r>
    </w:p>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0"/>
        <w:jc w:val="center"/>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委托流转土地基本情况</w:t>
      </w:r>
    </w:p>
    <w:tbl>
      <w:tblPr>
        <w:tblStyle w:val="10"/>
        <w:tblW w:w="101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730"/>
        <w:gridCol w:w="717"/>
        <w:gridCol w:w="846"/>
        <w:gridCol w:w="867"/>
        <w:gridCol w:w="853"/>
        <w:gridCol w:w="853"/>
        <w:gridCol w:w="841"/>
        <w:gridCol w:w="1940"/>
        <w:gridCol w:w="1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784" w:type="dxa"/>
            <w:vMerge w:val="restart"/>
            <w:noWrap w:val="0"/>
            <w:vAlign w:val="center"/>
          </w:tcPr>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序号</w:t>
            </w:r>
          </w:p>
        </w:tc>
        <w:tc>
          <w:tcPr>
            <w:tcW w:w="730" w:type="dxa"/>
            <w:vMerge w:val="restart"/>
            <w:noWrap w:val="0"/>
            <w:vAlign w:val="center"/>
          </w:tcPr>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地块名称</w:t>
            </w:r>
          </w:p>
        </w:tc>
        <w:tc>
          <w:tcPr>
            <w:tcW w:w="717" w:type="dxa"/>
            <w:vMerge w:val="restart"/>
            <w:noWrap w:val="0"/>
            <w:vAlign w:val="center"/>
          </w:tcPr>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地块代码</w:t>
            </w:r>
          </w:p>
        </w:tc>
        <w:tc>
          <w:tcPr>
            <w:tcW w:w="3419" w:type="dxa"/>
            <w:gridSpan w:val="4"/>
            <w:noWrap w:val="0"/>
            <w:vAlign w:val="center"/>
          </w:tcPr>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四至界限</w:t>
            </w:r>
          </w:p>
        </w:tc>
        <w:tc>
          <w:tcPr>
            <w:tcW w:w="841" w:type="dxa"/>
            <w:vMerge w:val="restart"/>
            <w:noWrap w:val="0"/>
            <w:vAlign w:val="center"/>
          </w:tcPr>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面积（亩）</w:t>
            </w:r>
          </w:p>
        </w:tc>
        <w:tc>
          <w:tcPr>
            <w:tcW w:w="1940" w:type="dxa"/>
            <w:vMerge w:val="restart"/>
            <w:noWrap w:val="0"/>
            <w:vAlign w:val="center"/>
          </w:tcPr>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承包合同代码</w:t>
            </w:r>
          </w:p>
        </w:tc>
        <w:tc>
          <w:tcPr>
            <w:tcW w:w="1762" w:type="dxa"/>
            <w:vMerge w:val="restart"/>
            <w:noWrap w:val="0"/>
            <w:vAlign w:val="center"/>
          </w:tcPr>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784" w:type="dxa"/>
            <w:vMerge w:val="continue"/>
            <w:noWrap w:val="0"/>
            <w:vAlign w:val="center"/>
          </w:tcPr>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jc w:val="center"/>
              <w:textAlignment w:val="auto"/>
              <w:rPr>
                <w:rFonts w:hint="default" w:ascii="Times New Roman" w:hAnsi="Times New Roman" w:eastAsia="仿宋_GB2312" w:cs="Times New Roman"/>
                <w:color w:val="auto"/>
                <w:sz w:val="24"/>
                <w:szCs w:val="24"/>
                <w:vertAlign w:val="baseline"/>
                <w:lang w:val="en-US" w:eastAsia="zh-CN"/>
              </w:rPr>
            </w:pPr>
          </w:p>
        </w:tc>
        <w:tc>
          <w:tcPr>
            <w:tcW w:w="730" w:type="dxa"/>
            <w:vMerge w:val="continue"/>
            <w:noWrap w:val="0"/>
            <w:vAlign w:val="center"/>
          </w:tcPr>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jc w:val="center"/>
              <w:textAlignment w:val="auto"/>
              <w:rPr>
                <w:rFonts w:hint="default" w:ascii="Times New Roman" w:hAnsi="Times New Roman" w:eastAsia="仿宋_GB2312" w:cs="Times New Roman"/>
                <w:color w:val="auto"/>
                <w:sz w:val="24"/>
                <w:szCs w:val="24"/>
                <w:vertAlign w:val="baseline"/>
                <w:lang w:val="en-US" w:eastAsia="zh-CN"/>
              </w:rPr>
            </w:pPr>
          </w:p>
        </w:tc>
        <w:tc>
          <w:tcPr>
            <w:tcW w:w="717" w:type="dxa"/>
            <w:vMerge w:val="continue"/>
            <w:noWrap w:val="0"/>
            <w:vAlign w:val="center"/>
          </w:tcPr>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jc w:val="center"/>
              <w:textAlignment w:val="auto"/>
              <w:rPr>
                <w:rFonts w:hint="default" w:ascii="Times New Roman" w:hAnsi="Times New Roman" w:eastAsia="仿宋_GB2312" w:cs="Times New Roman"/>
                <w:color w:val="auto"/>
                <w:sz w:val="24"/>
                <w:szCs w:val="24"/>
                <w:vertAlign w:val="baseline"/>
                <w:lang w:val="en-US" w:eastAsia="zh-CN"/>
              </w:rPr>
            </w:pPr>
          </w:p>
        </w:tc>
        <w:tc>
          <w:tcPr>
            <w:tcW w:w="846" w:type="dxa"/>
            <w:noWrap w:val="0"/>
            <w:vAlign w:val="center"/>
          </w:tcPr>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东</w:t>
            </w:r>
          </w:p>
        </w:tc>
        <w:tc>
          <w:tcPr>
            <w:tcW w:w="867" w:type="dxa"/>
            <w:noWrap w:val="0"/>
            <w:vAlign w:val="center"/>
          </w:tcPr>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南</w:t>
            </w:r>
          </w:p>
        </w:tc>
        <w:tc>
          <w:tcPr>
            <w:tcW w:w="853" w:type="dxa"/>
            <w:noWrap w:val="0"/>
            <w:vAlign w:val="center"/>
          </w:tcPr>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西</w:t>
            </w:r>
          </w:p>
        </w:tc>
        <w:tc>
          <w:tcPr>
            <w:tcW w:w="853" w:type="dxa"/>
            <w:noWrap w:val="0"/>
            <w:vAlign w:val="center"/>
          </w:tcPr>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北</w:t>
            </w:r>
          </w:p>
        </w:tc>
        <w:tc>
          <w:tcPr>
            <w:tcW w:w="841" w:type="dxa"/>
            <w:vMerge w:val="continue"/>
            <w:noWrap w:val="0"/>
            <w:vAlign w:val="center"/>
          </w:tcPr>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jc w:val="center"/>
              <w:textAlignment w:val="auto"/>
              <w:rPr>
                <w:rFonts w:hint="default" w:ascii="Times New Roman" w:hAnsi="Times New Roman" w:eastAsia="仿宋_GB2312" w:cs="Times New Roman"/>
                <w:color w:val="auto"/>
                <w:sz w:val="24"/>
                <w:szCs w:val="24"/>
                <w:vertAlign w:val="baseline"/>
                <w:lang w:val="en-US" w:eastAsia="zh-CN"/>
              </w:rPr>
            </w:pPr>
          </w:p>
        </w:tc>
        <w:tc>
          <w:tcPr>
            <w:tcW w:w="1940" w:type="dxa"/>
            <w:vMerge w:val="continue"/>
            <w:noWrap w:val="0"/>
            <w:vAlign w:val="center"/>
          </w:tcPr>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jc w:val="center"/>
              <w:textAlignment w:val="auto"/>
              <w:rPr>
                <w:rFonts w:hint="default" w:ascii="Times New Roman" w:hAnsi="Times New Roman" w:eastAsia="仿宋_GB2312" w:cs="Times New Roman"/>
                <w:color w:val="auto"/>
                <w:sz w:val="24"/>
                <w:szCs w:val="24"/>
                <w:vertAlign w:val="baseline"/>
                <w:lang w:val="en-US" w:eastAsia="zh-CN"/>
              </w:rPr>
            </w:pPr>
          </w:p>
        </w:tc>
        <w:tc>
          <w:tcPr>
            <w:tcW w:w="1762" w:type="dxa"/>
            <w:vMerge w:val="continue"/>
            <w:noWrap w:val="0"/>
            <w:vAlign w:val="center"/>
          </w:tcPr>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jc w:val="center"/>
              <w:textAlignment w:val="auto"/>
              <w:rPr>
                <w:rFonts w:hint="default" w:ascii="Times New Roman" w:hAnsi="Times New Roman" w:eastAsia="仿宋_GB2312" w:cs="Times New Roman"/>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84" w:type="dxa"/>
            <w:noWrap w:val="0"/>
            <w:vAlign w:val="center"/>
          </w:tcPr>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w:t>
            </w:r>
          </w:p>
        </w:tc>
        <w:tc>
          <w:tcPr>
            <w:tcW w:w="730" w:type="dxa"/>
            <w:noWrap w:val="0"/>
            <w:vAlign w:val="center"/>
          </w:tcPr>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jc w:val="center"/>
              <w:textAlignment w:val="auto"/>
              <w:rPr>
                <w:rFonts w:hint="default" w:ascii="Times New Roman" w:hAnsi="Times New Roman" w:eastAsia="仿宋_GB2312" w:cs="Times New Roman"/>
                <w:color w:val="auto"/>
                <w:sz w:val="24"/>
                <w:szCs w:val="24"/>
                <w:vertAlign w:val="baseline"/>
                <w:lang w:val="en-US" w:eastAsia="zh-CN"/>
              </w:rPr>
            </w:pPr>
          </w:p>
        </w:tc>
        <w:tc>
          <w:tcPr>
            <w:tcW w:w="717" w:type="dxa"/>
            <w:noWrap w:val="0"/>
            <w:vAlign w:val="center"/>
          </w:tcPr>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jc w:val="center"/>
              <w:textAlignment w:val="auto"/>
              <w:rPr>
                <w:rFonts w:hint="default" w:ascii="Times New Roman" w:hAnsi="Times New Roman" w:eastAsia="仿宋_GB2312" w:cs="Times New Roman"/>
                <w:color w:val="auto"/>
                <w:sz w:val="24"/>
                <w:szCs w:val="24"/>
                <w:vertAlign w:val="baseline"/>
                <w:lang w:val="en-US" w:eastAsia="zh-CN"/>
              </w:rPr>
            </w:pPr>
          </w:p>
        </w:tc>
        <w:tc>
          <w:tcPr>
            <w:tcW w:w="846" w:type="dxa"/>
            <w:noWrap w:val="0"/>
            <w:vAlign w:val="center"/>
          </w:tcPr>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jc w:val="center"/>
              <w:textAlignment w:val="auto"/>
              <w:rPr>
                <w:rFonts w:hint="default" w:ascii="Times New Roman" w:hAnsi="Times New Roman" w:eastAsia="仿宋_GB2312" w:cs="Times New Roman"/>
                <w:color w:val="auto"/>
                <w:sz w:val="24"/>
                <w:szCs w:val="24"/>
                <w:vertAlign w:val="baseline"/>
                <w:lang w:val="en-US" w:eastAsia="zh-CN"/>
              </w:rPr>
            </w:pPr>
          </w:p>
        </w:tc>
        <w:tc>
          <w:tcPr>
            <w:tcW w:w="867" w:type="dxa"/>
            <w:noWrap w:val="0"/>
            <w:vAlign w:val="center"/>
          </w:tcPr>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jc w:val="center"/>
              <w:textAlignment w:val="auto"/>
              <w:rPr>
                <w:rFonts w:hint="default" w:ascii="Times New Roman" w:hAnsi="Times New Roman" w:eastAsia="仿宋_GB2312" w:cs="Times New Roman"/>
                <w:color w:val="auto"/>
                <w:sz w:val="24"/>
                <w:szCs w:val="24"/>
                <w:vertAlign w:val="baseline"/>
                <w:lang w:val="en-US" w:eastAsia="zh-CN"/>
              </w:rPr>
            </w:pPr>
          </w:p>
        </w:tc>
        <w:tc>
          <w:tcPr>
            <w:tcW w:w="853" w:type="dxa"/>
            <w:noWrap w:val="0"/>
            <w:vAlign w:val="center"/>
          </w:tcPr>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jc w:val="center"/>
              <w:textAlignment w:val="auto"/>
              <w:rPr>
                <w:rFonts w:hint="default" w:ascii="Times New Roman" w:hAnsi="Times New Roman" w:eastAsia="仿宋_GB2312" w:cs="Times New Roman"/>
                <w:color w:val="auto"/>
                <w:sz w:val="24"/>
                <w:szCs w:val="24"/>
                <w:vertAlign w:val="baseline"/>
                <w:lang w:val="en-US" w:eastAsia="zh-CN"/>
              </w:rPr>
            </w:pPr>
          </w:p>
        </w:tc>
        <w:tc>
          <w:tcPr>
            <w:tcW w:w="853" w:type="dxa"/>
            <w:noWrap w:val="0"/>
            <w:vAlign w:val="center"/>
          </w:tcPr>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jc w:val="center"/>
              <w:textAlignment w:val="auto"/>
              <w:rPr>
                <w:rFonts w:hint="default" w:ascii="Times New Roman" w:hAnsi="Times New Roman" w:eastAsia="仿宋_GB2312" w:cs="Times New Roman"/>
                <w:color w:val="auto"/>
                <w:sz w:val="24"/>
                <w:szCs w:val="24"/>
                <w:vertAlign w:val="baseline"/>
                <w:lang w:val="en-US" w:eastAsia="zh-CN"/>
              </w:rPr>
            </w:pPr>
          </w:p>
        </w:tc>
        <w:tc>
          <w:tcPr>
            <w:tcW w:w="841" w:type="dxa"/>
            <w:noWrap w:val="0"/>
            <w:vAlign w:val="center"/>
          </w:tcPr>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jc w:val="center"/>
              <w:textAlignment w:val="auto"/>
              <w:rPr>
                <w:rFonts w:hint="default" w:ascii="Times New Roman" w:hAnsi="Times New Roman" w:eastAsia="仿宋_GB2312" w:cs="Times New Roman"/>
                <w:color w:val="auto"/>
                <w:sz w:val="24"/>
                <w:szCs w:val="24"/>
                <w:vertAlign w:val="baseline"/>
                <w:lang w:val="en-US" w:eastAsia="zh-CN"/>
              </w:rPr>
            </w:pPr>
          </w:p>
        </w:tc>
        <w:tc>
          <w:tcPr>
            <w:tcW w:w="1940" w:type="dxa"/>
            <w:noWrap w:val="0"/>
            <w:vAlign w:val="center"/>
          </w:tcPr>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jc w:val="center"/>
              <w:textAlignment w:val="auto"/>
              <w:rPr>
                <w:rFonts w:hint="default" w:ascii="Times New Roman" w:hAnsi="Times New Roman" w:eastAsia="仿宋_GB2312" w:cs="Times New Roman"/>
                <w:color w:val="auto"/>
                <w:sz w:val="24"/>
                <w:szCs w:val="24"/>
                <w:vertAlign w:val="baseline"/>
                <w:lang w:val="en-US" w:eastAsia="zh-CN"/>
              </w:rPr>
            </w:pPr>
          </w:p>
        </w:tc>
        <w:tc>
          <w:tcPr>
            <w:tcW w:w="1762" w:type="dxa"/>
            <w:noWrap w:val="0"/>
            <w:vAlign w:val="center"/>
          </w:tcPr>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jc w:val="center"/>
              <w:textAlignment w:val="auto"/>
              <w:rPr>
                <w:rFonts w:hint="default" w:ascii="Times New Roman" w:hAnsi="Times New Roman" w:eastAsia="仿宋_GB2312" w:cs="Times New Roman"/>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84" w:type="dxa"/>
            <w:noWrap w:val="0"/>
            <w:vAlign w:val="center"/>
          </w:tcPr>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w:t>
            </w:r>
          </w:p>
        </w:tc>
        <w:tc>
          <w:tcPr>
            <w:tcW w:w="730" w:type="dxa"/>
            <w:noWrap w:val="0"/>
            <w:vAlign w:val="center"/>
          </w:tcPr>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jc w:val="center"/>
              <w:textAlignment w:val="auto"/>
              <w:rPr>
                <w:rFonts w:hint="default" w:ascii="Times New Roman" w:hAnsi="Times New Roman" w:eastAsia="仿宋_GB2312" w:cs="Times New Roman"/>
                <w:color w:val="auto"/>
                <w:sz w:val="24"/>
                <w:szCs w:val="24"/>
                <w:vertAlign w:val="baseline"/>
                <w:lang w:val="en-US" w:eastAsia="zh-CN"/>
              </w:rPr>
            </w:pPr>
          </w:p>
        </w:tc>
        <w:tc>
          <w:tcPr>
            <w:tcW w:w="717" w:type="dxa"/>
            <w:noWrap w:val="0"/>
            <w:vAlign w:val="center"/>
          </w:tcPr>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jc w:val="center"/>
              <w:textAlignment w:val="auto"/>
              <w:rPr>
                <w:rFonts w:hint="default" w:ascii="Times New Roman" w:hAnsi="Times New Roman" w:eastAsia="仿宋_GB2312" w:cs="Times New Roman"/>
                <w:color w:val="auto"/>
                <w:sz w:val="24"/>
                <w:szCs w:val="24"/>
                <w:vertAlign w:val="baseline"/>
                <w:lang w:val="en-US" w:eastAsia="zh-CN"/>
              </w:rPr>
            </w:pPr>
          </w:p>
        </w:tc>
        <w:tc>
          <w:tcPr>
            <w:tcW w:w="846" w:type="dxa"/>
            <w:noWrap w:val="0"/>
            <w:vAlign w:val="center"/>
          </w:tcPr>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jc w:val="center"/>
              <w:textAlignment w:val="auto"/>
              <w:rPr>
                <w:rFonts w:hint="default" w:ascii="Times New Roman" w:hAnsi="Times New Roman" w:eastAsia="仿宋_GB2312" w:cs="Times New Roman"/>
                <w:color w:val="auto"/>
                <w:sz w:val="24"/>
                <w:szCs w:val="24"/>
                <w:vertAlign w:val="baseline"/>
                <w:lang w:val="en-US" w:eastAsia="zh-CN"/>
              </w:rPr>
            </w:pPr>
          </w:p>
        </w:tc>
        <w:tc>
          <w:tcPr>
            <w:tcW w:w="867" w:type="dxa"/>
            <w:noWrap w:val="0"/>
            <w:vAlign w:val="center"/>
          </w:tcPr>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jc w:val="center"/>
              <w:textAlignment w:val="auto"/>
              <w:rPr>
                <w:rFonts w:hint="default" w:ascii="Times New Roman" w:hAnsi="Times New Roman" w:eastAsia="仿宋_GB2312" w:cs="Times New Roman"/>
                <w:color w:val="auto"/>
                <w:sz w:val="24"/>
                <w:szCs w:val="24"/>
                <w:vertAlign w:val="baseline"/>
                <w:lang w:val="en-US" w:eastAsia="zh-CN"/>
              </w:rPr>
            </w:pPr>
          </w:p>
        </w:tc>
        <w:tc>
          <w:tcPr>
            <w:tcW w:w="853" w:type="dxa"/>
            <w:noWrap w:val="0"/>
            <w:vAlign w:val="center"/>
          </w:tcPr>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jc w:val="center"/>
              <w:textAlignment w:val="auto"/>
              <w:rPr>
                <w:rFonts w:hint="default" w:ascii="Times New Roman" w:hAnsi="Times New Roman" w:eastAsia="仿宋_GB2312" w:cs="Times New Roman"/>
                <w:color w:val="auto"/>
                <w:sz w:val="24"/>
                <w:szCs w:val="24"/>
                <w:vertAlign w:val="baseline"/>
                <w:lang w:val="en-US" w:eastAsia="zh-CN"/>
              </w:rPr>
            </w:pPr>
          </w:p>
        </w:tc>
        <w:tc>
          <w:tcPr>
            <w:tcW w:w="853" w:type="dxa"/>
            <w:noWrap w:val="0"/>
            <w:vAlign w:val="center"/>
          </w:tcPr>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jc w:val="center"/>
              <w:textAlignment w:val="auto"/>
              <w:rPr>
                <w:rFonts w:hint="default" w:ascii="Times New Roman" w:hAnsi="Times New Roman" w:eastAsia="仿宋_GB2312" w:cs="Times New Roman"/>
                <w:color w:val="auto"/>
                <w:sz w:val="24"/>
                <w:szCs w:val="24"/>
                <w:vertAlign w:val="baseline"/>
                <w:lang w:val="en-US" w:eastAsia="zh-CN"/>
              </w:rPr>
            </w:pPr>
          </w:p>
        </w:tc>
        <w:tc>
          <w:tcPr>
            <w:tcW w:w="841" w:type="dxa"/>
            <w:noWrap w:val="0"/>
            <w:vAlign w:val="center"/>
          </w:tcPr>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jc w:val="center"/>
              <w:textAlignment w:val="auto"/>
              <w:rPr>
                <w:rFonts w:hint="default" w:ascii="Times New Roman" w:hAnsi="Times New Roman" w:eastAsia="仿宋_GB2312" w:cs="Times New Roman"/>
                <w:color w:val="auto"/>
                <w:sz w:val="24"/>
                <w:szCs w:val="24"/>
                <w:vertAlign w:val="baseline"/>
                <w:lang w:val="en-US" w:eastAsia="zh-CN"/>
              </w:rPr>
            </w:pPr>
          </w:p>
        </w:tc>
        <w:tc>
          <w:tcPr>
            <w:tcW w:w="1940" w:type="dxa"/>
            <w:noWrap w:val="0"/>
            <w:vAlign w:val="center"/>
          </w:tcPr>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jc w:val="center"/>
              <w:textAlignment w:val="auto"/>
              <w:rPr>
                <w:rFonts w:hint="default" w:ascii="Times New Roman" w:hAnsi="Times New Roman" w:eastAsia="仿宋_GB2312" w:cs="Times New Roman"/>
                <w:color w:val="auto"/>
                <w:sz w:val="24"/>
                <w:szCs w:val="24"/>
                <w:vertAlign w:val="baseline"/>
                <w:lang w:val="en-US" w:eastAsia="zh-CN"/>
              </w:rPr>
            </w:pPr>
          </w:p>
        </w:tc>
        <w:tc>
          <w:tcPr>
            <w:tcW w:w="1762" w:type="dxa"/>
            <w:noWrap w:val="0"/>
            <w:vAlign w:val="center"/>
          </w:tcPr>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jc w:val="center"/>
              <w:textAlignment w:val="auto"/>
              <w:rPr>
                <w:rFonts w:hint="default" w:ascii="Times New Roman" w:hAnsi="Times New Roman" w:eastAsia="仿宋_GB2312" w:cs="Times New Roman"/>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784" w:type="dxa"/>
            <w:noWrap w:val="0"/>
            <w:vAlign w:val="center"/>
          </w:tcPr>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3</w:t>
            </w:r>
          </w:p>
        </w:tc>
        <w:tc>
          <w:tcPr>
            <w:tcW w:w="730" w:type="dxa"/>
            <w:noWrap w:val="0"/>
            <w:vAlign w:val="center"/>
          </w:tcPr>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jc w:val="center"/>
              <w:textAlignment w:val="auto"/>
              <w:rPr>
                <w:rFonts w:hint="default" w:ascii="Times New Roman" w:hAnsi="Times New Roman" w:eastAsia="仿宋_GB2312" w:cs="Times New Roman"/>
                <w:color w:val="auto"/>
                <w:sz w:val="24"/>
                <w:szCs w:val="24"/>
                <w:vertAlign w:val="baseline"/>
                <w:lang w:val="en-US" w:eastAsia="zh-CN"/>
              </w:rPr>
            </w:pPr>
          </w:p>
        </w:tc>
        <w:tc>
          <w:tcPr>
            <w:tcW w:w="717" w:type="dxa"/>
            <w:noWrap w:val="0"/>
            <w:vAlign w:val="center"/>
          </w:tcPr>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jc w:val="center"/>
              <w:textAlignment w:val="auto"/>
              <w:rPr>
                <w:rFonts w:hint="default" w:ascii="Times New Roman" w:hAnsi="Times New Roman" w:eastAsia="仿宋_GB2312" w:cs="Times New Roman"/>
                <w:color w:val="auto"/>
                <w:sz w:val="24"/>
                <w:szCs w:val="24"/>
                <w:vertAlign w:val="baseline"/>
                <w:lang w:val="en-US" w:eastAsia="zh-CN"/>
              </w:rPr>
            </w:pPr>
          </w:p>
        </w:tc>
        <w:tc>
          <w:tcPr>
            <w:tcW w:w="846" w:type="dxa"/>
            <w:noWrap w:val="0"/>
            <w:vAlign w:val="center"/>
          </w:tcPr>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jc w:val="center"/>
              <w:textAlignment w:val="auto"/>
              <w:rPr>
                <w:rFonts w:hint="default" w:ascii="Times New Roman" w:hAnsi="Times New Roman" w:eastAsia="仿宋_GB2312" w:cs="Times New Roman"/>
                <w:color w:val="auto"/>
                <w:sz w:val="24"/>
                <w:szCs w:val="24"/>
                <w:vertAlign w:val="baseline"/>
                <w:lang w:val="en-US" w:eastAsia="zh-CN"/>
              </w:rPr>
            </w:pPr>
          </w:p>
        </w:tc>
        <w:tc>
          <w:tcPr>
            <w:tcW w:w="867" w:type="dxa"/>
            <w:noWrap w:val="0"/>
            <w:vAlign w:val="center"/>
          </w:tcPr>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jc w:val="center"/>
              <w:textAlignment w:val="auto"/>
              <w:rPr>
                <w:rFonts w:hint="default" w:ascii="Times New Roman" w:hAnsi="Times New Roman" w:eastAsia="仿宋_GB2312" w:cs="Times New Roman"/>
                <w:color w:val="auto"/>
                <w:sz w:val="24"/>
                <w:szCs w:val="24"/>
                <w:vertAlign w:val="baseline"/>
                <w:lang w:val="en-US" w:eastAsia="zh-CN"/>
              </w:rPr>
            </w:pPr>
          </w:p>
        </w:tc>
        <w:tc>
          <w:tcPr>
            <w:tcW w:w="853" w:type="dxa"/>
            <w:noWrap w:val="0"/>
            <w:vAlign w:val="center"/>
          </w:tcPr>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jc w:val="center"/>
              <w:textAlignment w:val="auto"/>
              <w:rPr>
                <w:rFonts w:hint="default" w:ascii="Times New Roman" w:hAnsi="Times New Roman" w:eastAsia="仿宋_GB2312" w:cs="Times New Roman"/>
                <w:color w:val="auto"/>
                <w:sz w:val="24"/>
                <w:szCs w:val="24"/>
                <w:vertAlign w:val="baseline"/>
                <w:lang w:val="en-US" w:eastAsia="zh-CN"/>
              </w:rPr>
            </w:pPr>
          </w:p>
        </w:tc>
        <w:tc>
          <w:tcPr>
            <w:tcW w:w="853" w:type="dxa"/>
            <w:noWrap w:val="0"/>
            <w:vAlign w:val="center"/>
          </w:tcPr>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jc w:val="center"/>
              <w:textAlignment w:val="auto"/>
              <w:rPr>
                <w:rFonts w:hint="default" w:ascii="Times New Roman" w:hAnsi="Times New Roman" w:eastAsia="仿宋_GB2312" w:cs="Times New Roman"/>
                <w:color w:val="auto"/>
                <w:sz w:val="24"/>
                <w:szCs w:val="24"/>
                <w:vertAlign w:val="baseline"/>
                <w:lang w:val="en-US" w:eastAsia="zh-CN"/>
              </w:rPr>
            </w:pPr>
          </w:p>
        </w:tc>
        <w:tc>
          <w:tcPr>
            <w:tcW w:w="841" w:type="dxa"/>
            <w:noWrap w:val="0"/>
            <w:vAlign w:val="center"/>
          </w:tcPr>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jc w:val="center"/>
              <w:textAlignment w:val="auto"/>
              <w:rPr>
                <w:rFonts w:hint="default" w:ascii="Times New Roman" w:hAnsi="Times New Roman" w:eastAsia="仿宋_GB2312" w:cs="Times New Roman"/>
                <w:color w:val="auto"/>
                <w:sz w:val="24"/>
                <w:szCs w:val="24"/>
                <w:vertAlign w:val="baseline"/>
                <w:lang w:val="en-US" w:eastAsia="zh-CN"/>
              </w:rPr>
            </w:pPr>
          </w:p>
        </w:tc>
        <w:tc>
          <w:tcPr>
            <w:tcW w:w="1940" w:type="dxa"/>
            <w:noWrap w:val="0"/>
            <w:vAlign w:val="center"/>
          </w:tcPr>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jc w:val="center"/>
              <w:textAlignment w:val="auto"/>
              <w:rPr>
                <w:rFonts w:hint="default" w:ascii="Times New Roman" w:hAnsi="Times New Roman" w:eastAsia="仿宋_GB2312" w:cs="Times New Roman"/>
                <w:color w:val="auto"/>
                <w:sz w:val="24"/>
                <w:szCs w:val="24"/>
                <w:vertAlign w:val="baseline"/>
                <w:lang w:val="en-US" w:eastAsia="zh-CN"/>
              </w:rPr>
            </w:pPr>
          </w:p>
        </w:tc>
        <w:tc>
          <w:tcPr>
            <w:tcW w:w="1762" w:type="dxa"/>
            <w:noWrap w:val="0"/>
            <w:vAlign w:val="center"/>
          </w:tcPr>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jc w:val="center"/>
              <w:textAlignment w:val="auto"/>
              <w:rPr>
                <w:rFonts w:hint="default" w:ascii="Times New Roman" w:hAnsi="Times New Roman" w:eastAsia="仿宋_GB2312" w:cs="Times New Roman"/>
                <w:color w:val="auto"/>
                <w:sz w:val="24"/>
                <w:szCs w:val="24"/>
                <w:vertAlign w:val="baseline"/>
                <w:lang w:val="en-US" w:eastAsia="zh-CN"/>
              </w:rPr>
            </w:pPr>
          </w:p>
        </w:tc>
      </w:tr>
    </w:tbl>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left"/>
        <w:textAlignment w:val="auto"/>
        <w:rPr>
          <w:rFonts w:hint="default" w:ascii="Times New Roman" w:hAnsi="Times New Roman" w:cs="Times New Roman"/>
          <w:b w:val="0"/>
          <w:bCs w:val="0"/>
          <w:color w:val="auto"/>
          <w:sz w:val="32"/>
          <w:szCs w:val="32"/>
        </w:rPr>
      </w:pPr>
      <w:r>
        <w:rPr>
          <w:rFonts w:hint="default" w:ascii="Times New Roman" w:hAnsi="Times New Roman" w:eastAsia="黑体" w:cs="Times New Roman"/>
          <w:b w:val="0"/>
          <w:bCs w:val="0"/>
          <w:color w:val="auto"/>
          <w:spacing w:val="0"/>
          <w:w w:val="100"/>
          <w:position w:val="0"/>
          <w:sz w:val="32"/>
          <w:szCs w:val="32"/>
        </w:rPr>
        <w:t>二、委托流转方式</w:t>
      </w:r>
    </w:p>
    <w:p>
      <w:pPr>
        <w:pStyle w:val="17"/>
        <w:keepNext w:val="0"/>
        <w:keepLines w:val="0"/>
        <w:pageBreakBefore w:val="0"/>
        <w:widowControl w:val="0"/>
        <w:shd w:val="clear" w:color="auto" w:fill="auto"/>
        <w:tabs>
          <w:tab w:val="left" w:pos="4889"/>
          <w:tab w:val="left" w:pos="6523"/>
        </w:tabs>
        <w:kinsoku/>
        <w:wordWrap/>
        <w:overflowPunct/>
        <w:topLinePunct w:val="0"/>
        <w:autoSpaceDE/>
        <w:autoSpaceDN/>
        <w:bidi w:val="0"/>
        <w:adjustRightInd/>
        <w:snapToGrid/>
        <w:spacing w:before="0" w:after="0" w:line="560" w:lineRule="exact"/>
        <w:ind w:left="0" w:leftChars="0" w:right="0" w:firstLine="72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pacing w:val="0"/>
          <w:w w:val="100"/>
          <w:position w:val="0"/>
          <w:sz w:val="32"/>
          <w:szCs w:val="32"/>
        </w:rPr>
        <w:t>甲方委托乙方将以上土地共计</w:t>
      </w:r>
      <w:r>
        <w:rPr>
          <w:rFonts w:hint="default" w:ascii="Times New Roman" w:hAnsi="Times New Roman" w:eastAsia="仿宋_GB2312" w:cs="Times New Roman"/>
          <w:color w:val="auto"/>
          <w:spacing w:val="0"/>
          <w:w w:val="100"/>
          <w:position w:val="0"/>
          <w:sz w:val="32"/>
          <w:szCs w:val="32"/>
          <w:u w:val="single"/>
          <w:lang w:val="en-US" w:eastAsia="zh-CN"/>
        </w:rPr>
        <w:t xml:space="preserve">     </w:t>
      </w:r>
      <w:r>
        <w:rPr>
          <w:rFonts w:hint="default" w:ascii="Times New Roman" w:hAnsi="Times New Roman" w:eastAsia="仿宋_GB2312" w:cs="Times New Roman"/>
          <w:color w:val="auto"/>
          <w:spacing w:val="0"/>
          <w:w w:val="100"/>
          <w:position w:val="0"/>
          <w:sz w:val="32"/>
          <w:szCs w:val="32"/>
        </w:rPr>
        <w:t>亩，以</w:t>
      </w:r>
      <w:r>
        <w:rPr>
          <w:rFonts w:hint="default" w:ascii="Times New Roman" w:hAnsi="Times New Roman" w:eastAsia="仿宋_GB2312" w:cs="Times New Roman"/>
          <w:color w:val="auto"/>
          <w:spacing w:val="0"/>
          <w:w w:val="100"/>
          <w:position w:val="0"/>
          <w:sz w:val="32"/>
          <w:szCs w:val="32"/>
          <w:u w:val="single"/>
          <w:lang w:val="en-US" w:eastAsia="zh-CN"/>
        </w:rPr>
        <w:t xml:space="preserve">        </w:t>
      </w:r>
      <w:r>
        <w:rPr>
          <w:rFonts w:hint="default" w:ascii="Times New Roman" w:hAnsi="Times New Roman" w:eastAsia="仿宋_GB2312" w:cs="Times New Roman"/>
          <w:color w:val="auto"/>
          <w:spacing w:val="0"/>
          <w:w w:val="100"/>
          <w:position w:val="0"/>
          <w:sz w:val="32"/>
          <w:szCs w:val="32"/>
        </w:rPr>
        <w:t>方式流转他人。</w:t>
      </w:r>
    </w:p>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left"/>
        <w:textAlignment w:val="auto"/>
        <w:rPr>
          <w:rFonts w:hint="default" w:ascii="Times New Roman" w:hAnsi="Times New Roman" w:eastAsia="黑体" w:cs="Times New Roman"/>
          <w:b w:val="0"/>
          <w:bCs w:val="0"/>
          <w:color w:val="auto"/>
          <w:spacing w:val="0"/>
          <w:w w:val="100"/>
          <w:position w:val="0"/>
          <w:sz w:val="32"/>
          <w:szCs w:val="32"/>
        </w:rPr>
      </w:pPr>
      <w:bookmarkStart w:id="2" w:name="bookmark56"/>
      <w:bookmarkStart w:id="3" w:name="bookmark57"/>
      <w:bookmarkStart w:id="4" w:name="bookmark55"/>
      <w:bookmarkStart w:id="5" w:name="bookmark54"/>
      <w:r>
        <w:rPr>
          <w:rFonts w:hint="default" w:ascii="Times New Roman" w:hAnsi="Times New Roman" w:eastAsia="黑体" w:cs="Times New Roman"/>
          <w:b w:val="0"/>
          <w:bCs w:val="0"/>
          <w:color w:val="auto"/>
          <w:spacing w:val="0"/>
          <w:w w:val="100"/>
          <w:position w:val="0"/>
          <w:sz w:val="32"/>
          <w:szCs w:val="32"/>
        </w:rPr>
        <w:t>三</w:t>
      </w:r>
      <w:bookmarkEnd w:id="2"/>
      <w:r>
        <w:rPr>
          <w:rFonts w:hint="default" w:ascii="Times New Roman" w:hAnsi="Times New Roman" w:eastAsia="黑体" w:cs="Times New Roman"/>
          <w:b w:val="0"/>
          <w:bCs w:val="0"/>
          <w:color w:val="auto"/>
          <w:spacing w:val="0"/>
          <w:w w:val="100"/>
          <w:position w:val="0"/>
          <w:sz w:val="32"/>
          <w:szCs w:val="32"/>
        </w:rPr>
        <w:t>、委托流转期限</w:t>
      </w:r>
      <w:bookmarkEnd w:id="3"/>
      <w:bookmarkEnd w:id="4"/>
      <w:bookmarkEnd w:id="5"/>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585" w:firstLineChars="183"/>
        <w:jc w:val="both"/>
        <w:textAlignment w:val="auto"/>
        <w:rPr>
          <w:rFonts w:hint="default" w:ascii="Times New Roman" w:hAnsi="Times New Roman" w:eastAsia="仿宋_GB2312" w:cs="Times New Roman"/>
          <w:color w:val="auto"/>
          <w:spacing w:val="0"/>
          <w:w w:val="100"/>
          <w:position w:val="0"/>
          <w:sz w:val="32"/>
          <w:szCs w:val="32"/>
        </w:rPr>
      </w:pPr>
      <w:r>
        <w:rPr>
          <w:rFonts w:hint="default" w:ascii="Times New Roman" w:hAnsi="Times New Roman" w:eastAsia="仿宋_GB2312" w:cs="Times New Roman"/>
          <w:color w:val="auto"/>
          <w:spacing w:val="0"/>
          <w:w w:val="100"/>
          <w:position w:val="0"/>
          <w:sz w:val="32"/>
          <w:szCs w:val="32"/>
        </w:rPr>
        <w:t>土地委托流转期限为</w:t>
      </w:r>
      <w:r>
        <w:rPr>
          <w:rFonts w:hint="default" w:ascii="Times New Roman" w:hAnsi="Times New Roman" w:eastAsia="仿宋_GB2312" w:cs="Times New Roman"/>
          <w:color w:val="auto"/>
          <w:spacing w:val="0"/>
          <w:w w:val="100"/>
          <w:position w:val="0"/>
          <w:sz w:val="32"/>
          <w:szCs w:val="32"/>
          <w:u w:val="single"/>
          <w:lang w:val="en-US" w:eastAsia="zh-CN"/>
        </w:rPr>
        <w:t xml:space="preserve">      </w:t>
      </w:r>
      <w:r>
        <w:rPr>
          <w:rFonts w:hint="default" w:ascii="Times New Roman" w:hAnsi="Times New Roman" w:eastAsia="仿宋_GB2312" w:cs="Times New Roman"/>
          <w:color w:val="auto"/>
          <w:spacing w:val="0"/>
          <w:w w:val="100"/>
          <w:position w:val="0"/>
          <w:sz w:val="32"/>
          <w:szCs w:val="32"/>
        </w:rPr>
        <w:t>年，自</w:t>
      </w:r>
      <w:r>
        <w:rPr>
          <w:rFonts w:hint="default" w:ascii="Times New Roman" w:hAnsi="Times New Roman" w:eastAsia="仿宋_GB2312" w:cs="Times New Roman"/>
          <w:color w:val="auto"/>
          <w:spacing w:val="0"/>
          <w:w w:val="100"/>
          <w:position w:val="0"/>
          <w:sz w:val="32"/>
          <w:szCs w:val="32"/>
          <w:lang w:val="en-US" w:eastAsia="zh-CN"/>
        </w:rPr>
        <w:t xml:space="preserve"> </w:t>
      </w:r>
      <w:r>
        <w:rPr>
          <w:rFonts w:hint="default" w:ascii="Times New Roman" w:hAnsi="Times New Roman" w:eastAsia="仿宋_GB2312" w:cs="Times New Roman"/>
          <w:color w:val="auto"/>
          <w:spacing w:val="0"/>
          <w:w w:val="100"/>
          <w:position w:val="0"/>
          <w:sz w:val="32"/>
          <w:szCs w:val="32"/>
          <w:u w:val="single"/>
          <w:lang w:val="en-US" w:eastAsia="zh-CN"/>
        </w:rPr>
        <w:t xml:space="preserve">    </w:t>
      </w:r>
      <w:r>
        <w:rPr>
          <w:rFonts w:hint="default" w:ascii="Times New Roman" w:hAnsi="Times New Roman" w:eastAsia="仿宋_GB2312" w:cs="Times New Roman"/>
          <w:color w:val="auto"/>
          <w:spacing w:val="0"/>
          <w:w w:val="100"/>
          <w:position w:val="0"/>
          <w:sz w:val="32"/>
          <w:szCs w:val="32"/>
        </w:rPr>
        <w:t>年</w:t>
      </w:r>
      <w:r>
        <w:rPr>
          <w:rFonts w:hint="default" w:ascii="Times New Roman" w:hAnsi="Times New Roman" w:eastAsia="仿宋_GB2312" w:cs="Times New Roman"/>
          <w:color w:val="auto"/>
          <w:spacing w:val="0"/>
          <w:w w:val="100"/>
          <w:position w:val="0"/>
          <w:sz w:val="32"/>
          <w:szCs w:val="32"/>
          <w:u w:val="single"/>
          <w:lang w:val="en-US" w:eastAsia="zh-CN"/>
        </w:rPr>
        <w:t xml:space="preserve">    </w:t>
      </w:r>
      <w:r>
        <w:rPr>
          <w:rFonts w:hint="default" w:ascii="Times New Roman" w:hAnsi="Times New Roman" w:eastAsia="仿宋_GB2312" w:cs="Times New Roman"/>
          <w:color w:val="auto"/>
          <w:spacing w:val="0"/>
          <w:w w:val="100"/>
          <w:position w:val="0"/>
          <w:sz w:val="32"/>
          <w:szCs w:val="32"/>
        </w:rPr>
        <w:t>月</w:t>
      </w:r>
      <w:r>
        <w:rPr>
          <w:rFonts w:hint="default" w:ascii="Times New Roman" w:hAnsi="Times New Roman" w:eastAsia="仿宋_GB2312" w:cs="Times New Roman"/>
          <w:color w:val="auto"/>
          <w:spacing w:val="0"/>
          <w:w w:val="100"/>
          <w:position w:val="0"/>
          <w:sz w:val="32"/>
          <w:szCs w:val="32"/>
          <w:u w:val="single"/>
          <w:lang w:val="en-US" w:eastAsia="zh-CN"/>
        </w:rPr>
        <w:t xml:space="preserve">    </w:t>
      </w:r>
      <w:r>
        <w:rPr>
          <w:rFonts w:hint="default" w:ascii="Times New Roman" w:hAnsi="Times New Roman" w:eastAsia="仿宋_GB2312" w:cs="Times New Roman"/>
          <w:color w:val="auto"/>
          <w:spacing w:val="0"/>
          <w:w w:val="100"/>
          <w:position w:val="0"/>
          <w:sz w:val="32"/>
          <w:szCs w:val="32"/>
        </w:rPr>
        <w:t>日起至</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585" w:firstLineChars="183"/>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pacing w:val="0"/>
          <w:w w:val="100"/>
          <w:position w:val="0"/>
          <w:sz w:val="32"/>
          <w:szCs w:val="32"/>
          <w:u w:val="single"/>
          <w:lang w:val="en-US" w:eastAsia="zh-CN"/>
        </w:rPr>
        <w:t xml:space="preserve">    </w:t>
      </w:r>
      <w:r>
        <w:rPr>
          <w:rFonts w:hint="default" w:ascii="Times New Roman" w:hAnsi="Times New Roman" w:eastAsia="仿宋_GB2312" w:cs="Times New Roman"/>
          <w:color w:val="auto"/>
          <w:spacing w:val="0"/>
          <w:w w:val="100"/>
          <w:position w:val="0"/>
          <w:sz w:val="32"/>
          <w:szCs w:val="32"/>
        </w:rPr>
        <w:t>年</w:t>
      </w:r>
      <w:r>
        <w:rPr>
          <w:rFonts w:hint="default" w:ascii="Times New Roman" w:hAnsi="Times New Roman" w:eastAsia="仿宋_GB2312" w:cs="Times New Roman"/>
          <w:color w:val="auto"/>
          <w:spacing w:val="0"/>
          <w:w w:val="100"/>
          <w:position w:val="0"/>
          <w:sz w:val="32"/>
          <w:szCs w:val="32"/>
          <w:u w:val="single"/>
          <w:lang w:val="en-US" w:eastAsia="zh-CN"/>
        </w:rPr>
        <w:t xml:space="preserve">    </w:t>
      </w:r>
      <w:r>
        <w:rPr>
          <w:rFonts w:hint="default" w:ascii="Times New Roman" w:hAnsi="Times New Roman" w:eastAsia="仿宋_GB2312" w:cs="Times New Roman"/>
          <w:color w:val="auto"/>
          <w:spacing w:val="0"/>
          <w:w w:val="100"/>
          <w:position w:val="0"/>
          <w:sz w:val="32"/>
          <w:szCs w:val="32"/>
        </w:rPr>
        <w:t>月</w:t>
      </w:r>
      <w:r>
        <w:rPr>
          <w:rFonts w:hint="default" w:ascii="Times New Roman" w:hAnsi="Times New Roman" w:eastAsia="仿宋_GB2312" w:cs="Times New Roman"/>
          <w:color w:val="auto"/>
          <w:spacing w:val="0"/>
          <w:w w:val="100"/>
          <w:position w:val="0"/>
          <w:sz w:val="32"/>
          <w:szCs w:val="32"/>
          <w:u w:val="single"/>
          <w:lang w:val="en-US" w:eastAsia="zh-CN"/>
        </w:rPr>
        <w:t xml:space="preserve">    </w:t>
      </w:r>
      <w:r>
        <w:rPr>
          <w:rFonts w:hint="default" w:ascii="Times New Roman" w:hAnsi="Times New Roman" w:eastAsia="仿宋_GB2312" w:cs="Times New Roman"/>
          <w:color w:val="auto"/>
          <w:spacing w:val="0"/>
          <w:w w:val="100"/>
          <w:position w:val="0"/>
          <w:sz w:val="32"/>
          <w:szCs w:val="32"/>
        </w:rPr>
        <w:t>日止。超出该期限委托书自行失效。</w:t>
      </w:r>
    </w:p>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left"/>
        <w:textAlignment w:val="auto"/>
        <w:rPr>
          <w:rFonts w:hint="default" w:ascii="Times New Roman" w:hAnsi="Times New Roman" w:eastAsia="黑体" w:cs="Times New Roman"/>
          <w:b w:val="0"/>
          <w:bCs w:val="0"/>
          <w:color w:val="auto"/>
          <w:spacing w:val="0"/>
          <w:w w:val="100"/>
          <w:position w:val="0"/>
          <w:sz w:val="32"/>
          <w:szCs w:val="32"/>
        </w:rPr>
      </w:pPr>
      <w:bookmarkStart w:id="6" w:name="bookmark58"/>
      <w:r>
        <w:rPr>
          <w:rFonts w:hint="default" w:ascii="Times New Roman" w:hAnsi="Times New Roman" w:eastAsia="黑体" w:cs="Times New Roman"/>
          <w:b w:val="0"/>
          <w:bCs w:val="0"/>
          <w:color w:val="auto"/>
          <w:spacing w:val="0"/>
          <w:w w:val="100"/>
          <w:position w:val="0"/>
          <w:sz w:val="32"/>
          <w:szCs w:val="32"/>
        </w:rPr>
        <w:t>四</w:t>
      </w:r>
      <w:bookmarkEnd w:id="6"/>
      <w:r>
        <w:rPr>
          <w:rFonts w:hint="default" w:ascii="Times New Roman" w:hAnsi="Times New Roman" w:eastAsia="黑体" w:cs="Times New Roman"/>
          <w:b w:val="0"/>
          <w:bCs w:val="0"/>
          <w:color w:val="auto"/>
          <w:spacing w:val="0"/>
          <w:w w:val="100"/>
          <w:position w:val="0"/>
          <w:sz w:val="32"/>
          <w:szCs w:val="32"/>
        </w:rPr>
        <w:t>、委托流转价格与支付方式</w:t>
      </w:r>
    </w:p>
    <w:p>
      <w:pPr>
        <w:pStyle w:val="17"/>
        <w:keepNext w:val="0"/>
        <w:keepLines w:val="0"/>
        <w:pageBreakBefore w:val="0"/>
        <w:widowControl w:val="0"/>
        <w:shd w:val="clear" w:color="auto" w:fill="auto"/>
        <w:tabs>
          <w:tab w:val="left" w:pos="1460"/>
          <w:tab w:val="left" w:pos="5861"/>
        </w:tabs>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default" w:ascii="Times New Roman" w:hAnsi="Times New Roman" w:eastAsia="仿宋_GB2312" w:cs="Times New Roman"/>
          <w:color w:val="auto"/>
          <w:spacing w:val="0"/>
          <w:w w:val="100"/>
          <w:position w:val="0"/>
          <w:sz w:val="32"/>
          <w:szCs w:val="32"/>
        </w:rPr>
      </w:pP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lang w:val="en-US" w:eastAsia="zh-CN"/>
        </w:rPr>
        <w:t>1</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甲方授权乙方按每亩每年人民币（现金）</w:t>
      </w:r>
      <w:r>
        <w:rPr>
          <w:rFonts w:hint="default" w:ascii="Times New Roman" w:hAnsi="Times New Roman" w:eastAsia="仿宋_GB2312" w:cs="Times New Roman"/>
          <w:color w:val="auto"/>
          <w:spacing w:val="0"/>
          <w:w w:val="100"/>
          <w:position w:val="0"/>
          <w:sz w:val="32"/>
          <w:szCs w:val="32"/>
          <w:u w:val="single"/>
          <w:lang w:val="en-US" w:eastAsia="zh-CN"/>
        </w:rPr>
        <w:t xml:space="preserve">    </w:t>
      </w:r>
      <w:r>
        <w:rPr>
          <w:rFonts w:hint="default" w:ascii="Times New Roman" w:hAnsi="Times New Roman" w:eastAsia="仿宋_GB2312" w:cs="Times New Roman"/>
          <w:color w:val="auto"/>
          <w:spacing w:val="0"/>
          <w:w w:val="100"/>
          <w:position w:val="0"/>
          <w:sz w:val="32"/>
          <w:szCs w:val="32"/>
        </w:rPr>
        <w:t>元的标准进行流转，土地实现流转后，甲方按每亩每年（现金）</w:t>
      </w:r>
      <w:r>
        <w:rPr>
          <w:rFonts w:hint="eastAsia" w:ascii="Times New Roman" w:hAnsi="Times New Roman" w:eastAsia="仿宋_GB2312" w:cs="Times New Roman"/>
          <w:color w:val="auto"/>
          <w:spacing w:val="0"/>
          <w:w w:val="100"/>
          <w:position w:val="0"/>
          <w:sz w:val="32"/>
          <w:szCs w:val="32"/>
          <w:u w:val="single"/>
          <w:lang w:val="en-US" w:eastAsia="zh-CN"/>
        </w:rPr>
        <w:t xml:space="preserve">   </w:t>
      </w:r>
      <w:r>
        <w:rPr>
          <w:rFonts w:hint="default" w:ascii="Times New Roman" w:hAnsi="Times New Roman" w:eastAsia="仿宋_GB2312" w:cs="Times New Roman"/>
          <w:color w:val="auto"/>
          <w:spacing w:val="0"/>
          <w:w w:val="100"/>
          <w:position w:val="0"/>
          <w:sz w:val="32"/>
          <w:szCs w:val="32"/>
          <w:u w:val="single"/>
        </w:rPr>
        <w:t>_</w:t>
      </w:r>
      <w:r>
        <w:rPr>
          <w:rFonts w:hint="eastAsia" w:ascii="Times New Roman" w:hAnsi="Times New Roman" w:eastAsia="仿宋_GB2312" w:cs="Times New Roman"/>
          <w:color w:val="auto"/>
          <w:spacing w:val="0"/>
          <w:w w:val="100"/>
          <w:position w:val="0"/>
          <w:sz w:val="32"/>
          <w:szCs w:val="32"/>
          <w:u w:val="single"/>
          <w:lang w:val="en-US" w:eastAsia="zh-CN"/>
        </w:rPr>
        <w:t xml:space="preserve">  </w:t>
      </w:r>
      <w:r>
        <w:rPr>
          <w:rFonts w:hint="default" w:ascii="Times New Roman" w:hAnsi="Times New Roman" w:eastAsia="仿宋_GB2312" w:cs="Times New Roman"/>
          <w:color w:val="auto"/>
          <w:spacing w:val="0"/>
          <w:w w:val="100"/>
          <w:position w:val="0"/>
          <w:sz w:val="32"/>
          <w:szCs w:val="32"/>
        </w:rPr>
        <w:t>元的标准收取土地流转收益。</w:t>
      </w:r>
    </w:p>
    <w:p>
      <w:pPr>
        <w:pStyle w:val="17"/>
        <w:keepNext w:val="0"/>
        <w:keepLines w:val="0"/>
        <w:pageBreakBefore w:val="0"/>
        <w:widowControl w:val="0"/>
        <w:shd w:val="clear" w:color="auto" w:fill="auto"/>
        <w:tabs>
          <w:tab w:val="left" w:pos="1460"/>
          <w:tab w:val="left" w:pos="5861"/>
        </w:tabs>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lang w:val="en-US" w:eastAsia="zh-CN"/>
        </w:rPr>
        <w:t>2</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支付方式：待乙方与土地承租人签订流转协议后支付给甲方，付款时间为签订流转协议后</w:t>
      </w:r>
      <w:r>
        <w:rPr>
          <w:rFonts w:hint="default" w:ascii="Times New Roman" w:hAnsi="Times New Roman" w:eastAsia="仿宋_GB2312" w:cs="Times New Roman"/>
          <w:color w:val="auto"/>
          <w:sz w:val="32"/>
          <w:szCs w:val="32"/>
          <w:u w:val="single"/>
        </w:rPr>
        <w:t xml:space="preserve"> </w:t>
      </w:r>
      <w:r>
        <w:rPr>
          <w:rFonts w:hint="eastAsia"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pacing w:val="0"/>
          <w:w w:val="100"/>
          <w:position w:val="0"/>
          <w:sz w:val="32"/>
          <w:szCs w:val="32"/>
        </w:rPr>
        <w:t>天之内。</w:t>
      </w:r>
    </w:p>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left"/>
        <w:textAlignment w:val="auto"/>
        <w:rPr>
          <w:rFonts w:hint="default" w:ascii="Times New Roman" w:hAnsi="Times New Roman" w:eastAsia="黑体" w:cs="Times New Roman"/>
          <w:b w:val="0"/>
          <w:bCs w:val="0"/>
          <w:color w:val="auto"/>
          <w:spacing w:val="0"/>
          <w:w w:val="100"/>
          <w:position w:val="0"/>
          <w:sz w:val="32"/>
          <w:szCs w:val="32"/>
        </w:rPr>
      </w:pPr>
      <w:bookmarkStart w:id="7" w:name="bookmark61"/>
      <w:r>
        <w:rPr>
          <w:rFonts w:hint="default" w:ascii="Times New Roman" w:hAnsi="Times New Roman" w:eastAsia="黑体" w:cs="Times New Roman"/>
          <w:b w:val="0"/>
          <w:bCs w:val="0"/>
          <w:color w:val="auto"/>
          <w:spacing w:val="0"/>
          <w:w w:val="100"/>
          <w:position w:val="0"/>
          <w:sz w:val="32"/>
          <w:szCs w:val="32"/>
        </w:rPr>
        <w:t>五</w:t>
      </w:r>
      <w:bookmarkEnd w:id="7"/>
      <w:r>
        <w:rPr>
          <w:rFonts w:hint="default" w:ascii="Times New Roman" w:hAnsi="Times New Roman" w:eastAsia="黑体" w:cs="Times New Roman"/>
          <w:b w:val="0"/>
          <w:bCs w:val="0"/>
          <w:color w:val="auto"/>
          <w:spacing w:val="0"/>
          <w:w w:val="100"/>
          <w:position w:val="0"/>
          <w:sz w:val="32"/>
          <w:szCs w:val="32"/>
        </w:rPr>
        <w:t>、委托流转用途</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pacing w:val="0"/>
          <w:w w:val="100"/>
          <w:position w:val="0"/>
          <w:sz w:val="32"/>
          <w:szCs w:val="32"/>
        </w:rPr>
        <w:t>受让方不得改变土地的农业用途</w:t>
      </w:r>
      <w:r>
        <w:rPr>
          <w:rFonts w:hint="eastAsia" w:ascii="Times New Roman" w:hAnsi="Times New Roman" w:eastAsia="仿宋_GB2312" w:cs="Times New Roman"/>
          <w:color w:val="auto"/>
          <w:spacing w:val="0"/>
          <w:w w:val="100"/>
          <w:position w:val="0"/>
          <w:sz w:val="32"/>
          <w:szCs w:val="32"/>
          <w:lang w:eastAsia="zh-CN"/>
        </w:rPr>
        <w:t>、种植约定、合同特别约定条款等</w:t>
      </w:r>
      <w:r>
        <w:rPr>
          <w:rFonts w:hint="default" w:ascii="Times New Roman" w:hAnsi="Times New Roman" w:eastAsia="仿宋_GB2312" w:cs="Times New Roman"/>
          <w:color w:val="auto"/>
          <w:spacing w:val="0"/>
          <w:w w:val="100"/>
          <w:position w:val="0"/>
          <w:sz w:val="32"/>
          <w:szCs w:val="32"/>
        </w:rPr>
        <w:t>。</w:t>
      </w:r>
    </w:p>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left"/>
        <w:textAlignment w:val="auto"/>
        <w:rPr>
          <w:rFonts w:hint="default" w:ascii="Times New Roman" w:hAnsi="Times New Roman" w:eastAsia="黑体" w:cs="Times New Roman"/>
          <w:b w:val="0"/>
          <w:bCs w:val="0"/>
          <w:color w:val="auto"/>
          <w:spacing w:val="0"/>
          <w:w w:val="100"/>
          <w:position w:val="0"/>
          <w:sz w:val="32"/>
          <w:szCs w:val="32"/>
        </w:rPr>
      </w:pPr>
      <w:r>
        <w:rPr>
          <w:rFonts w:hint="default" w:ascii="Times New Roman" w:hAnsi="Times New Roman" w:eastAsia="黑体" w:cs="Times New Roman"/>
          <w:b w:val="0"/>
          <w:bCs w:val="0"/>
          <w:color w:val="auto"/>
          <w:spacing w:val="0"/>
          <w:w w:val="100"/>
          <w:position w:val="0"/>
          <w:sz w:val="32"/>
          <w:szCs w:val="32"/>
          <w:lang w:val="en-US" w:eastAsia="zh-CN"/>
        </w:rPr>
        <w:t>六、</w:t>
      </w:r>
      <w:r>
        <w:rPr>
          <w:rFonts w:hint="default" w:ascii="Times New Roman" w:hAnsi="Times New Roman" w:eastAsia="黑体" w:cs="Times New Roman"/>
          <w:b w:val="0"/>
          <w:bCs w:val="0"/>
          <w:color w:val="auto"/>
          <w:spacing w:val="0"/>
          <w:w w:val="100"/>
          <w:position w:val="0"/>
          <w:sz w:val="32"/>
          <w:szCs w:val="32"/>
        </w:rPr>
        <w:t>委托权限</w:t>
      </w:r>
    </w:p>
    <w:p>
      <w:pPr>
        <w:pStyle w:val="17"/>
        <w:keepNext w:val="0"/>
        <w:keepLines w:val="0"/>
        <w:pageBreakBefore w:val="0"/>
        <w:widowControl w:val="0"/>
        <w:numPr>
          <w:ilvl w:val="0"/>
          <w:numId w:val="0"/>
        </w:numPr>
        <w:shd w:val="clear" w:color="auto" w:fill="auto"/>
        <w:tabs>
          <w:tab w:val="left" w:pos="1074"/>
        </w:tabs>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rPr>
      </w:pPr>
      <w:bookmarkStart w:id="8" w:name="bookmark63"/>
      <w:bookmarkEnd w:id="8"/>
      <w:r>
        <w:rPr>
          <w:rFonts w:hint="default" w:ascii="Times New Roman" w:hAnsi="Times New Roman" w:eastAsia="仿宋_GB2312" w:cs="Times New Roman"/>
          <w:color w:val="auto"/>
          <w:spacing w:val="0"/>
          <w:w w:val="100"/>
          <w:position w:val="0"/>
          <w:sz w:val="32"/>
          <w:szCs w:val="32"/>
          <w:lang w:val="en-US" w:eastAsia="zh-CN"/>
        </w:rPr>
        <w:t>1．</w:t>
      </w:r>
      <w:r>
        <w:rPr>
          <w:rFonts w:hint="default" w:ascii="Times New Roman" w:hAnsi="Times New Roman" w:eastAsia="仿宋_GB2312" w:cs="Times New Roman"/>
          <w:color w:val="auto"/>
          <w:spacing w:val="0"/>
          <w:w w:val="100"/>
          <w:position w:val="0"/>
          <w:sz w:val="32"/>
          <w:szCs w:val="32"/>
        </w:rPr>
        <w:t>乙方可以与受让方协商流转事宜。</w:t>
      </w:r>
    </w:p>
    <w:p>
      <w:pPr>
        <w:pStyle w:val="17"/>
        <w:keepNext w:val="0"/>
        <w:keepLines w:val="0"/>
        <w:pageBreakBefore w:val="0"/>
        <w:widowControl w:val="0"/>
        <w:numPr>
          <w:ilvl w:val="0"/>
          <w:numId w:val="0"/>
        </w:numPr>
        <w:shd w:val="clear" w:color="auto" w:fill="auto"/>
        <w:tabs>
          <w:tab w:val="left" w:pos="1042"/>
        </w:tabs>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rPr>
      </w:pPr>
      <w:bookmarkStart w:id="9" w:name="bookmark64"/>
      <w:bookmarkEnd w:id="9"/>
      <w:r>
        <w:rPr>
          <w:rFonts w:hint="default" w:ascii="Times New Roman" w:hAnsi="Times New Roman" w:eastAsia="仿宋_GB2312" w:cs="Times New Roman"/>
          <w:color w:val="auto"/>
          <w:spacing w:val="0"/>
          <w:w w:val="100"/>
          <w:position w:val="0"/>
          <w:sz w:val="32"/>
          <w:szCs w:val="32"/>
          <w:lang w:val="en-US" w:eastAsia="zh-CN"/>
        </w:rPr>
        <w:t>2．</w:t>
      </w:r>
      <w:r>
        <w:rPr>
          <w:rFonts w:hint="default" w:ascii="Times New Roman" w:hAnsi="Times New Roman" w:eastAsia="仿宋_GB2312" w:cs="Times New Roman"/>
          <w:color w:val="auto"/>
          <w:spacing w:val="0"/>
          <w:w w:val="100"/>
          <w:position w:val="0"/>
          <w:sz w:val="32"/>
          <w:szCs w:val="32"/>
        </w:rPr>
        <w:t>经协商，乙方与受让方达成流转意向的，乙方与受让方签订土地流转合同。</w:t>
      </w:r>
    </w:p>
    <w:p>
      <w:pPr>
        <w:pStyle w:val="17"/>
        <w:keepNext w:val="0"/>
        <w:keepLines w:val="0"/>
        <w:pageBreakBefore w:val="0"/>
        <w:widowControl w:val="0"/>
        <w:numPr>
          <w:ilvl w:val="0"/>
          <w:numId w:val="0"/>
        </w:numPr>
        <w:shd w:val="clear" w:color="auto" w:fill="auto"/>
        <w:tabs>
          <w:tab w:val="left" w:pos="1064"/>
        </w:tabs>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rPr>
      </w:pPr>
      <w:bookmarkStart w:id="10" w:name="bookmark65"/>
      <w:bookmarkEnd w:id="10"/>
      <w:r>
        <w:rPr>
          <w:rFonts w:hint="default" w:ascii="Times New Roman" w:hAnsi="Times New Roman" w:eastAsia="仿宋_GB2312" w:cs="Times New Roman"/>
          <w:color w:val="auto"/>
          <w:spacing w:val="0"/>
          <w:w w:val="100"/>
          <w:position w:val="0"/>
          <w:sz w:val="32"/>
          <w:szCs w:val="32"/>
          <w:lang w:val="en-US" w:eastAsia="zh-CN"/>
        </w:rPr>
        <w:t>3．</w:t>
      </w:r>
      <w:r>
        <w:rPr>
          <w:rFonts w:hint="default" w:ascii="Times New Roman" w:hAnsi="Times New Roman" w:eastAsia="仿宋_GB2312" w:cs="Times New Roman"/>
          <w:color w:val="auto"/>
          <w:spacing w:val="0"/>
          <w:w w:val="100"/>
          <w:position w:val="0"/>
          <w:sz w:val="32"/>
          <w:szCs w:val="32"/>
        </w:rPr>
        <w:t>经甲方同意，乙方可以不同</w:t>
      </w:r>
      <w:r>
        <w:rPr>
          <w:rFonts w:hint="eastAsia" w:ascii="Times New Roman" w:hAnsi="Times New Roman" w:eastAsia="仿宋_GB2312" w:cs="Times New Roman"/>
          <w:color w:val="auto"/>
          <w:spacing w:val="0"/>
          <w:w w:val="100"/>
          <w:position w:val="0"/>
          <w:sz w:val="32"/>
          <w:szCs w:val="32"/>
          <w:lang w:eastAsia="zh-CN"/>
        </w:rPr>
        <w:t>意</w:t>
      </w:r>
      <w:r>
        <w:rPr>
          <w:rFonts w:hint="default" w:ascii="Times New Roman" w:hAnsi="Times New Roman" w:eastAsia="仿宋_GB2312" w:cs="Times New Roman"/>
          <w:color w:val="auto"/>
          <w:spacing w:val="0"/>
          <w:w w:val="100"/>
          <w:position w:val="0"/>
          <w:sz w:val="32"/>
          <w:szCs w:val="32"/>
        </w:rPr>
        <w:t>本委托书中约定的内容与受让方签约，但乙方必须另行出具委托证明。</w:t>
      </w:r>
    </w:p>
    <w:p>
      <w:pPr>
        <w:pStyle w:val="17"/>
        <w:keepNext w:val="0"/>
        <w:keepLines w:val="0"/>
        <w:pageBreakBefore w:val="0"/>
        <w:widowControl w:val="0"/>
        <w:numPr>
          <w:ilvl w:val="0"/>
          <w:numId w:val="0"/>
        </w:numPr>
        <w:shd w:val="clear" w:color="auto" w:fill="auto"/>
        <w:tabs>
          <w:tab w:val="left" w:pos="1050"/>
        </w:tabs>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rPr>
      </w:pPr>
      <w:bookmarkStart w:id="11" w:name="bookmark66"/>
      <w:bookmarkEnd w:id="11"/>
      <w:r>
        <w:rPr>
          <w:rFonts w:hint="default" w:ascii="Times New Roman" w:hAnsi="Times New Roman" w:eastAsia="仿宋_GB2312" w:cs="Times New Roman"/>
          <w:color w:val="auto"/>
          <w:spacing w:val="0"/>
          <w:w w:val="100"/>
          <w:position w:val="0"/>
          <w:sz w:val="32"/>
          <w:szCs w:val="32"/>
          <w:lang w:val="en-US" w:eastAsia="zh-CN"/>
        </w:rPr>
        <w:t>4．</w:t>
      </w:r>
      <w:r>
        <w:rPr>
          <w:rFonts w:hint="default" w:ascii="Times New Roman" w:hAnsi="Times New Roman" w:eastAsia="仿宋_GB2312" w:cs="Times New Roman"/>
          <w:color w:val="auto"/>
          <w:spacing w:val="0"/>
          <w:w w:val="100"/>
          <w:position w:val="0"/>
          <w:sz w:val="32"/>
          <w:szCs w:val="32"/>
        </w:rPr>
        <w:t>按本委托书约定，乙方与受让方签订流转合同的，甲方违法解除该合同，应承担违约责任。</w:t>
      </w:r>
    </w:p>
    <w:p>
      <w:pPr>
        <w:pStyle w:val="17"/>
        <w:keepNext w:val="0"/>
        <w:keepLines w:val="0"/>
        <w:pageBreakBefore w:val="0"/>
        <w:widowControl w:val="0"/>
        <w:numPr>
          <w:ilvl w:val="0"/>
          <w:numId w:val="0"/>
        </w:numPr>
        <w:shd w:val="clear" w:color="auto" w:fill="auto"/>
        <w:tabs>
          <w:tab w:val="left" w:pos="1050"/>
        </w:tabs>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rPr>
      </w:pPr>
      <w:bookmarkStart w:id="12" w:name="bookmark67"/>
      <w:bookmarkEnd w:id="12"/>
      <w:r>
        <w:rPr>
          <w:rFonts w:hint="default" w:ascii="Times New Roman" w:hAnsi="Times New Roman" w:eastAsia="仿宋_GB2312" w:cs="Times New Roman"/>
          <w:color w:val="auto"/>
          <w:spacing w:val="0"/>
          <w:w w:val="100"/>
          <w:position w:val="0"/>
          <w:sz w:val="32"/>
          <w:szCs w:val="32"/>
          <w:lang w:val="en-US" w:eastAsia="zh-CN"/>
        </w:rPr>
        <w:t>5．</w:t>
      </w:r>
      <w:r>
        <w:rPr>
          <w:rFonts w:hint="default" w:ascii="Times New Roman" w:hAnsi="Times New Roman" w:eastAsia="仿宋_GB2312" w:cs="Times New Roman"/>
          <w:color w:val="auto"/>
          <w:spacing w:val="0"/>
          <w:w w:val="100"/>
          <w:position w:val="0"/>
          <w:sz w:val="32"/>
          <w:szCs w:val="32"/>
        </w:rPr>
        <w:t>土地流转后，甲方需按本委托书约定向乙方支付委托费用。</w:t>
      </w:r>
    </w:p>
    <w:p>
      <w:pPr>
        <w:pStyle w:val="17"/>
        <w:keepNext w:val="0"/>
        <w:keepLines w:val="0"/>
        <w:pageBreakBefore w:val="0"/>
        <w:widowControl w:val="0"/>
        <w:numPr>
          <w:ilvl w:val="0"/>
          <w:numId w:val="0"/>
        </w:numPr>
        <w:shd w:val="clear" w:color="auto" w:fill="auto"/>
        <w:tabs>
          <w:tab w:val="left" w:pos="1050"/>
        </w:tabs>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仿宋_GB2312" w:cs="Times New Roman"/>
          <w:color w:val="auto"/>
          <w:spacing w:val="0"/>
          <w:w w:val="100"/>
          <w:position w:val="0"/>
          <w:sz w:val="32"/>
          <w:szCs w:val="32"/>
          <w:lang w:eastAsia="zh-CN"/>
        </w:rPr>
      </w:pPr>
      <w:r>
        <w:rPr>
          <w:rFonts w:hint="default" w:ascii="Times New Roman" w:hAnsi="Times New Roman" w:eastAsia="仿宋_GB2312" w:cs="Times New Roman"/>
          <w:color w:val="auto"/>
          <w:spacing w:val="0"/>
          <w:w w:val="100"/>
          <w:position w:val="0"/>
          <w:sz w:val="32"/>
          <w:szCs w:val="32"/>
          <w:lang w:val="en-US" w:eastAsia="zh-CN"/>
        </w:rPr>
        <w:t>6．</w:t>
      </w:r>
      <w:r>
        <w:rPr>
          <w:rFonts w:hint="default" w:ascii="Times New Roman" w:hAnsi="Times New Roman" w:eastAsia="仿宋_GB2312" w:cs="Times New Roman"/>
          <w:color w:val="auto"/>
          <w:spacing w:val="0"/>
          <w:w w:val="100"/>
          <w:position w:val="0"/>
          <w:sz w:val="32"/>
          <w:szCs w:val="32"/>
          <w:lang w:val="zh-CN" w:eastAsia="zh-CN"/>
        </w:rPr>
        <w:t>乙方</w:t>
      </w:r>
      <w:r>
        <w:rPr>
          <w:rFonts w:hint="default" w:ascii="Times New Roman" w:hAnsi="Times New Roman" w:eastAsia="仿宋_GB2312" w:cs="Times New Roman"/>
          <w:color w:val="auto"/>
          <w:spacing w:val="0"/>
          <w:w w:val="100"/>
          <w:position w:val="0"/>
          <w:sz w:val="32"/>
          <w:szCs w:val="32"/>
        </w:rPr>
        <w:t>超越委托权限以外的行为，自行承担法律责任</w:t>
      </w:r>
      <w:r>
        <w:rPr>
          <w:rFonts w:hint="default" w:ascii="Times New Roman" w:hAnsi="Times New Roman" w:eastAsia="仿宋_GB2312" w:cs="Times New Roman"/>
          <w:color w:val="auto"/>
          <w:spacing w:val="0"/>
          <w:w w:val="100"/>
          <w:position w:val="0"/>
          <w:sz w:val="32"/>
          <w:szCs w:val="32"/>
          <w:lang w:eastAsia="zh-CN"/>
        </w:rPr>
        <w:t>。</w:t>
      </w:r>
    </w:p>
    <w:p>
      <w:pPr>
        <w:pStyle w:val="17"/>
        <w:keepNext w:val="0"/>
        <w:keepLines w:val="0"/>
        <w:pageBreakBefore w:val="0"/>
        <w:widowControl w:val="0"/>
        <w:numPr>
          <w:ilvl w:val="0"/>
          <w:numId w:val="0"/>
        </w:numPr>
        <w:shd w:val="clear" w:color="auto" w:fill="auto"/>
        <w:tabs>
          <w:tab w:val="left" w:pos="1050"/>
        </w:tabs>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仿宋_GB2312" w:cs="Times New Roman"/>
          <w:color w:val="auto"/>
          <w:spacing w:val="0"/>
          <w:w w:val="100"/>
          <w:position w:val="0"/>
          <w:sz w:val="32"/>
          <w:szCs w:val="32"/>
        </w:rPr>
      </w:pPr>
      <w:r>
        <w:rPr>
          <w:rFonts w:hint="default" w:ascii="Times New Roman" w:hAnsi="Times New Roman" w:eastAsia="仿宋_GB2312" w:cs="Times New Roman"/>
          <w:color w:val="auto"/>
          <w:spacing w:val="0"/>
          <w:w w:val="100"/>
          <w:position w:val="0"/>
          <w:sz w:val="32"/>
          <w:szCs w:val="32"/>
          <w:lang w:val="en-US" w:eastAsia="zh-CN"/>
        </w:rPr>
        <w:t>7．</w:t>
      </w:r>
      <w:r>
        <w:rPr>
          <w:rFonts w:hint="default" w:ascii="Times New Roman" w:hAnsi="Times New Roman" w:eastAsia="仿宋_GB2312" w:cs="Times New Roman"/>
          <w:color w:val="auto"/>
          <w:spacing w:val="0"/>
          <w:w w:val="100"/>
          <w:position w:val="0"/>
          <w:sz w:val="32"/>
          <w:szCs w:val="32"/>
        </w:rPr>
        <w:t>其他约定。</w:t>
      </w:r>
    </w:p>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left"/>
        <w:textAlignment w:val="auto"/>
        <w:rPr>
          <w:rFonts w:hint="default" w:ascii="Times New Roman" w:hAnsi="Times New Roman" w:eastAsia="黑体" w:cs="Times New Roman"/>
          <w:b w:val="0"/>
          <w:bCs w:val="0"/>
          <w:color w:val="auto"/>
          <w:spacing w:val="0"/>
          <w:w w:val="100"/>
          <w:position w:val="0"/>
          <w:sz w:val="32"/>
          <w:szCs w:val="32"/>
        </w:rPr>
      </w:pPr>
      <w:bookmarkStart w:id="13" w:name="bookmark71"/>
      <w:bookmarkStart w:id="14" w:name="bookmark68"/>
      <w:bookmarkStart w:id="15" w:name="bookmark69"/>
      <w:r>
        <w:rPr>
          <w:rFonts w:hint="default" w:ascii="Times New Roman" w:hAnsi="Times New Roman" w:eastAsia="黑体" w:cs="Times New Roman"/>
          <w:b w:val="0"/>
          <w:bCs w:val="0"/>
          <w:color w:val="auto"/>
          <w:spacing w:val="0"/>
          <w:w w:val="100"/>
          <w:position w:val="0"/>
          <w:sz w:val="32"/>
          <w:szCs w:val="32"/>
          <w:lang w:val="en-US" w:eastAsia="zh-CN"/>
        </w:rPr>
        <w:t>七、</w:t>
      </w:r>
      <w:r>
        <w:rPr>
          <w:rFonts w:hint="default" w:ascii="Times New Roman" w:hAnsi="Times New Roman" w:eastAsia="黑体" w:cs="Times New Roman"/>
          <w:b w:val="0"/>
          <w:bCs w:val="0"/>
          <w:color w:val="auto"/>
          <w:spacing w:val="0"/>
          <w:w w:val="100"/>
          <w:position w:val="0"/>
          <w:sz w:val="32"/>
          <w:szCs w:val="32"/>
        </w:rPr>
        <w:t>委托收费</w:t>
      </w:r>
      <w:bookmarkEnd w:id="13"/>
      <w:bookmarkEnd w:id="14"/>
      <w:bookmarkEnd w:id="15"/>
    </w:p>
    <w:p>
      <w:pPr>
        <w:pStyle w:val="17"/>
        <w:keepNext w:val="0"/>
        <w:keepLines w:val="0"/>
        <w:pageBreakBefore w:val="0"/>
        <w:widowControl w:val="0"/>
        <w:numPr>
          <w:ilvl w:val="0"/>
          <w:numId w:val="0"/>
        </w:numPr>
        <w:shd w:val="clear" w:color="auto" w:fill="auto"/>
        <w:tabs>
          <w:tab w:val="left" w:pos="1021"/>
          <w:tab w:val="left" w:pos="1080"/>
        </w:tabs>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rPr>
      </w:pPr>
      <w:bookmarkStart w:id="16" w:name="bookmark72"/>
      <w:bookmarkEnd w:id="16"/>
      <w:r>
        <w:rPr>
          <w:rFonts w:hint="default" w:ascii="Times New Roman" w:hAnsi="Times New Roman" w:eastAsia="仿宋_GB2312" w:cs="Times New Roman"/>
          <w:color w:val="auto"/>
          <w:spacing w:val="0"/>
          <w:w w:val="100"/>
          <w:position w:val="0"/>
          <w:sz w:val="32"/>
          <w:szCs w:val="32"/>
          <w:lang w:val="en-US" w:eastAsia="zh-CN"/>
        </w:rPr>
        <w:t>1．</w:t>
      </w:r>
      <w:r>
        <w:rPr>
          <w:rFonts w:hint="default" w:ascii="Times New Roman" w:hAnsi="Times New Roman" w:eastAsia="仿宋_GB2312" w:cs="Times New Roman"/>
          <w:color w:val="auto"/>
          <w:spacing w:val="0"/>
          <w:w w:val="100"/>
          <w:position w:val="0"/>
          <w:sz w:val="32"/>
          <w:szCs w:val="32"/>
        </w:rPr>
        <w:t>收费：委托流转服务费在流转给受让方成功后，按流转费的</w:t>
      </w:r>
      <w:r>
        <w:rPr>
          <w:rFonts w:hint="default" w:ascii="Times New Roman" w:hAnsi="Times New Roman" w:eastAsia="仿宋_GB2312" w:cs="Times New Roman"/>
          <w:color w:val="auto"/>
          <w:sz w:val="32"/>
          <w:szCs w:val="32"/>
          <w:u w:val="single"/>
        </w:rPr>
        <w:t xml:space="preserve"> </w:t>
      </w:r>
      <w:r>
        <w:rPr>
          <w:rFonts w:hint="eastAsia"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pacing w:val="0"/>
          <w:w w:val="100"/>
          <w:position w:val="0"/>
          <w:sz w:val="32"/>
          <w:szCs w:val="32"/>
        </w:rPr>
        <w:t>%</w:t>
      </w:r>
      <w:r>
        <w:rPr>
          <w:rFonts w:hint="eastAsia" w:ascii="Times New Roman" w:hAnsi="Times New Roman" w:eastAsia="仿宋_GB2312" w:cs="Times New Roman"/>
          <w:color w:val="auto"/>
          <w:spacing w:val="0"/>
          <w:w w:val="100"/>
          <w:position w:val="0"/>
          <w:sz w:val="32"/>
          <w:szCs w:val="32"/>
          <w:lang w:eastAsia="zh-CN"/>
        </w:rPr>
        <w:t>或</w:t>
      </w:r>
      <w:r>
        <w:rPr>
          <w:rFonts w:hint="eastAsia" w:ascii="Times New Roman" w:hAnsi="Times New Roman" w:eastAsia="仿宋_GB2312" w:cs="Times New Roman"/>
          <w:color w:val="auto"/>
          <w:spacing w:val="0"/>
          <w:w w:val="100"/>
          <w:position w:val="0"/>
          <w:sz w:val="32"/>
          <w:szCs w:val="32"/>
          <w:u w:val="single"/>
          <w:lang w:val="en-US" w:eastAsia="zh-CN"/>
        </w:rPr>
        <w:t xml:space="preserve">     </w:t>
      </w:r>
      <w:r>
        <w:rPr>
          <w:rFonts w:hint="eastAsia" w:ascii="Times New Roman" w:hAnsi="Times New Roman" w:eastAsia="仿宋_GB2312" w:cs="Times New Roman"/>
          <w:color w:val="auto"/>
          <w:spacing w:val="0"/>
          <w:w w:val="100"/>
          <w:position w:val="0"/>
          <w:sz w:val="32"/>
          <w:szCs w:val="32"/>
          <w:u w:val="none"/>
          <w:lang w:val="en-US" w:eastAsia="zh-CN"/>
        </w:rPr>
        <w:t>元/亩</w:t>
      </w:r>
      <w:r>
        <w:rPr>
          <w:rFonts w:hint="default" w:ascii="Times New Roman" w:hAnsi="Times New Roman" w:eastAsia="仿宋_GB2312" w:cs="Times New Roman"/>
          <w:color w:val="auto"/>
          <w:spacing w:val="0"/>
          <w:w w:val="100"/>
          <w:position w:val="0"/>
          <w:sz w:val="32"/>
          <w:szCs w:val="32"/>
        </w:rPr>
        <w:t>收取。</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pacing w:val="0"/>
          <w:w w:val="100"/>
          <w:position w:val="0"/>
          <w:sz w:val="32"/>
          <w:szCs w:val="32"/>
          <w:lang w:val="en-US" w:eastAsia="zh-CN"/>
        </w:rPr>
        <w:t>2．</w:t>
      </w:r>
      <w:r>
        <w:rPr>
          <w:rFonts w:hint="default" w:ascii="Times New Roman" w:hAnsi="Times New Roman" w:eastAsia="仿宋_GB2312" w:cs="Times New Roman"/>
          <w:color w:val="auto"/>
          <w:spacing w:val="0"/>
          <w:w w:val="100"/>
          <w:position w:val="0"/>
          <w:sz w:val="32"/>
          <w:szCs w:val="32"/>
          <w:lang w:val="zh-CN" w:eastAsia="zh-CN" w:bidi="zh-CN"/>
        </w:rPr>
        <w:t>不</w:t>
      </w:r>
      <w:r>
        <w:rPr>
          <w:rFonts w:hint="default" w:ascii="Times New Roman" w:hAnsi="Times New Roman" w:eastAsia="仿宋_GB2312" w:cs="Times New Roman"/>
          <w:color w:val="auto"/>
          <w:spacing w:val="0"/>
          <w:w w:val="100"/>
          <w:position w:val="0"/>
          <w:sz w:val="32"/>
          <w:szCs w:val="32"/>
        </w:rPr>
        <w:t>收费。</w:t>
      </w:r>
    </w:p>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left"/>
        <w:textAlignment w:val="auto"/>
        <w:rPr>
          <w:rFonts w:hint="default" w:ascii="Times New Roman" w:hAnsi="Times New Roman" w:eastAsia="黑体" w:cs="Times New Roman"/>
          <w:b w:val="0"/>
          <w:bCs w:val="0"/>
          <w:color w:val="auto"/>
          <w:spacing w:val="0"/>
          <w:w w:val="100"/>
          <w:position w:val="0"/>
          <w:sz w:val="32"/>
          <w:szCs w:val="32"/>
        </w:rPr>
      </w:pPr>
      <w:bookmarkStart w:id="17" w:name="bookmark73"/>
      <w:r>
        <w:rPr>
          <w:rFonts w:hint="default" w:ascii="Times New Roman" w:hAnsi="Times New Roman" w:eastAsia="黑体" w:cs="Times New Roman"/>
          <w:b w:val="0"/>
          <w:bCs w:val="0"/>
          <w:color w:val="auto"/>
          <w:spacing w:val="0"/>
          <w:w w:val="100"/>
          <w:position w:val="0"/>
          <w:sz w:val="32"/>
          <w:szCs w:val="32"/>
        </w:rPr>
        <w:t>八</w:t>
      </w:r>
      <w:bookmarkEnd w:id="17"/>
      <w:r>
        <w:rPr>
          <w:rFonts w:hint="default" w:ascii="Times New Roman" w:hAnsi="Times New Roman" w:eastAsia="黑体" w:cs="Times New Roman"/>
          <w:b w:val="0"/>
          <w:bCs w:val="0"/>
          <w:color w:val="auto"/>
          <w:spacing w:val="0"/>
          <w:w w:val="100"/>
          <w:position w:val="0"/>
          <w:sz w:val="32"/>
          <w:szCs w:val="32"/>
        </w:rPr>
        <w:t>、本委托书一式四份，当事人双方各执一份，村集体经济组织和乡（镇）农村</w:t>
      </w:r>
      <w:r>
        <w:rPr>
          <w:rFonts w:hint="eastAsia" w:ascii="Times New Roman" w:hAnsi="Times New Roman" w:eastAsia="黑体" w:cs="Times New Roman"/>
          <w:b w:val="0"/>
          <w:bCs w:val="0"/>
          <w:color w:val="auto"/>
          <w:spacing w:val="0"/>
          <w:w w:val="100"/>
          <w:position w:val="0"/>
          <w:sz w:val="32"/>
          <w:szCs w:val="32"/>
          <w:lang w:eastAsia="zh-CN"/>
        </w:rPr>
        <w:t>土地承包</w:t>
      </w:r>
      <w:r>
        <w:rPr>
          <w:rFonts w:hint="default" w:ascii="Times New Roman" w:hAnsi="Times New Roman" w:eastAsia="黑体" w:cs="Times New Roman"/>
          <w:b w:val="0"/>
          <w:bCs w:val="0"/>
          <w:color w:val="auto"/>
          <w:spacing w:val="0"/>
          <w:w w:val="100"/>
          <w:position w:val="0"/>
          <w:sz w:val="32"/>
          <w:szCs w:val="32"/>
        </w:rPr>
        <w:t>管理部门备案各一份。</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6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pacing w:val="0"/>
          <w:w w:val="100"/>
          <w:position w:val="0"/>
          <w:sz w:val="32"/>
          <w:szCs w:val="32"/>
        </w:rPr>
        <w:t>按本委托书约定签订流转合同，委托书需作为合同附件由当事人双方、村集体经济组织、乡（镇）农村</w:t>
      </w:r>
      <w:r>
        <w:rPr>
          <w:rFonts w:hint="eastAsia" w:ascii="Times New Roman" w:hAnsi="Times New Roman" w:eastAsia="仿宋_GB2312" w:cs="Times New Roman"/>
          <w:color w:val="auto"/>
          <w:spacing w:val="0"/>
          <w:w w:val="100"/>
          <w:position w:val="0"/>
          <w:sz w:val="32"/>
          <w:szCs w:val="32"/>
          <w:lang w:eastAsia="zh-CN"/>
        </w:rPr>
        <w:t>土地承包</w:t>
      </w:r>
      <w:r>
        <w:rPr>
          <w:rFonts w:hint="default" w:ascii="Times New Roman" w:hAnsi="Times New Roman" w:eastAsia="仿宋_GB2312" w:cs="Times New Roman"/>
          <w:color w:val="auto"/>
          <w:spacing w:val="0"/>
          <w:w w:val="100"/>
          <w:position w:val="0"/>
          <w:sz w:val="32"/>
          <w:szCs w:val="32"/>
        </w:rPr>
        <w:t>管理部门按流转合同管理有关规定进行管理。</w:t>
      </w:r>
    </w:p>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left"/>
        <w:textAlignment w:val="auto"/>
        <w:rPr>
          <w:rFonts w:hint="default" w:ascii="Times New Roman" w:hAnsi="Times New Roman" w:eastAsia="黑体" w:cs="Times New Roman"/>
          <w:b w:val="0"/>
          <w:bCs w:val="0"/>
          <w:color w:val="auto"/>
          <w:spacing w:val="0"/>
          <w:w w:val="100"/>
          <w:position w:val="0"/>
          <w:sz w:val="32"/>
          <w:szCs w:val="32"/>
        </w:rPr>
      </w:pPr>
      <w:r>
        <w:rPr>
          <w:rFonts w:hint="default" w:ascii="Times New Roman" w:hAnsi="Times New Roman" w:eastAsia="黑体" w:cs="Times New Roman"/>
          <w:b w:val="0"/>
          <w:bCs w:val="0"/>
          <w:color w:val="auto"/>
          <w:spacing w:val="0"/>
          <w:w w:val="100"/>
          <w:position w:val="0"/>
          <w:sz w:val="32"/>
          <w:szCs w:val="32"/>
          <w:lang w:val="en-US" w:eastAsia="zh-CN"/>
        </w:rPr>
        <w:t>九、</w:t>
      </w:r>
      <w:r>
        <w:rPr>
          <w:rFonts w:hint="default" w:ascii="Times New Roman" w:hAnsi="Times New Roman" w:eastAsia="黑体" w:cs="Times New Roman"/>
          <w:b w:val="0"/>
          <w:bCs w:val="0"/>
          <w:color w:val="auto"/>
          <w:spacing w:val="0"/>
          <w:w w:val="100"/>
          <w:position w:val="0"/>
          <w:sz w:val="32"/>
          <w:szCs w:val="32"/>
        </w:rPr>
        <w:t>其他需说明的事项：</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default" w:ascii="Times New Roman" w:hAnsi="Times New Roman" w:eastAsia="仿宋_GB2312" w:cs="Times New Roman"/>
          <w:color w:val="auto"/>
          <w:spacing w:val="0"/>
          <w:w w:val="100"/>
          <w:position w:val="0"/>
          <w:sz w:val="32"/>
          <w:szCs w:val="32"/>
          <w:lang w:val="zh-CN" w:eastAsia="zh-CN" w:bidi="zh-CN"/>
        </w:rPr>
      </w:pPr>
      <w:bookmarkStart w:id="18" w:name="bookmark75"/>
      <w:bookmarkStart w:id="19" w:name="bookmark76"/>
      <w:bookmarkStart w:id="20" w:name="bookmark77"/>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default" w:ascii="Times New Roman" w:hAnsi="Times New Roman" w:eastAsia="仿宋_GB2312" w:cs="Times New Roman"/>
          <w:color w:val="auto"/>
          <w:spacing w:val="0"/>
          <w:w w:val="100"/>
          <w:position w:val="0"/>
          <w:sz w:val="32"/>
          <w:szCs w:val="32"/>
          <w:lang w:val="zh-CN" w:eastAsia="zh-CN" w:bidi="zh-CN"/>
        </w:rPr>
      </w:pPr>
    </w:p>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left"/>
        <w:textAlignment w:val="auto"/>
        <w:rPr>
          <w:rFonts w:hint="default" w:ascii="Times New Roman" w:hAnsi="Times New Roman" w:eastAsia="黑体" w:cs="Times New Roman"/>
          <w:b w:val="0"/>
          <w:bCs w:val="0"/>
          <w:color w:val="auto"/>
          <w:spacing w:val="0"/>
          <w:w w:val="100"/>
          <w:position w:val="0"/>
          <w:sz w:val="32"/>
          <w:szCs w:val="32"/>
          <w:lang w:val="en-US" w:eastAsia="zh-CN"/>
        </w:rPr>
      </w:pPr>
      <w:r>
        <w:rPr>
          <w:rFonts w:hint="default" w:ascii="Times New Roman" w:hAnsi="Times New Roman" w:eastAsia="黑体" w:cs="Times New Roman"/>
          <w:b w:val="0"/>
          <w:bCs w:val="0"/>
          <w:color w:val="auto"/>
          <w:spacing w:val="0"/>
          <w:w w:val="100"/>
          <w:position w:val="0"/>
          <w:sz w:val="32"/>
          <w:szCs w:val="32"/>
          <w:lang w:val="en-US" w:eastAsia="zh-CN"/>
        </w:rPr>
        <w:t>十、委托书的变更和解除</w:t>
      </w:r>
      <w:bookmarkEnd w:id="18"/>
      <w:bookmarkEnd w:id="19"/>
      <w:bookmarkEnd w:id="20"/>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6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pacing w:val="0"/>
          <w:w w:val="100"/>
          <w:position w:val="0"/>
          <w:sz w:val="32"/>
          <w:szCs w:val="32"/>
        </w:rPr>
        <w:t>有下列情况之一的，本委托书可以变更或解除。</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pacing w:val="0"/>
          <w:w w:val="100"/>
          <w:position w:val="0"/>
          <w:sz w:val="32"/>
          <w:szCs w:val="32"/>
          <w:lang w:val="en-US" w:eastAsia="zh-CN" w:bidi="zh-CN"/>
        </w:rPr>
        <w:t>1</w:t>
      </w:r>
      <w:r>
        <w:rPr>
          <w:rFonts w:hint="default" w:ascii="Times New Roman" w:hAnsi="Times New Roman" w:eastAsia="仿宋_GB2312" w:cs="Times New Roman"/>
          <w:color w:val="auto"/>
          <w:spacing w:val="0"/>
          <w:w w:val="100"/>
          <w:position w:val="0"/>
          <w:sz w:val="32"/>
          <w:szCs w:val="32"/>
          <w:lang w:val="en-US" w:eastAsia="zh-CN"/>
        </w:rPr>
        <w:t>．</w:t>
      </w:r>
      <w:r>
        <w:rPr>
          <w:rFonts w:hint="default" w:ascii="Times New Roman" w:hAnsi="Times New Roman" w:eastAsia="仿宋_GB2312" w:cs="Times New Roman"/>
          <w:color w:val="auto"/>
          <w:spacing w:val="0"/>
          <w:w w:val="100"/>
          <w:position w:val="0"/>
          <w:sz w:val="32"/>
          <w:szCs w:val="32"/>
          <w:lang w:val="zh-CN" w:eastAsia="zh-CN" w:bidi="zh-CN"/>
        </w:rPr>
        <w:t>经当</w:t>
      </w:r>
      <w:r>
        <w:rPr>
          <w:rFonts w:hint="default" w:ascii="Times New Roman" w:hAnsi="Times New Roman" w:eastAsia="仿宋_GB2312" w:cs="Times New Roman"/>
          <w:color w:val="auto"/>
          <w:spacing w:val="0"/>
          <w:w w:val="100"/>
          <w:position w:val="0"/>
          <w:sz w:val="32"/>
          <w:szCs w:val="32"/>
        </w:rPr>
        <w:t>事人双方协商一致，又不损害国家、集体和其他个人利益的；</w:t>
      </w:r>
    </w:p>
    <w:p>
      <w:pPr>
        <w:pStyle w:val="17"/>
        <w:keepNext w:val="0"/>
        <w:keepLines w:val="0"/>
        <w:pageBreakBefore w:val="0"/>
        <w:widowControl w:val="0"/>
        <w:numPr>
          <w:ilvl w:val="0"/>
          <w:numId w:val="0"/>
        </w:numPr>
        <w:shd w:val="clear" w:color="auto" w:fill="auto"/>
        <w:tabs>
          <w:tab w:val="left" w:pos="1062"/>
        </w:tabs>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rPr>
      </w:pPr>
      <w:bookmarkStart w:id="21" w:name="bookmark78"/>
      <w:bookmarkEnd w:id="21"/>
      <w:r>
        <w:rPr>
          <w:rFonts w:hint="default" w:ascii="Times New Roman" w:hAnsi="Times New Roman" w:eastAsia="仿宋_GB2312" w:cs="Times New Roman"/>
          <w:color w:val="auto"/>
          <w:spacing w:val="0"/>
          <w:w w:val="100"/>
          <w:position w:val="0"/>
          <w:sz w:val="32"/>
          <w:szCs w:val="32"/>
          <w:lang w:val="en-US" w:eastAsia="zh-CN"/>
        </w:rPr>
        <w:t>2．</w:t>
      </w:r>
      <w:r>
        <w:rPr>
          <w:rFonts w:hint="default" w:ascii="Times New Roman" w:hAnsi="Times New Roman" w:eastAsia="仿宋_GB2312" w:cs="Times New Roman"/>
          <w:color w:val="auto"/>
          <w:spacing w:val="0"/>
          <w:w w:val="100"/>
          <w:position w:val="0"/>
          <w:sz w:val="32"/>
          <w:szCs w:val="32"/>
        </w:rPr>
        <w:t>订立委托的国家政策发生重大调整和变化的；</w:t>
      </w:r>
    </w:p>
    <w:p>
      <w:pPr>
        <w:pStyle w:val="17"/>
        <w:keepNext w:val="0"/>
        <w:keepLines w:val="0"/>
        <w:pageBreakBefore w:val="0"/>
        <w:widowControl w:val="0"/>
        <w:numPr>
          <w:ilvl w:val="0"/>
          <w:numId w:val="0"/>
        </w:numPr>
        <w:shd w:val="clear" w:color="auto" w:fill="auto"/>
        <w:tabs>
          <w:tab w:val="left" w:pos="1062"/>
        </w:tabs>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rPr>
      </w:pPr>
      <w:bookmarkStart w:id="22" w:name="bookmark79"/>
      <w:bookmarkEnd w:id="22"/>
      <w:r>
        <w:rPr>
          <w:rFonts w:hint="default" w:ascii="Times New Roman" w:hAnsi="Times New Roman" w:eastAsia="仿宋_GB2312" w:cs="Times New Roman"/>
          <w:color w:val="auto"/>
          <w:spacing w:val="0"/>
          <w:w w:val="100"/>
          <w:position w:val="0"/>
          <w:sz w:val="32"/>
          <w:szCs w:val="32"/>
          <w:lang w:val="en-US" w:eastAsia="zh-CN"/>
        </w:rPr>
        <w:t>3．一</w:t>
      </w:r>
      <w:r>
        <w:rPr>
          <w:rFonts w:hint="default" w:ascii="Times New Roman" w:hAnsi="Times New Roman" w:eastAsia="仿宋_GB2312" w:cs="Times New Roman"/>
          <w:color w:val="auto"/>
          <w:spacing w:val="0"/>
          <w:w w:val="100"/>
          <w:position w:val="0"/>
          <w:sz w:val="32"/>
          <w:szCs w:val="32"/>
        </w:rPr>
        <w:t>方违约，使委托无法履行的；</w:t>
      </w:r>
    </w:p>
    <w:p>
      <w:pPr>
        <w:pStyle w:val="17"/>
        <w:keepNext w:val="0"/>
        <w:keepLines w:val="0"/>
        <w:pageBreakBefore w:val="0"/>
        <w:widowControl w:val="0"/>
        <w:numPr>
          <w:ilvl w:val="0"/>
          <w:numId w:val="0"/>
        </w:numPr>
        <w:shd w:val="clear" w:color="auto" w:fill="auto"/>
        <w:tabs>
          <w:tab w:val="left" w:pos="1062"/>
        </w:tabs>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rPr>
      </w:pPr>
      <w:bookmarkStart w:id="23" w:name="bookmark80"/>
      <w:bookmarkEnd w:id="23"/>
      <w:r>
        <w:rPr>
          <w:rFonts w:hint="default" w:ascii="Times New Roman" w:hAnsi="Times New Roman" w:eastAsia="仿宋_GB2312" w:cs="Times New Roman"/>
          <w:color w:val="auto"/>
          <w:spacing w:val="0"/>
          <w:w w:val="100"/>
          <w:position w:val="0"/>
          <w:sz w:val="32"/>
          <w:szCs w:val="32"/>
          <w:lang w:val="en-US" w:eastAsia="zh-CN"/>
        </w:rPr>
        <w:t>4．</w:t>
      </w:r>
      <w:r>
        <w:rPr>
          <w:rFonts w:hint="default" w:ascii="Times New Roman" w:hAnsi="Times New Roman" w:eastAsia="仿宋_GB2312" w:cs="Times New Roman"/>
          <w:color w:val="auto"/>
          <w:spacing w:val="0"/>
          <w:w w:val="100"/>
          <w:position w:val="0"/>
          <w:sz w:val="32"/>
          <w:szCs w:val="32"/>
        </w:rPr>
        <w:t>因不可抗力使委托无法履行的；</w:t>
      </w:r>
    </w:p>
    <w:p>
      <w:pPr>
        <w:pStyle w:val="17"/>
        <w:keepNext w:val="0"/>
        <w:keepLines w:val="0"/>
        <w:pageBreakBefore w:val="0"/>
        <w:widowControl w:val="0"/>
        <w:numPr>
          <w:ilvl w:val="0"/>
          <w:numId w:val="0"/>
        </w:numPr>
        <w:shd w:val="clear" w:color="auto" w:fill="auto"/>
        <w:tabs>
          <w:tab w:val="left" w:pos="1062"/>
        </w:tabs>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rPr>
      </w:pPr>
      <w:bookmarkStart w:id="24" w:name="bookmark81"/>
      <w:bookmarkEnd w:id="24"/>
      <w:r>
        <w:rPr>
          <w:rFonts w:hint="default" w:ascii="Times New Roman" w:hAnsi="Times New Roman" w:eastAsia="仿宋_GB2312" w:cs="Times New Roman"/>
          <w:color w:val="auto"/>
          <w:spacing w:val="0"/>
          <w:w w:val="100"/>
          <w:position w:val="0"/>
          <w:sz w:val="32"/>
          <w:szCs w:val="32"/>
          <w:lang w:val="en-US" w:eastAsia="zh-CN"/>
        </w:rPr>
        <w:t>5．</w:t>
      </w:r>
      <w:r>
        <w:rPr>
          <w:rFonts w:hint="default" w:ascii="Times New Roman" w:hAnsi="Times New Roman" w:eastAsia="仿宋_GB2312" w:cs="Times New Roman"/>
          <w:color w:val="auto"/>
          <w:spacing w:val="0"/>
          <w:w w:val="100"/>
          <w:position w:val="0"/>
          <w:sz w:val="32"/>
          <w:szCs w:val="32"/>
        </w:rPr>
        <w:t>因国家行政征收或征用。</w:t>
      </w:r>
    </w:p>
    <w:p>
      <w:pPr>
        <w:pStyle w:val="17"/>
        <w:keepNext w:val="0"/>
        <w:keepLines w:val="0"/>
        <w:pageBreakBefore w:val="0"/>
        <w:widowControl w:val="0"/>
        <w:shd w:val="clear" w:color="auto" w:fill="auto"/>
        <w:tabs>
          <w:tab w:val="left" w:pos="4118"/>
        </w:tabs>
        <w:kinsoku/>
        <w:wordWrap/>
        <w:overflowPunct/>
        <w:topLinePunct w:val="0"/>
        <w:autoSpaceDE/>
        <w:autoSpaceDN/>
        <w:bidi w:val="0"/>
        <w:adjustRightInd/>
        <w:snapToGrid/>
        <w:spacing w:before="0" w:after="0" w:line="560" w:lineRule="exact"/>
        <w:ind w:left="0" w:leftChars="0" w:right="0" w:firstLine="64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十一、土地承包经营纠纷</w:t>
      </w:r>
    </w:p>
    <w:p>
      <w:pPr>
        <w:pStyle w:val="17"/>
        <w:keepNext w:val="0"/>
        <w:keepLines w:val="0"/>
        <w:pageBreakBefore w:val="0"/>
        <w:widowControl w:val="0"/>
        <w:shd w:val="clear" w:color="auto" w:fill="auto"/>
        <w:tabs>
          <w:tab w:val="left" w:pos="4118"/>
        </w:tabs>
        <w:kinsoku/>
        <w:wordWrap/>
        <w:overflowPunct/>
        <w:topLinePunct w:val="0"/>
        <w:autoSpaceDE/>
        <w:autoSpaceDN/>
        <w:bidi w:val="0"/>
        <w:adjustRightInd/>
        <w:snapToGrid/>
        <w:spacing w:before="0" w:after="0" w:line="560" w:lineRule="exact"/>
        <w:ind w:left="0" w:leftChars="0" w:right="0" w:firstLine="64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双方当事人可以通过</w:t>
      </w:r>
      <w:r>
        <w:rPr>
          <w:rFonts w:hint="default" w:ascii="Times New Roman" w:hAnsi="Times New Roman" w:eastAsia="仿宋_GB2312" w:cs="Times New Roman"/>
          <w:color w:val="auto"/>
          <w:sz w:val="32"/>
          <w:szCs w:val="32"/>
          <w:lang w:val="en-US" w:eastAsia="zh-CN"/>
        </w:rPr>
        <w:t>协商</w:t>
      </w:r>
      <w:r>
        <w:rPr>
          <w:rFonts w:hint="default" w:ascii="Times New Roman" w:hAnsi="Times New Roman" w:eastAsia="仿宋_GB2312" w:cs="Times New Roman"/>
          <w:color w:val="auto"/>
          <w:sz w:val="32"/>
          <w:szCs w:val="32"/>
        </w:rPr>
        <w:t>解决，也可以请求村民委员会、乡（镇）人民政府等调解解决</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调解不成的，可以向</w:t>
      </w:r>
      <w:r>
        <w:rPr>
          <w:rFonts w:hint="eastAsia" w:ascii="Times New Roman" w:hAnsi="Times New Roman" w:eastAsia="仿宋_GB2312" w:cs="Times New Roman"/>
          <w:color w:val="auto"/>
          <w:sz w:val="32"/>
          <w:szCs w:val="32"/>
          <w:u w:val="none"/>
          <w:lang w:eastAsia="zh-CN"/>
        </w:rPr>
        <w:t>县级</w:t>
      </w:r>
      <w:r>
        <w:rPr>
          <w:rFonts w:hint="default" w:ascii="Times New Roman" w:hAnsi="Times New Roman" w:eastAsia="仿宋_GB2312" w:cs="Times New Roman"/>
          <w:color w:val="auto"/>
          <w:sz w:val="32"/>
          <w:szCs w:val="32"/>
        </w:rPr>
        <w:t>农村土地承包仲裁委员会申请仲裁，也可以直接向人民法院起诉。</w:t>
      </w:r>
    </w:p>
    <w:p>
      <w:pPr>
        <w:pStyle w:val="17"/>
        <w:keepNext w:val="0"/>
        <w:keepLines w:val="0"/>
        <w:pageBreakBefore w:val="0"/>
        <w:widowControl w:val="0"/>
        <w:shd w:val="clear" w:color="auto" w:fill="auto"/>
        <w:tabs>
          <w:tab w:val="left" w:pos="4118"/>
        </w:tabs>
        <w:kinsoku/>
        <w:wordWrap/>
        <w:overflowPunct/>
        <w:topLinePunct w:val="0"/>
        <w:autoSpaceDE/>
        <w:autoSpaceDN/>
        <w:bidi w:val="0"/>
        <w:adjustRightInd/>
        <w:snapToGrid/>
        <w:spacing w:before="0" w:after="0" w:line="560" w:lineRule="exact"/>
        <w:ind w:left="0" w:leftChars="0" w:right="0" w:firstLine="640"/>
        <w:jc w:val="both"/>
        <w:textAlignment w:val="auto"/>
        <w:rPr>
          <w:rFonts w:hint="default" w:ascii="Times New Roman" w:hAnsi="Times New Roman" w:eastAsia="仿宋_GB2312" w:cs="Times New Roman"/>
          <w:color w:val="auto"/>
          <w:sz w:val="32"/>
          <w:szCs w:val="32"/>
        </w:rPr>
      </w:pPr>
    </w:p>
    <w:p>
      <w:pPr>
        <w:pStyle w:val="17"/>
        <w:keepNext w:val="0"/>
        <w:keepLines w:val="0"/>
        <w:pageBreakBefore w:val="0"/>
        <w:widowControl w:val="0"/>
        <w:shd w:val="clear" w:color="auto" w:fill="auto"/>
        <w:tabs>
          <w:tab w:val="left" w:pos="4118"/>
        </w:tabs>
        <w:kinsoku/>
        <w:wordWrap/>
        <w:overflowPunct/>
        <w:topLinePunct w:val="0"/>
        <w:autoSpaceDE/>
        <w:autoSpaceDN/>
        <w:bidi w:val="0"/>
        <w:adjustRightInd/>
        <w:snapToGrid/>
        <w:spacing w:before="0" w:after="0" w:line="560" w:lineRule="exact"/>
        <w:ind w:left="0" w:leftChars="0" w:right="0" w:firstLine="640"/>
        <w:jc w:val="both"/>
        <w:textAlignment w:val="auto"/>
        <w:rPr>
          <w:rFonts w:hint="default" w:ascii="Times New Roman" w:hAnsi="Times New Roman" w:eastAsia="仿宋_GB2312" w:cs="Times New Roman"/>
          <w:color w:val="auto"/>
          <w:sz w:val="32"/>
          <w:szCs w:val="32"/>
        </w:rPr>
      </w:pPr>
    </w:p>
    <w:p>
      <w:pPr>
        <w:pStyle w:val="17"/>
        <w:keepNext w:val="0"/>
        <w:keepLines w:val="0"/>
        <w:pageBreakBefore w:val="0"/>
        <w:widowControl w:val="0"/>
        <w:shd w:val="clear" w:color="auto" w:fill="auto"/>
        <w:tabs>
          <w:tab w:val="left" w:pos="4118"/>
        </w:tabs>
        <w:kinsoku/>
        <w:wordWrap/>
        <w:overflowPunct/>
        <w:topLinePunct w:val="0"/>
        <w:autoSpaceDE/>
        <w:autoSpaceDN/>
        <w:bidi w:val="0"/>
        <w:adjustRightInd/>
        <w:snapToGrid/>
        <w:spacing w:before="0" w:after="0" w:line="560" w:lineRule="exact"/>
        <w:ind w:left="0" w:leftChars="0" w:right="0" w:firstLine="640"/>
        <w:jc w:val="both"/>
        <w:textAlignment w:val="auto"/>
        <w:rPr>
          <w:rFonts w:hint="eastAsia" w:ascii="Times New Roman" w:hAnsi="Times New Roman" w:eastAsia="仿宋_GB2312" w:cs="Times New Roman"/>
          <w:color w:val="auto"/>
          <w:sz w:val="32"/>
          <w:szCs w:val="32"/>
          <w:u w:val="single"/>
          <w:lang w:val="en-US" w:eastAsia="zh-CN"/>
        </w:rPr>
      </w:pPr>
      <w:r>
        <w:rPr>
          <w:rFonts w:hint="default" w:ascii="Times New Roman" w:hAnsi="Times New Roman" w:eastAsia="仿宋_GB2312" w:cs="Times New Roman"/>
          <w:color w:val="auto"/>
          <w:sz w:val="32"/>
          <w:szCs w:val="32"/>
        </w:rPr>
        <w:t>甲方：</w:t>
      </w:r>
      <w:r>
        <w:rPr>
          <w:rFonts w:hint="eastAsia"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rPr>
        <w:t>乙方：</w:t>
      </w:r>
      <w:r>
        <w:rPr>
          <w:rFonts w:hint="eastAsia" w:ascii="Times New Roman" w:hAnsi="Times New Roman" w:eastAsia="仿宋_GB2312" w:cs="Times New Roman"/>
          <w:color w:val="auto"/>
          <w:sz w:val="32"/>
          <w:szCs w:val="32"/>
          <w:u w:val="single"/>
          <w:lang w:val="en-US" w:eastAsia="zh-CN"/>
        </w:rPr>
        <w:t xml:space="preserve">                   </w:t>
      </w:r>
    </w:p>
    <w:p>
      <w:pPr>
        <w:pStyle w:val="17"/>
        <w:keepNext w:val="0"/>
        <w:keepLines w:val="0"/>
        <w:pageBreakBefore w:val="0"/>
        <w:widowControl w:val="0"/>
        <w:shd w:val="clear" w:color="auto" w:fill="auto"/>
        <w:tabs>
          <w:tab w:val="left" w:pos="4118"/>
        </w:tabs>
        <w:kinsoku/>
        <w:wordWrap/>
        <w:overflowPunct/>
        <w:topLinePunct w:val="0"/>
        <w:autoSpaceDE/>
        <w:autoSpaceDN/>
        <w:bidi w:val="0"/>
        <w:adjustRightInd/>
        <w:snapToGrid/>
        <w:spacing w:before="0" w:after="0" w:line="560" w:lineRule="exact"/>
        <w:ind w:left="0" w:leftChars="0" w:right="0" w:firstLine="640"/>
        <w:jc w:val="both"/>
        <w:textAlignment w:val="auto"/>
        <w:rPr>
          <w:rFonts w:hint="eastAsia" w:ascii="Times New Roman" w:hAnsi="Times New Roman" w:eastAsia="仿宋_GB2312" w:cs="Times New Roman"/>
          <w:color w:val="auto"/>
          <w:sz w:val="32"/>
          <w:szCs w:val="32"/>
          <w:u w:val="single"/>
          <w:lang w:val="en-US" w:eastAsia="zh-CN"/>
        </w:rPr>
      </w:pPr>
    </w:p>
    <w:p>
      <w:pPr>
        <w:pStyle w:val="17"/>
        <w:keepNext w:val="0"/>
        <w:keepLines w:val="0"/>
        <w:pageBreakBefore w:val="0"/>
        <w:widowControl w:val="0"/>
        <w:shd w:val="clear" w:color="auto" w:fill="auto"/>
        <w:tabs>
          <w:tab w:val="left" w:pos="4118"/>
        </w:tabs>
        <w:kinsoku/>
        <w:wordWrap/>
        <w:overflowPunct/>
        <w:topLinePunct w:val="0"/>
        <w:autoSpaceDE/>
        <w:autoSpaceDN/>
        <w:bidi w:val="0"/>
        <w:adjustRightInd/>
        <w:snapToGrid/>
        <w:spacing w:before="0" w:after="0" w:line="560" w:lineRule="exact"/>
        <w:ind w:left="0" w:leftChars="0" w:right="0" w:firstLine="640"/>
        <w:jc w:val="both"/>
        <w:textAlignment w:val="auto"/>
        <w:rPr>
          <w:rFonts w:hint="eastAsia" w:ascii="Times New Roman" w:hAnsi="Times New Roman" w:eastAsia="仿宋_GB2312" w:cs="Times New Roman"/>
          <w:color w:val="auto"/>
          <w:sz w:val="32"/>
          <w:szCs w:val="32"/>
          <w:u w:val="single"/>
          <w:lang w:val="en-US" w:eastAsia="zh-CN"/>
        </w:rPr>
      </w:pPr>
      <w:r>
        <w:rPr>
          <w:rFonts w:hint="default" w:ascii="Times New Roman" w:hAnsi="Times New Roman" w:eastAsia="仿宋_GB2312" w:cs="Times New Roman"/>
          <w:color w:val="auto"/>
          <w:sz w:val="32"/>
          <w:szCs w:val="32"/>
        </w:rPr>
        <w:t>甲方代表签章：</w:t>
      </w:r>
      <w:r>
        <w:rPr>
          <w:rFonts w:hint="eastAsia"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rPr>
        <w:t xml:space="preserve"> 乙方代表签章：</w:t>
      </w:r>
      <w:r>
        <w:rPr>
          <w:rFonts w:hint="eastAsia" w:ascii="Times New Roman" w:hAnsi="Times New Roman" w:eastAsia="仿宋_GB2312" w:cs="Times New Roman"/>
          <w:color w:val="auto"/>
          <w:sz w:val="32"/>
          <w:szCs w:val="32"/>
          <w:u w:val="single"/>
          <w:lang w:val="en-US" w:eastAsia="zh-CN"/>
        </w:rPr>
        <w:t xml:space="preserve">           </w:t>
      </w:r>
    </w:p>
    <w:p>
      <w:pPr>
        <w:pStyle w:val="17"/>
        <w:keepNext w:val="0"/>
        <w:keepLines w:val="0"/>
        <w:pageBreakBefore w:val="0"/>
        <w:widowControl w:val="0"/>
        <w:shd w:val="clear" w:color="auto" w:fill="auto"/>
        <w:tabs>
          <w:tab w:val="left" w:pos="4118"/>
        </w:tabs>
        <w:kinsoku/>
        <w:wordWrap/>
        <w:overflowPunct/>
        <w:topLinePunct w:val="0"/>
        <w:autoSpaceDE/>
        <w:autoSpaceDN/>
        <w:bidi w:val="0"/>
        <w:adjustRightInd/>
        <w:snapToGrid/>
        <w:spacing w:before="0" w:after="0" w:line="560" w:lineRule="exact"/>
        <w:ind w:left="0" w:leftChars="0" w:right="0" w:firstLine="640"/>
        <w:jc w:val="both"/>
        <w:textAlignment w:val="auto"/>
        <w:rPr>
          <w:rFonts w:hint="default" w:ascii="Times New Roman" w:hAnsi="Times New Roman" w:eastAsia="仿宋_GB2312" w:cs="Times New Roman"/>
          <w:color w:val="auto"/>
          <w:sz w:val="32"/>
          <w:szCs w:val="32"/>
          <w:u w:val="single"/>
          <w:lang w:val="en-US" w:eastAsia="zh-CN"/>
        </w:rPr>
      </w:pPr>
    </w:p>
    <w:p>
      <w:pPr>
        <w:pStyle w:val="17"/>
        <w:keepNext w:val="0"/>
        <w:keepLines w:val="0"/>
        <w:pageBreakBefore w:val="0"/>
        <w:widowControl w:val="0"/>
        <w:shd w:val="clear" w:color="auto" w:fill="auto"/>
        <w:tabs>
          <w:tab w:val="left" w:pos="4118"/>
        </w:tabs>
        <w:kinsoku/>
        <w:wordWrap/>
        <w:overflowPunct/>
        <w:topLinePunct w:val="0"/>
        <w:autoSpaceDE/>
        <w:autoSpaceDN/>
        <w:bidi w:val="0"/>
        <w:adjustRightInd/>
        <w:snapToGrid/>
        <w:spacing w:before="0" w:after="0" w:line="560" w:lineRule="exact"/>
        <w:ind w:left="0" w:leftChars="0" w:right="0" w:firstLine="640"/>
        <w:jc w:val="both"/>
        <w:textAlignment w:val="auto"/>
        <w:rPr>
          <w:rFonts w:hint="eastAsia" w:ascii="Times New Roman" w:hAnsi="Times New Roman" w:eastAsia="仿宋_GB2312" w:cs="Times New Roman"/>
          <w:color w:val="auto"/>
          <w:sz w:val="32"/>
          <w:szCs w:val="32"/>
          <w:u w:val="single"/>
          <w:lang w:val="en-US" w:eastAsia="zh-CN"/>
        </w:rPr>
      </w:pPr>
      <w:r>
        <w:rPr>
          <w:rFonts w:hint="default" w:ascii="Times New Roman" w:hAnsi="Times New Roman" w:eastAsia="仿宋_GB2312" w:cs="Times New Roman"/>
          <w:color w:val="auto"/>
          <w:sz w:val="32"/>
          <w:szCs w:val="32"/>
        </w:rPr>
        <w:t>日期：</w:t>
      </w:r>
      <w:r>
        <w:rPr>
          <w:rFonts w:hint="eastAsia"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rPr>
        <w:t>日期：</w:t>
      </w:r>
      <w:r>
        <w:rPr>
          <w:rFonts w:hint="eastAsia" w:ascii="Times New Roman" w:hAnsi="Times New Roman" w:eastAsia="仿宋_GB2312" w:cs="Times New Roman"/>
          <w:color w:val="auto"/>
          <w:sz w:val="32"/>
          <w:szCs w:val="32"/>
          <w:u w:val="single"/>
          <w:lang w:val="en-US" w:eastAsia="zh-CN"/>
        </w:rPr>
        <w:t xml:space="preserve">                   </w:t>
      </w:r>
    </w:p>
    <w:p>
      <w:pPr>
        <w:pStyle w:val="17"/>
        <w:keepNext w:val="0"/>
        <w:keepLines w:val="0"/>
        <w:pageBreakBefore w:val="0"/>
        <w:widowControl w:val="0"/>
        <w:shd w:val="clear" w:color="auto" w:fill="auto"/>
        <w:tabs>
          <w:tab w:val="left" w:pos="4118"/>
        </w:tabs>
        <w:kinsoku/>
        <w:wordWrap/>
        <w:overflowPunct/>
        <w:topLinePunct w:val="0"/>
        <w:autoSpaceDE/>
        <w:autoSpaceDN/>
        <w:bidi w:val="0"/>
        <w:adjustRightInd/>
        <w:snapToGrid/>
        <w:spacing w:before="0" w:after="0" w:line="560" w:lineRule="exact"/>
        <w:ind w:left="0" w:leftChars="0" w:right="0" w:firstLine="640"/>
        <w:jc w:val="both"/>
        <w:textAlignment w:val="auto"/>
        <w:rPr>
          <w:rFonts w:hint="default" w:ascii="Times New Roman" w:hAnsi="Times New Roman" w:eastAsia="仿宋_GB2312" w:cs="Times New Roman"/>
          <w:color w:val="auto"/>
          <w:sz w:val="32"/>
          <w:szCs w:val="32"/>
          <w:u w:val="single"/>
          <w:lang w:val="en-US" w:eastAsia="zh-CN"/>
        </w:rPr>
      </w:pPr>
    </w:p>
    <w:p>
      <w:pPr>
        <w:pStyle w:val="17"/>
        <w:keepNext w:val="0"/>
        <w:keepLines w:val="0"/>
        <w:pageBreakBefore w:val="0"/>
        <w:widowControl w:val="0"/>
        <w:shd w:val="clear" w:color="auto" w:fill="auto"/>
        <w:tabs>
          <w:tab w:val="left" w:pos="4118"/>
        </w:tabs>
        <w:kinsoku/>
        <w:wordWrap/>
        <w:overflowPunct/>
        <w:topLinePunct w:val="0"/>
        <w:autoSpaceDE/>
        <w:autoSpaceDN/>
        <w:bidi w:val="0"/>
        <w:adjustRightInd/>
        <w:snapToGrid/>
        <w:spacing w:before="0" w:after="0" w:line="560" w:lineRule="exact"/>
        <w:ind w:left="0" w:leftChars="0" w:right="0" w:firstLine="640"/>
        <w:jc w:val="both"/>
        <w:textAlignment w:val="auto"/>
        <w:rPr>
          <w:rFonts w:hint="default" w:ascii="Times New Roman" w:hAnsi="Times New Roman" w:eastAsia="仿宋_GB2312" w:cs="Times New Roman"/>
          <w:color w:val="auto"/>
          <w:sz w:val="32"/>
          <w:szCs w:val="32"/>
          <w:u w:val="single"/>
          <w:lang w:val="en-US" w:eastAsia="zh-CN"/>
        </w:rPr>
      </w:pPr>
      <w:r>
        <w:rPr>
          <w:rFonts w:hint="default" w:ascii="Times New Roman" w:hAnsi="Times New Roman" w:eastAsia="仿宋_GB2312" w:cs="Times New Roman"/>
          <w:color w:val="auto"/>
          <w:sz w:val="32"/>
          <w:szCs w:val="32"/>
        </w:rPr>
        <w:t>签订地点：</w:t>
      </w:r>
      <w:r>
        <w:rPr>
          <w:rFonts w:hint="eastAsia" w:ascii="Times New Roman" w:hAnsi="Times New Roman" w:eastAsia="仿宋_GB2312" w:cs="Times New Roman"/>
          <w:color w:val="auto"/>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rPr>
      </w:pPr>
    </w:p>
    <w:p>
      <w:pPr>
        <w:keepNext w:val="0"/>
        <w:keepLines w:val="0"/>
        <w:pageBreakBefore w:val="0"/>
        <w:tabs>
          <w:tab w:val="left" w:pos="7086"/>
        </w:tabs>
        <w:kinsoku/>
        <w:wordWrap/>
        <w:overflowPunct/>
        <w:topLinePunct w:val="0"/>
        <w:autoSpaceDE/>
        <w:autoSpaceDN/>
        <w:bidi w:val="0"/>
        <w:spacing w:line="560" w:lineRule="exact"/>
        <w:jc w:val="left"/>
        <w:rPr>
          <w:rFonts w:hint="default" w:ascii="Times New Roman" w:hAnsi="Times New Roman" w:cs="Times New Roman"/>
          <w:color w:val="auto"/>
          <w:lang w:val="en-US" w:eastAsia="zh-CN"/>
        </w:rPr>
      </w:pPr>
    </w:p>
    <w:p>
      <w:pPr>
        <w:keepNext w:val="0"/>
        <w:keepLines w:val="0"/>
        <w:pageBreakBefore w:val="0"/>
        <w:tabs>
          <w:tab w:val="left" w:pos="7086"/>
        </w:tabs>
        <w:kinsoku/>
        <w:wordWrap/>
        <w:overflowPunct/>
        <w:topLinePunct w:val="0"/>
        <w:autoSpaceDE/>
        <w:autoSpaceDN/>
        <w:bidi w:val="0"/>
        <w:spacing w:line="560" w:lineRule="exact"/>
        <w:jc w:val="left"/>
        <w:rPr>
          <w:rFonts w:hint="default" w:ascii="Times New Roman" w:hAnsi="Times New Roman" w:cs="Times New Roman"/>
          <w:color w:val="auto"/>
          <w:lang w:val="en-US" w:eastAsia="zh-CN"/>
        </w:rPr>
      </w:pPr>
    </w:p>
    <w:p>
      <w:pPr>
        <w:keepNext w:val="0"/>
        <w:keepLines w:val="0"/>
        <w:pageBreakBefore w:val="0"/>
        <w:kinsoku/>
        <w:wordWrap/>
        <w:overflowPunct/>
        <w:topLinePunct w:val="0"/>
        <w:autoSpaceDE/>
        <w:autoSpaceDN/>
        <w:bidi w:val="0"/>
        <w:spacing w:line="560" w:lineRule="exact"/>
      </w:pPr>
    </w:p>
    <w:p>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i w:val="0"/>
          <w:caps w:val="0"/>
          <w:color w:val="333333"/>
          <w:spacing w:val="0"/>
          <w:sz w:val="24"/>
          <w:szCs w:val="24"/>
          <w:shd w:val="clear" w:fill="FFFFFF"/>
          <w:lang w:val="en-US" w:eastAsia="zh-CN"/>
        </w:rPr>
        <w:sectPr>
          <w:footerReference r:id="rId3" w:type="default"/>
          <w:pgSz w:w="11906" w:h="16838"/>
          <w:pgMar w:top="1417" w:right="1418" w:bottom="1417" w:left="1417" w:header="851" w:footer="992" w:gutter="0"/>
          <w:pgNumType w:fmt="numberInDash" w:start="1"/>
          <w:cols w:space="425" w:num="1"/>
          <w:docGrid w:type="lines" w:linePitch="312" w:charSpace="0"/>
        </w:sectPr>
      </w:pPr>
    </w:p>
    <w:p>
      <w:pPr>
        <w:keepNext w:val="0"/>
        <w:keepLines w:val="0"/>
        <w:pageBreakBefore w:val="0"/>
        <w:kinsoku/>
        <w:wordWrap/>
        <w:overflowPunct/>
        <w:topLinePunct w:val="0"/>
        <w:autoSpaceDE/>
        <w:autoSpaceDN/>
        <w:bidi w:val="0"/>
        <w:spacing w:line="560" w:lineRule="exact"/>
        <w:jc w:val="both"/>
        <w:rPr>
          <w:rFonts w:hint="default" w:ascii="Times New Roman" w:hAnsi="Times New Roman" w:cs="Times New Roman"/>
          <w:color w:val="auto"/>
          <w:lang w:val="en-US" w:eastAsia="zh-CN"/>
        </w:rPr>
      </w:pPr>
      <w:r>
        <w:rPr>
          <w:rFonts w:hint="eastAsia" w:ascii="黑体" w:hAnsi="黑体" w:eastAsia="黑体" w:cs="黑体"/>
          <w:color w:val="auto"/>
          <w:sz w:val="28"/>
          <w:szCs w:val="28"/>
          <w:lang w:val="en-US" w:eastAsia="zh-CN"/>
        </w:rPr>
        <w:t>附件7</w:t>
      </w:r>
    </w:p>
    <w:p>
      <w:pPr>
        <w:keepNext w:val="0"/>
        <w:keepLines w:val="0"/>
        <w:pageBreakBefore w:val="0"/>
        <w:tabs>
          <w:tab w:val="left" w:pos="7086"/>
        </w:tabs>
        <w:kinsoku/>
        <w:wordWrap/>
        <w:overflowPunct/>
        <w:topLinePunct w:val="0"/>
        <w:autoSpaceDE/>
        <w:autoSpaceDN/>
        <w:bidi w:val="0"/>
        <w:spacing w:line="56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玛纳斯县工商资本租赁农地审查备案汇总表</w:t>
      </w:r>
    </w:p>
    <w:tbl>
      <w:tblPr>
        <w:tblStyle w:val="9"/>
        <w:tblpPr w:leftFromText="180" w:rightFromText="180" w:vertAnchor="text" w:horzAnchor="page" w:tblpX="1129" w:tblpY="876"/>
        <w:tblOverlap w:val="never"/>
        <w:tblW w:w="14935" w:type="dxa"/>
        <w:tblInd w:w="0" w:type="dxa"/>
        <w:tblLayout w:type="fixed"/>
        <w:tblCellMar>
          <w:top w:w="0" w:type="dxa"/>
          <w:left w:w="0" w:type="dxa"/>
          <w:bottom w:w="0" w:type="dxa"/>
          <w:right w:w="0" w:type="dxa"/>
        </w:tblCellMar>
      </w:tblPr>
      <w:tblGrid>
        <w:gridCol w:w="2385"/>
        <w:gridCol w:w="1560"/>
        <w:gridCol w:w="1140"/>
        <w:gridCol w:w="1245"/>
        <w:gridCol w:w="1185"/>
        <w:gridCol w:w="1545"/>
        <w:gridCol w:w="975"/>
        <w:gridCol w:w="885"/>
        <w:gridCol w:w="1005"/>
        <w:gridCol w:w="870"/>
        <w:gridCol w:w="1065"/>
        <w:gridCol w:w="1075"/>
      </w:tblGrid>
      <w:tr>
        <w:tblPrEx>
          <w:tblCellMar>
            <w:top w:w="0" w:type="dxa"/>
            <w:left w:w="0" w:type="dxa"/>
            <w:bottom w:w="0" w:type="dxa"/>
            <w:right w:w="0" w:type="dxa"/>
          </w:tblCellMar>
        </w:tblPrEx>
        <w:trPr>
          <w:trHeight w:val="600" w:hRule="atLeast"/>
        </w:trPr>
        <w:tc>
          <w:tcPr>
            <w:tcW w:w="23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ascii="黑体" w:hAnsi="宋体" w:eastAsia="黑体" w:cs="黑体"/>
                <w:i w:val="0"/>
                <w:color w:val="auto"/>
                <w:sz w:val="24"/>
                <w:szCs w:val="24"/>
                <w:u w:val="none"/>
              </w:rPr>
            </w:pPr>
            <w:r>
              <w:rPr>
                <w:rFonts w:hint="eastAsia" w:ascii="黑体" w:hAnsi="宋体" w:eastAsia="黑体" w:cs="黑体"/>
                <w:i w:val="0"/>
                <w:color w:val="auto"/>
                <w:kern w:val="0"/>
                <w:sz w:val="24"/>
                <w:szCs w:val="24"/>
                <w:u w:val="none"/>
                <w:lang w:val="en-US" w:eastAsia="zh-CN" w:bidi="ar"/>
              </w:rPr>
              <w:t>公司（或业主）名称</w:t>
            </w:r>
          </w:p>
        </w:tc>
        <w:tc>
          <w:tcPr>
            <w:tcW w:w="156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黑体" w:hAnsi="宋体" w:eastAsia="黑体" w:cs="黑体"/>
                <w:i w:val="0"/>
                <w:color w:val="auto"/>
                <w:sz w:val="24"/>
                <w:szCs w:val="24"/>
                <w:u w:val="none"/>
              </w:rPr>
            </w:pPr>
            <w:r>
              <w:rPr>
                <w:rFonts w:hint="eastAsia" w:ascii="黑体" w:hAnsi="宋体" w:eastAsia="黑体" w:cs="黑体"/>
                <w:i w:val="0"/>
                <w:color w:val="auto"/>
                <w:kern w:val="0"/>
                <w:sz w:val="24"/>
                <w:szCs w:val="24"/>
                <w:u w:val="none"/>
                <w:lang w:val="en-US" w:eastAsia="zh-CN" w:bidi="ar"/>
              </w:rPr>
              <w:t>项目地址（所在乡（镇）、村）</w:t>
            </w:r>
          </w:p>
        </w:tc>
        <w:tc>
          <w:tcPr>
            <w:tcW w:w="114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黑体" w:hAnsi="宋体" w:eastAsia="黑体" w:cs="黑体"/>
                <w:i w:val="0"/>
                <w:color w:val="auto"/>
                <w:sz w:val="24"/>
                <w:szCs w:val="24"/>
                <w:u w:val="none"/>
              </w:rPr>
            </w:pPr>
            <w:r>
              <w:rPr>
                <w:rFonts w:hint="eastAsia" w:ascii="黑体" w:hAnsi="宋体" w:eastAsia="黑体" w:cs="黑体"/>
                <w:i w:val="0"/>
                <w:color w:val="auto"/>
                <w:kern w:val="0"/>
                <w:sz w:val="24"/>
                <w:szCs w:val="24"/>
                <w:u w:val="none"/>
                <w:lang w:val="en-US" w:eastAsia="zh-CN" w:bidi="ar"/>
              </w:rPr>
              <w:t>流转土地面积（亩）</w:t>
            </w:r>
          </w:p>
        </w:tc>
        <w:tc>
          <w:tcPr>
            <w:tcW w:w="124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黑体" w:hAnsi="宋体" w:eastAsia="黑体" w:cs="黑体"/>
                <w:i w:val="0"/>
                <w:color w:val="auto"/>
                <w:sz w:val="24"/>
                <w:szCs w:val="24"/>
                <w:u w:val="none"/>
              </w:rPr>
            </w:pPr>
            <w:r>
              <w:rPr>
                <w:rFonts w:hint="eastAsia" w:ascii="黑体" w:hAnsi="宋体" w:eastAsia="黑体" w:cs="黑体"/>
                <w:i w:val="0"/>
                <w:color w:val="auto"/>
                <w:kern w:val="0"/>
                <w:sz w:val="24"/>
                <w:szCs w:val="24"/>
                <w:u w:val="none"/>
                <w:lang w:val="en-US" w:eastAsia="zh-CN" w:bidi="ar"/>
              </w:rPr>
              <w:t>流转起止年限</w:t>
            </w:r>
          </w:p>
        </w:tc>
        <w:tc>
          <w:tcPr>
            <w:tcW w:w="11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黑体" w:hAnsi="宋体" w:eastAsia="黑体" w:cs="黑体"/>
                <w:i w:val="0"/>
                <w:color w:val="auto"/>
                <w:sz w:val="24"/>
                <w:szCs w:val="24"/>
                <w:u w:val="none"/>
              </w:rPr>
            </w:pPr>
            <w:r>
              <w:rPr>
                <w:rFonts w:hint="eastAsia" w:ascii="黑体" w:hAnsi="宋体" w:eastAsia="黑体" w:cs="黑体"/>
                <w:i w:val="0"/>
                <w:color w:val="auto"/>
                <w:kern w:val="0"/>
                <w:sz w:val="24"/>
                <w:szCs w:val="24"/>
                <w:u w:val="none"/>
                <w:lang w:val="en-US" w:eastAsia="zh-CN" w:bidi="ar"/>
              </w:rPr>
              <w:t>流转价格（元/亩）</w:t>
            </w:r>
          </w:p>
        </w:tc>
        <w:tc>
          <w:tcPr>
            <w:tcW w:w="154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黑体" w:hAnsi="宋体" w:eastAsia="黑体" w:cs="黑体"/>
                <w:i w:val="0"/>
                <w:color w:val="auto"/>
                <w:sz w:val="24"/>
                <w:szCs w:val="24"/>
                <w:u w:val="none"/>
              </w:rPr>
            </w:pPr>
            <w:r>
              <w:rPr>
                <w:rFonts w:hint="eastAsia" w:ascii="黑体" w:hAnsi="宋体" w:eastAsia="黑体" w:cs="黑体"/>
                <w:i w:val="0"/>
                <w:color w:val="auto"/>
                <w:kern w:val="0"/>
                <w:sz w:val="24"/>
                <w:szCs w:val="24"/>
                <w:u w:val="none"/>
                <w:lang w:val="en-US" w:eastAsia="zh-CN" w:bidi="ar"/>
              </w:rPr>
              <w:t>主要经营项目</w:t>
            </w:r>
          </w:p>
        </w:tc>
        <w:tc>
          <w:tcPr>
            <w:tcW w:w="5875"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黑体" w:hAnsi="宋体" w:eastAsia="黑体" w:cs="黑体"/>
                <w:i w:val="0"/>
                <w:color w:val="auto"/>
                <w:sz w:val="24"/>
                <w:szCs w:val="24"/>
                <w:u w:val="none"/>
              </w:rPr>
            </w:pPr>
            <w:r>
              <w:rPr>
                <w:rFonts w:hint="eastAsia" w:ascii="黑体" w:hAnsi="宋体" w:eastAsia="黑体" w:cs="黑体"/>
                <w:i w:val="0"/>
                <w:color w:val="auto"/>
                <w:kern w:val="0"/>
                <w:sz w:val="24"/>
                <w:szCs w:val="24"/>
                <w:u w:val="none"/>
                <w:lang w:val="en-US" w:eastAsia="zh-CN" w:bidi="ar"/>
              </w:rPr>
              <w:t>审查备案情况</w:t>
            </w:r>
          </w:p>
        </w:tc>
      </w:tr>
      <w:tr>
        <w:tblPrEx>
          <w:tblCellMar>
            <w:top w:w="0" w:type="dxa"/>
            <w:left w:w="0" w:type="dxa"/>
            <w:bottom w:w="0" w:type="dxa"/>
            <w:right w:w="0" w:type="dxa"/>
          </w:tblCellMar>
        </w:tblPrEx>
        <w:trPr>
          <w:trHeight w:val="1440" w:hRule="atLeast"/>
        </w:trPr>
        <w:tc>
          <w:tcPr>
            <w:tcW w:w="23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560" w:lineRule="exact"/>
              <w:jc w:val="center"/>
              <w:rPr>
                <w:rFonts w:hint="eastAsia" w:ascii="黑体" w:hAnsi="宋体" w:eastAsia="黑体" w:cs="黑体"/>
                <w:i w:val="0"/>
                <w:color w:val="auto"/>
                <w:sz w:val="24"/>
                <w:szCs w:val="24"/>
                <w:u w:val="none"/>
              </w:rPr>
            </w:pPr>
          </w:p>
        </w:tc>
        <w:tc>
          <w:tcPr>
            <w:tcW w:w="15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560" w:lineRule="exact"/>
              <w:jc w:val="center"/>
              <w:rPr>
                <w:rFonts w:hint="eastAsia" w:ascii="黑体" w:hAnsi="宋体" w:eastAsia="黑体" w:cs="黑体"/>
                <w:i w:val="0"/>
                <w:color w:val="auto"/>
                <w:sz w:val="24"/>
                <w:szCs w:val="24"/>
                <w:u w:val="none"/>
              </w:rPr>
            </w:pPr>
          </w:p>
        </w:tc>
        <w:tc>
          <w:tcPr>
            <w:tcW w:w="11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560" w:lineRule="exact"/>
              <w:jc w:val="center"/>
              <w:rPr>
                <w:rFonts w:hint="eastAsia" w:ascii="黑体" w:hAnsi="宋体" w:eastAsia="黑体" w:cs="黑体"/>
                <w:i w:val="0"/>
                <w:color w:val="auto"/>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560" w:lineRule="exact"/>
              <w:jc w:val="center"/>
              <w:rPr>
                <w:rFonts w:hint="eastAsia" w:ascii="黑体" w:hAnsi="宋体" w:eastAsia="黑体" w:cs="黑体"/>
                <w:i w:val="0"/>
                <w:color w:val="auto"/>
                <w:sz w:val="24"/>
                <w:szCs w:val="24"/>
                <w:u w:val="none"/>
              </w:rPr>
            </w:pPr>
          </w:p>
        </w:tc>
        <w:tc>
          <w:tcPr>
            <w:tcW w:w="11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560" w:lineRule="exact"/>
              <w:jc w:val="center"/>
              <w:rPr>
                <w:rFonts w:hint="eastAsia" w:ascii="黑体" w:hAnsi="宋体" w:eastAsia="黑体" w:cs="黑体"/>
                <w:i w:val="0"/>
                <w:color w:val="auto"/>
                <w:sz w:val="24"/>
                <w:szCs w:val="24"/>
                <w:u w:val="none"/>
              </w:rPr>
            </w:pPr>
          </w:p>
        </w:tc>
        <w:tc>
          <w:tcPr>
            <w:tcW w:w="154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560" w:lineRule="exact"/>
              <w:jc w:val="center"/>
              <w:rPr>
                <w:rFonts w:hint="eastAsia" w:ascii="黑体" w:hAnsi="宋体" w:eastAsia="黑体" w:cs="黑体"/>
                <w:i w:val="0"/>
                <w:color w:val="auto"/>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黑体" w:hAnsi="宋体" w:eastAsia="黑体" w:cs="黑体"/>
                <w:i w:val="0"/>
                <w:color w:val="auto"/>
                <w:sz w:val="24"/>
                <w:szCs w:val="24"/>
                <w:u w:val="none"/>
              </w:rPr>
            </w:pPr>
            <w:r>
              <w:rPr>
                <w:rFonts w:hint="eastAsia" w:ascii="黑体" w:hAnsi="宋体" w:eastAsia="黑体" w:cs="黑体"/>
                <w:i w:val="0"/>
                <w:color w:val="auto"/>
                <w:kern w:val="0"/>
                <w:sz w:val="24"/>
                <w:szCs w:val="24"/>
                <w:u w:val="none"/>
                <w:lang w:val="en-US" w:eastAsia="zh-CN" w:bidi="ar"/>
              </w:rPr>
              <w:t>主体资信是否良好</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黑体" w:hAnsi="宋体" w:eastAsia="黑体" w:cs="黑体"/>
                <w:i w:val="0"/>
                <w:color w:val="auto"/>
                <w:sz w:val="24"/>
                <w:szCs w:val="24"/>
                <w:u w:val="none"/>
              </w:rPr>
            </w:pPr>
            <w:r>
              <w:rPr>
                <w:rFonts w:hint="eastAsia" w:ascii="黑体" w:hAnsi="宋体" w:eastAsia="黑体" w:cs="黑体"/>
                <w:i w:val="0"/>
                <w:color w:val="auto"/>
                <w:kern w:val="0"/>
                <w:sz w:val="24"/>
                <w:szCs w:val="24"/>
                <w:u w:val="none"/>
                <w:lang w:val="en-US" w:eastAsia="zh-CN" w:bidi="ar"/>
              </w:rPr>
              <w:t>是否具备农业经营能力</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黑体" w:hAnsi="宋体" w:eastAsia="黑体" w:cs="黑体"/>
                <w:i w:val="0"/>
                <w:color w:val="auto"/>
                <w:sz w:val="24"/>
                <w:szCs w:val="24"/>
                <w:u w:val="none"/>
              </w:rPr>
            </w:pPr>
            <w:r>
              <w:rPr>
                <w:rFonts w:hint="eastAsia" w:ascii="黑体" w:hAnsi="宋体" w:eastAsia="黑体" w:cs="黑体"/>
                <w:i w:val="0"/>
                <w:color w:val="auto"/>
                <w:kern w:val="0"/>
                <w:sz w:val="24"/>
                <w:szCs w:val="24"/>
                <w:u w:val="none"/>
                <w:lang w:val="en-US" w:eastAsia="zh-CN" w:bidi="ar"/>
              </w:rPr>
              <w:t>是否符合产业布局</w:t>
            </w:r>
            <w:r>
              <w:rPr>
                <w:rStyle w:val="19"/>
                <w:rFonts w:hAnsi="宋体"/>
                <w:color w:val="auto"/>
                <w:lang w:val="en-US" w:eastAsia="zh-CN" w:bidi="ar"/>
              </w:rPr>
              <w:t>和发展规划</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黑体" w:hAnsi="宋体" w:eastAsia="黑体" w:cs="黑体"/>
                <w:i w:val="0"/>
                <w:color w:val="auto"/>
                <w:sz w:val="24"/>
                <w:szCs w:val="24"/>
                <w:u w:val="none"/>
              </w:rPr>
            </w:pPr>
            <w:r>
              <w:rPr>
                <w:rFonts w:hint="eastAsia" w:ascii="黑体" w:hAnsi="宋体" w:eastAsia="黑体" w:cs="黑体"/>
                <w:i w:val="0"/>
                <w:color w:val="auto"/>
                <w:kern w:val="0"/>
                <w:sz w:val="24"/>
                <w:szCs w:val="24"/>
                <w:u w:val="none"/>
                <w:lang w:val="en-US" w:eastAsia="zh-CN" w:bidi="ar"/>
              </w:rPr>
              <w:t>是否符合土地用途</w:t>
            </w: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黑体" w:hAnsi="宋体" w:eastAsia="黑体" w:cs="黑体"/>
                <w:i w:val="0"/>
                <w:color w:val="auto"/>
                <w:sz w:val="24"/>
                <w:szCs w:val="24"/>
                <w:u w:val="none"/>
              </w:rPr>
            </w:pPr>
            <w:r>
              <w:rPr>
                <w:rFonts w:hint="eastAsia" w:ascii="黑体" w:hAnsi="宋体" w:eastAsia="黑体" w:cs="黑体"/>
                <w:i w:val="0"/>
                <w:color w:val="auto"/>
                <w:kern w:val="0"/>
                <w:sz w:val="24"/>
                <w:szCs w:val="24"/>
                <w:u w:val="none"/>
                <w:lang w:val="en-US" w:eastAsia="zh-CN" w:bidi="ar"/>
              </w:rPr>
              <w:t>风险防范方式</w:t>
            </w:r>
          </w:p>
        </w:tc>
        <w:tc>
          <w:tcPr>
            <w:tcW w:w="1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黑体" w:hAnsi="宋体" w:eastAsia="黑体" w:cs="黑体"/>
                <w:i w:val="0"/>
                <w:color w:val="auto"/>
                <w:sz w:val="24"/>
                <w:szCs w:val="24"/>
                <w:u w:val="none"/>
              </w:rPr>
            </w:pPr>
            <w:r>
              <w:rPr>
                <w:rFonts w:hint="eastAsia" w:ascii="黑体" w:hAnsi="宋体" w:eastAsia="黑体" w:cs="黑体"/>
                <w:i w:val="0"/>
                <w:color w:val="auto"/>
                <w:kern w:val="0"/>
                <w:sz w:val="24"/>
                <w:szCs w:val="24"/>
                <w:u w:val="none"/>
                <w:lang w:val="en-US" w:eastAsia="zh-CN" w:bidi="ar"/>
              </w:rPr>
              <w:t>备案情况</w:t>
            </w:r>
          </w:p>
        </w:tc>
      </w:tr>
      <w:tr>
        <w:tblPrEx>
          <w:tblCellMar>
            <w:top w:w="0" w:type="dxa"/>
            <w:left w:w="0" w:type="dxa"/>
            <w:bottom w:w="0" w:type="dxa"/>
            <w:right w:w="0" w:type="dxa"/>
          </w:tblCellMar>
        </w:tblPrEx>
        <w:trPr>
          <w:trHeight w:val="720" w:hRule="atLeast"/>
        </w:trPr>
        <w:tc>
          <w:tcPr>
            <w:tcW w:w="23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spacing w:line="560" w:lineRule="exact"/>
              <w:rPr>
                <w:rFonts w:hint="eastAsia" w:ascii="宋体" w:hAnsi="宋体" w:eastAsia="宋体" w:cs="宋体"/>
                <w:i w:val="0"/>
                <w:color w:val="auto"/>
                <w:sz w:val="22"/>
                <w:szCs w:val="22"/>
                <w:u w:val="none"/>
              </w:rPr>
            </w:pPr>
          </w:p>
        </w:tc>
        <w:tc>
          <w:tcPr>
            <w:tcW w:w="1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spacing w:line="560" w:lineRule="exact"/>
              <w:rPr>
                <w:rFonts w:hint="eastAsia" w:ascii="宋体" w:hAnsi="宋体" w:eastAsia="宋体" w:cs="宋体"/>
                <w:i w:val="0"/>
                <w:color w:val="auto"/>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spacing w:line="560" w:lineRule="exact"/>
              <w:rPr>
                <w:rFonts w:hint="eastAsia" w:ascii="宋体" w:hAnsi="宋体" w:eastAsia="宋体" w:cs="宋体"/>
                <w:i w:val="0"/>
                <w:color w:val="auto"/>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spacing w:line="560" w:lineRule="exact"/>
              <w:rPr>
                <w:rFonts w:hint="eastAsia" w:ascii="宋体" w:hAnsi="宋体" w:eastAsia="宋体" w:cs="宋体"/>
                <w:i w:val="0"/>
                <w:color w:val="auto"/>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spacing w:line="560" w:lineRule="exact"/>
              <w:rPr>
                <w:rFonts w:hint="eastAsia" w:ascii="宋体" w:hAnsi="宋体" w:eastAsia="宋体" w:cs="宋体"/>
                <w:i w:val="0"/>
                <w:color w:val="auto"/>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spacing w:line="560" w:lineRule="exact"/>
              <w:rPr>
                <w:rFonts w:hint="eastAsia" w:ascii="宋体" w:hAnsi="宋体" w:eastAsia="宋体" w:cs="宋体"/>
                <w:i w:val="0"/>
                <w:color w:val="auto"/>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spacing w:line="560" w:lineRule="exact"/>
              <w:rPr>
                <w:rFonts w:hint="eastAsia" w:ascii="宋体" w:hAnsi="宋体" w:eastAsia="宋体" w:cs="宋体"/>
                <w:i w:val="0"/>
                <w:color w:val="auto"/>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spacing w:line="560" w:lineRule="exact"/>
              <w:rPr>
                <w:rFonts w:hint="eastAsia" w:ascii="宋体" w:hAnsi="宋体" w:eastAsia="宋体" w:cs="宋体"/>
                <w:i w:val="0"/>
                <w:color w:val="auto"/>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spacing w:line="560" w:lineRule="exact"/>
              <w:rPr>
                <w:rFonts w:hint="eastAsia" w:ascii="宋体" w:hAnsi="宋体" w:eastAsia="宋体" w:cs="宋体"/>
                <w:i w:val="0"/>
                <w:color w:val="auto"/>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spacing w:line="560" w:lineRule="exact"/>
              <w:rPr>
                <w:rFonts w:hint="eastAsia" w:ascii="宋体" w:hAnsi="宋体" w:eastAsia="宋体" w:cs="宋体"/>
                <w:i w:val="0"/>
                <w:color w:val="auto"/>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spacing w:line="560" w:lineRule="exact"/>
              <w:rPr>
                <w:rFonts w:hint="eastAsia" w:ascii="宋体" w:hAnsi="宋体" w:eastAsia="宋体" w:cs="宋体"/>
                <w:i w:val="0"/>
                <w:color w:val="auto"/>
                <w:sz w:val="22"/>
                <w:szCs w:val="22"/>
                <w:u w:val="none"/>
              </w:rPr>
            </w:pPr>
          </w:p>
        </w:tc>
        <w:tc>
          <w:tcPr>
            <w:tcW w:w="10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spacing w:line="560" w:lineRule="exac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720" w:hRule="atLeast"/>
        </w:trPr>
        <w:tc>
          <w:tcPr>
            <w:tcW w:w="23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spacing w:line="560" w:lineRule="exact"/>
              <w:rPr>
                <w:rFonts w:hint="eastAsia" w:ascii="宋体" w:hAnsi="宋体" w:eastAsia="宋体" w:cs="宋体"/>
                <w:i w:val="0"/>
                <w:color w:val="auto"/>
                <w:sz w:val="22"/>
                <w:szCs w:val="22"/>
                <w:u w:val="none"/>
              </w:rPr>
            </w:pPr>
          </w:p>
        </w:tc>
        <w:tc>
          <w:tcPr>
            <w:tcW w:w="1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spacing w:line="560" w:lineRule="exact"/>
              <w:rPr>
                <w:rFonts w:hint="eastAsia" w:ascii="宋体" w:hAnsi="宋体" w:eastAsia="宋体" w:cs="宋体"/>
                <w:i w:val="0"/>
                <w:color w:val="auto"/>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spacing w:line="560" w:lineRule="exact"/>
              <w:rPr>
                <w:rFonts w:hint="eastAsia" w:ascii="宋体" w:hAnsi="宋体" w:eastAsia="宋体" w:cs="宋体"/>
                <w:i w:val="0"/>
                <w:color w:val="auto"/>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spacing w:line="560" w:lineRule="exact"/>
              <w:rPr>
                <w:rFonts w:hint="eastAsia" w:ascii="宋体" w:hAnsi="宋体" w:eastAsia="宋体" w:cs="宋体"/>
                <w:i w:val="0"/>
                <w:color w:val="auto"/>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spacing w:line="560" w:lineRule="exact"/>
              <w:rPr>
                <w:rFonts w:hint="eastAsia" w:ascii="宋体" w:hAnsi="宋体" w:eastAsia="宋体" w:cs="宋体"/>
                <w:i w:val="0"/>
                <w:color w:val="auto"/>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spacing w:line="560" w:lineRule="exact"/>
              <w:rPr>
                <w:rFonts w:hint="eastAsia" w:ascii="宋体" w:hAnsi="宋体" w:eastAsia="宋体" w:cs="宋体"/>
                <w:i w:val="0"/>
                <w:color w:val="auto"/>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spacing w:line="560" w:lineRule="exact"/>
              <w:rPr>
                <w:rFonts w:hint="eastAsia" w:ascii="宋体" w:hAnsi="宋体" w:eastAsia="宋体" w:cs="宋体"/>
                <w:i w:val="0"/>
                <w:color w:val="auto"/>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spacing w:line="560" w:lineRule="exact"/>
              <w:rPr>
                <w:rFonts w:hint="eastAsia" w:ascii="宋体" w:hAnsi="宋体" w:eastAsia="宋体" w:cs="宋体"/>
                <w:i w:val="0"/>
                <w:color w:val="auto"/>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spacing w:line="560" w:lineRule="exact"/>
              <w:rPr>
                <w:rFonts w:hint="eastAsia" w:ascii="宋体" w:hAnsi="宋体" w:eastAsia="宋体" w:cs="宋体"/>
                <w:i w:val="0"/>
                <w:color w:val="auto"/>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spacing w:line="560" w:lineRule="exact"/>
              <w:rPr>
                <w:rFonts w:hint="eastAsia" w:ascii="宋体" w:hAnsi="宋体" w:eastAsia="宋体" w:cs="宋体"/>
                <w:i w:val="0"/>
                <w:color w:val="auto"/>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spacing w:line="560" w:lineRule="exact"/>
              <w:rPr>
                <w:rFonts w:hint="eastAsia" w:ascii="宋体" w:hAnsi="宋体" w:eastAsia="宋体" w:cs="宋体"/>
                <w:i w:val="0"/>
                <w:color w:val="auto"/>
                <w:sz w:val="22"/>
                <w:szCs w:val="22"/>
                <w:u w:val="none"/>
              </w:rPr>
            </w:pPr>
          </w:p>
        </w:tc>
        <w:tc>
          <w:tcPr>
            <w:tcW w:w="10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spacing w:line="560" w:lineRule="exac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720" w:hRule="atLeast"/>
        </w:trPr>
        <w:tc>
          <w:tcPr>
            <w:tcW w:w="23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spacing w:line="560" w:lineRule="exact"/>
              <w:rPr>
                <w:rFonts w:hint="eastAsia" w:ascii="宋体" w:hAnsi="宋体" w:eastAsia="宋体" w:cs="宋体"/>
                <w:i w:val="0"/>
                <w:color w:val="auto"/>
                <w:sz w:val="22"/>
                <w:szCs w:val="22"/>
                <w:u w:val="none"/>
              </w:rPr>
            </w:pPr>
          </w:p>
        </w:tc>
        <w:tc>
          <w:tcPr>
            <w:tcW w:w="1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spacing w:line="560" w:lineRule="exact"/>
              <w:rPr>
                <w:rFonts w:hint="eastAsia" w:ascii="宋体" w:hAnsi="宋体" w:eastAsia="宋体" w:cs="宋体"/>
                <w:i w:val="0"/>
                <w:color w:val="auto"/>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spacing w:line="560" w:lineRule="exact"/>
              <w:rPr>
                <w:rFonts w:hint="eastAsia" w:ascii="宋体" w:hAnsi="宋体" w:eastAsia="宋体" w:cs="宋体"/>
                <w:i w:val="0"/>
                <w:color w:val="auto"/>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spacing w:line="560" w:lineRule="exact"/>
              <w:rPr>
                <w:rFonts w:hint="eastAsia" w:ascii="宋体" w:hAnsi="宋体" w:eastAsia="宋体" w:cs="宋体"/>
                <w:i w:val="0"/>
                <w:color w:val="auto"/>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spacing w:line="560" w:lineRule="exact"/>
              <w:rPr>
                <w:rFonts w:hint="eastAsia" w:ascii="宋体" w:hAnsi="宋体" w:eastAsia="宋体" w:cs="宋体"/>
                <w:i w:val="0"/>
                <w:color w:val="auto"/>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spacing w:line="560" w:lineRule="exact"/>
              <w:rPr>
                <w:rFonts w:hint="eastAsia" w:ascii="宋体" w:hAnsi="宋体" w:eastAsia="宋体" w:cs="宋体"/>
                <w:i w:val="0"/>
                <w:color w:val="auto"/>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spacing w:line="560" w:lineRule="exact"/>
              <w:rPr>
                <w:rFonts w:hint="eastAsia" w:ascii="宋体" w:hAnsi="宋体" w:eastAsia="宋体" w:cs="宋体"/>
                <w:i w:val="0"/>
                <w:color w:val="auto"/>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spacing w:line="560" w:lineRule="exact"/>
              <w:rPr>
                <w:rFonts w:hint="eastAsia" w:ascii="宋体" w:hAnsi="宋体" w:eastAsia="宋体" w:cs="宋体"/>
                <w:i w:val="0"/>
                <w:color w:val="auto"/>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spacing w:line="560" w:lineRule="exact"/>
              <w:rPr>
                <w:rFonts w:hint="eastAsia" w:ascii="宋体" w:hAnsi="宋体" w:eastAsia="宋体" w:cs="宋体"/>
                <w:i w:val="0"/>
                <w:color w:val="auto"/>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spacing w:line="560" w:lineRule="exact"/>
              <w:rPr>
                <w:rFonts w:hint="eastAsia" w:ascii="宋体" w:hAnsi="宋体" w:eastAsia="宋体" w:cs="宋体"/>
                <w:i w:val="0"/>
                <w:color w:val="auto"/>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spacing w:line="560" w:lineRule="exact"/>
              <w:rPr>
                <w:rFonts w:hint="eastAsia" w:ascii="宋体" w:hAnsi="宋体" w:eastAsia="宋体" w:cs="宋体"/>
                <w:i w:val="0"/>
                <w:color w:val="auto"/>
                <w:sz w:val="22"/>
                <w:szCs w:val="22"/>
                <w:u w:val="none"/>
              </w:rPr>
            </w:pPr>
          </w:p>
        </w:tc>
        <w:tc>
          <w:tcPr>
            <w:tcW w:w="10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spacing w:line="560" w:lineRule="exact"/>
              <w:rPr>
                <w:rFonts w:hint="eastAsia" w:ascii="宋体" w:hAnsi="宋体" w:eastAsia="宋体" w:cs="宋体"/>
                <w:i w:val="0"/>
                <w:color w:val="auto"/>
                <w:sz w:val="22"/>
                <w:szCs w:val="22"/>
                <w:u w:val="none"/>
              </w:rPr>
            </w:pPr>
          </w:p>
        </w:tc>
      </w:tr>
    </w:tbl>
    <w:p>
      <w:pPr>
        <w:keepNext w:val="0"/>
        <w:keepLines w:val="0"/>
        <w:pageBreakBefore w:val="0"/>
        <w:tabs>
          <w:tab w:val="left" w:pos="7086"/>
        </w:tabs>
        <w:kinsoku/>
        <w:wordWrap/>
        <w:overflowPunct/>
        <w:topLinePunct w:val="0"/>
        <w:autoSpaceDE/>
        <w:autoSpaceDN/>
        <w:bidi w:val="0"/>
        <w:spacing w:line="560" w:lineRule="exact"/>
        <w:jc w:val="left"/>
        <w:rPr>
          <w:rFonts w:hint="default" w:ascii="Times New Roman" w:hAnsi="Times New Roman" w:eastAsia="仿宋_GB2312" w:cs="Times New Roman"/>
          <w:color w:val="auto"/>
          <w:sz w:val="28"/>
          <w:szCs w:val="28"/>
          <w:lang w:val="en-US" w:eastAsia="zh-CN"/>
        </w:rPr>
      </w:pPr>
    </w:p>
    <w:p>
      <w:pPr>
        <w:keepNext w:val="0"/>
        <w:keepLines w:val="0"/>
        <w:pageBreakBefore w:val="0"/>
        <w:tabs>
          <w:tab w:val="left" w:pos="7086"/>
        </w:tabs>
        <w:kinsoku/>
        <w:wordWrap/>
        <w:overflowPunct/>
        <w:topLinePunct w:val="0"/>
        <w:autoSpaceDE/>
        <w:autoSpaceDN/>
        <w:bidi w:val="0"/>
        <w:spacing w:line="560" w:lineRule="exact"/>
        <w:jc w:val="left"/>
        <w:rPr>
          <w:rFonts w:hint="default" w:ascii="Times New Roman" w:hAnsi="Times New Roman" w:eastAsia="仿宋_GB2312" w:cs="Times New Roman"/>
          <w:color w:val="auto"/>
          <w:sz w:val="28"/>
          <w:szCs w:val="28"/>
          <w:lang w:val="en-US" w:eastAsia="zh-CN"/>
        </w:rPr>
      </w:pPr>
    </w:p>
    <w:p>
      <w:pPr>
        <w:keepNext w:val="0"/>
        <w:keepLines w:val="0"/>
        <w:pageBreakBefore w:val="0"/>
        <w:tabs>
          <w:tab w:val="left" w:pos="7086"/>
        </w:tabs>
        <w:kinsoku/>
        <w:wordWrap/>
        <w:overflowPunct/>
        <w:topLinePunct w:val="0"/>
        <w:autoSpaceDE/>
        <w:autoSpaceDN/>
        <w:bidi w:val="0"/>
        <w:spacing w:line="560" w:lineRule="exact"/>
        <w:jc w:val="left"/>
        <w:rPr>
          <w:rFonts w:hint="default"/>
          <w:lang w:val="en-US" w:eastAsia="zh-CN"/>
        </w:rPr>
      </w:pPr>
      <w:r>
        <w:rPr>
          <w:rFonts w:hint="default" w:ascii="Times New Roman" w:hAnsi="Times New Roman" w:eastAsia="仿宋_GB2312" w:cs="Times New Roman"/>
          <w:color w:val="auto"/>
          <w:sz w:val="28"/>
          <w:szCs w:val="28"/>
          <w:lang w:val="en-US" w:eastAsia="zh-CN"/>
        </w:rPr>
        <w:t>填报单位：</w:t>
      </w:r>
      <w:r>
        <w:rPr>
          <w:rFonts w:hint="eastAsia"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lang w:val="en-US" w:eastAsia="zh-CN"/>
        </w:rPr>
        <w:t>（盖章）</w:t>
      </w:r>
      <w:r>
        <w:rPr>
          <w:rFonts w:hint="eastAsia" w:ascii="Times New Roman" w:hAnsi="Times New Roman" w:eastAsia="仿宋_GB2312" w:cs="Times New Roman"/>
          <w:color w:val="auto"/>
          <w:sz w:val="28"/>
          <w:szCs w:val="28"/>
          <w:lang w:val="en-US" w:eastAsia="zh-CN"/>
        </w:rPr>
        <w:t xml:space="preserve">                   </w:t>
      </w:r>
      <w:r>
        <w:rPr>
          <w:rFonts w:hint="eastAsia"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lang w:val="en-US" w:eastAsia="zh-CN"/>
        </w:rPr>
        <w:t>填报时间：</w:t>
      </w:r>
      <w:r>
        <w:rPr>
          <w:rFonts w:hint="eastAsia"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lang w:val="en-US" w:eastAsia="zh-CN"/>
        </w:rPr>
        <w:t>年</w:t>
      </w:r>
      <w:r>
        <w:rPr>
          <w:rFonts w:hint="eastAsia"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lang w:val="en-US" w:eastAsia="zh-CN"/>
        </w:rPr>
        <w:t>月</w:t>
      </w:r>
      <w:r>
        <w:rPr>
          <w:rFonts w:hint="eastAsia" w:eastAsia="仿宋_GB2312" w:cs="Times New Roman"/>
          <w:color w:val="auto"/>
          <w:sz w:val="28"/>
          <w:szCs w:val="28"/>
          <w:lang w:val="en-US" w:eastAsia="zh-CN"/>
        </w:rPr>
        <w:t xml:space="preserve">    日</w:t>
      </w:r>
    </w:p>
    <w:p>
      <w:pPr>
        <w:pStyle w:val="2"/>
        <w:rPr>
          <w:rFonts w:hint="default"/>
          <w:lang w:val="en-US"/>
        </w:rPr>
      </w:pPr>
    </w:p>
    <w:sectPr>
      <w:footerReference r:id="rId4" w:type="default"/>
      <w:pgSz w:w="16838" w:h="11906" w:orient="landscape"/>
      <w:pgMar w:top="1587" w:right="2098" w:bottom="1474" w:left="1984"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- 20 -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- 20 -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lZWJmNWQ2Yjg2ZGM1YWQ4OGRjMTNjMDMzMTMxNTIifQ=="/>
  </w:docVars>
  <w:rsids>
    <w:rsidRoot w:val="00000000"/>
    <w:rsid w:val="01FE4B9A"/>
    <w:rsid w:val="03D6589B"/>
    <w:rsid w:val="12DD1CFF"/>
    <w:rsid w:val="13E1205E"/>
    <w:rsid w:val="204069D8"/>
    <w:rsid w:val="33FC71E3"/>
    <w:rsid w:val="366858CE"/>
    <w:rsid w:val="4A516197"/>
    <w:rsid w:val="4CA64DB3"/>
    <w:rsid w:val="534920F3"/>
    <w:rsid w:val="54857525"/>
    <w:rsid w:val="54DE4C55"/>
    <w:rsid w:val="5593401E"/>
    <w:rsid w:val="5DBC388C"/>
    <w:rsid w:val="69FD7706"/>
    <w:rsid w:val="73DC0835"/>
    <w:rsid w:val="78981D74"/>
    <w:rsid w:val="7CEC2339"/>
    <w:rsid w:val="7D1F3E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spacing w:before="0" w:beforeAutospacing="1" w:after="0" w:afterAutospacing="1"/>
      <w:jc w:val="left"/>
    </w:pPr>
    <w:rPr>
      <w:rFonts w:hint="eastAsia" w:ascii="宋体" w:hAnsi="宋体" w:eastAsia="宋体" w:cs="宋体"/>
      <w:b/>
      <w:bCs/>
      <w:kern w:val="0"/>
      <w:sz w:val="36"/>
      <w:szCs w:val="36"/>
      <w:lang w:val="en-US" w:eastAsia="zh-CN"/>
    </w:rPr>
  </w:style>
  <w:style w:type="character" w:default="1" w:styleId="11">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样式1"/>
    <w:basedOn w:val="1"/>
    <w:next w:val="1"/>
    <w:qFormat/>
    <w:uiPriority w:val="0"/>
    <w:pPr>
      <w:spacing w:line="400" w:lineRule="atLeast"/>
      <w:ind w:firstLine="510"/>
    </w:pPr>
    <w:rPr>
      <w:spacing w:val="20"/>
      <w:szCs w:val="20"/>
    </w:rPr>
  </w:style>
  <w:style w:type="paragraph" w:styleId="4">
    <w:name w:val="Body Text"/>
    <w:basedOn w:val="1"/>
    <w:next w:val="1"/>
    <w:unhideWhenUsed/>
    <w:qFormat/>
    <w:uiPriority w:val="99"/>
    <w:pPr>
      <w:spacing w:after="120"/>
    </w:pPr>
    <w:rPr>
      <w:szCs w:val="2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rPr>
  </w:style>
  <w:style w:type="paragraph" w:styleId="8">
    <w:name w:val="Body Text First Indent"/>
    <w:basedOn w:val="4"/>
    <w:next w:val="1"/>
    <w:qFormat/>
    <w:uiPriority w:val="0"/>
    <w:pPr>
      <w:ind w:firstLine="420" w:firstLineChars="1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customStyle="1" w:styleId="13">
    <w:name w:val="font21"/>
    <w:basedOn w:val="11"/>
    <w:qFormat/>
    <w:uiPriority w:val="0"/>
    <w:rPr>
      <w:rFonts w:hint="eastAsia" w:ascii="宋体" w:hAnsi="宋体" w:eastAsia="宋体" w:cs="宋体"/>
      <w:color w:val="000000"/>
      <w:sz w:val="24"/>
      <w:szCs w:val="24"/>
      <w:u w:val="none"/>
    </w:rPr>
  </w:style>
  <w:style w:type="character" w:customStyle="1" w:styleId="14">
    <w:name w:val="font41"/>
    <w:basedOn w:val="11"/>
    <w:qFormat/>
    <w:uiPriority w:val="0"/>
    <w:rPr>
      <w:rFonts w:hint="default" w:ascii="Times New Roman" w:hAnsi="Times New Roman" w:cs="Times New Roman"/>
      <w:color w:val="000000"/>
      <w:sz w:val="24"/>
      <w:szCs w:val="24"/>
      <w:u w:val="single"/>
    </w:rPr>
  </w:style>
  <w:style w:type="character" w:customStyle="1" w:styleId="15">
    <w:name w:val="font81"/>
    <w:basedOn w:val="11"/>
    <w:qFormat/>
    <w:uiPriority w:val="0"/>
    <w:rPr>
      <w:rFonts w:hint="eastAsia" w:ascii="宋体" w:hAnsi="宋体" w:eastAsia="宋体" w:cs="宋体"/>
      <w:color w:val="000000"/>
      <w:sz w:val="24"/>
      <w:szCs w:val="24"/>
      <w:u w:val="single"/>
    </w:rPr>
  </w:style>
  <w:style w:type="character" w:customStyle="1" w:styleId="16">
    <w:name w:val="font71"/>
    <w:basedOn w:val="11"/>
    <w:qFormat/>
    <w:uiPriority w:val="0"/>
    <w:rPr>
      <w:rFonts w:hint="default" w:ascii="Times New Roman" w:hAnsi="Times New Roman" w:cs="Times New Roman"/>
      <w:color w:val="000000"/>
      <w:sz w:val="24"/>
      <w:szCs w:val="24"/>
      <w:u w:val="none"/>
    </w:rPr>
  </w:style>
  <w:style w:type="paragraph" w:customStyle="1" w:styleId="17">
    <w:name w:val="Body text|1"/>
    <w:basedOn w:val="1"/>
    <w:qFormat/>
    <w:uiPriority w:val="0"/>
    <w:pPr>
      <w:widowControl w:val="0"/>
      <w:shd w:val="clear" w:color="auto" w:fill="auto"/>
      <w:spacing w:line="422" w:lineRule="auto"/>
      <w:ind w:firstLine="400"/>
    </w:pPr>
    <w:rPr>
      <w:rFonts w:ascii="宋体" w:hAnsi="宋体" w:eastAsia="宋体" w:cs="宋体"/>
      <w:sz w:val="30"/>
      <w:szCs w:val="30"/>
      <w:u w:val="none"/>
      <w:shd w:val="clear" w:color="auto" w:fill="auto"/>
      <w:lang w:val="zh-TW" w:eastAsia="zh-TW" w:bidi="zh-TW"/>
    </w:rPr>
  </w:style>
  <w:style w:type="paragraph" w:customStyle="1" w:styleId="18">
    <w:name w:val="Table caption|1"/>
    <w:basedOn w:val="1"/>
    <w:qFormat/>
    <w:uiPriority w:val="0"/>
    <w:pPr>
      <w:widowControl w:val="0"/>
      <w:shd w:val="clear" w:color="auto" w:fill="auto"/>
    </w:pPr>
    <w:rPr>
      <w:rFonts w:ascii="宋体" w:hAnsi="宋体" w:eastAsia="宋体" w:cs="宋体"/>
      <w:sz w:val="20"/>
      <w:szCs w:val="20"/>
      <w:u w:val="none"/>
      <w:shd w:val="clear" w:color="auto" w:fill="auto"/>
      <w:lang w:val="zh-TW" w:eastAsia="zh-TW" w:bidi="zh-TW"/>
    </w:rPr>
  </w:style>
  <w:style w:type="character" w:customStyle="1" w:styleId="19">
    <w:name w:val="font11"/>
    <w:basedOn w:val="11"/>
    <w:qFormat/>
    <w:uiPriority w:val="0"/>
    <w:rPr>
      <w:rFonts w:hint="eastAsia" w:ascii="黑体" w:eastAsia="黑体" w:cs="黑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23678</Words>
  <Characters>23765</Characters>
  <Lines>0</Lines>
  <Paragraphs>0</Paragraphs>
  <TotalTime>5</TotalTime>
  <ScaleCrop>false</ScaleCrop>
  <LinksUpToDate>false</LinksUpToDate>
  <CharactersWithSpaces>25044</CharactersWithSpaces>
  <Application>WPS Office_11.1.0.15309_F1E327BC-269C-435d-A152-05C5408002CA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2023-11-28T09:39:00Z</dcterms:created>
  <dc:creator>www33</dc:creator>
  <cp:lastModifiedBy>WPS_1692180044</cp:lastModifiedBy>
  <cp:lastPrinted>2023-12-01T04:18:18Z</cp:lastPrinted>
  <dcterms:modified xsi:type="dcterms:W3CDTF">2023-12-01T05:37:06Z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2052-11.1.0.15309</vt:lpwstr>
  </property>
  <property fmtid="{D5CDD505-2E9C-101B-9397-08002B2CF9AE}" pid="3" name="ICV">
    <vt:lpwstr>04707705C24341BFB0F0EADED584C3DA_12</vt:lpwstr>
  </property>
</Properties>
</file>