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Times New Roman" w:hAnsi="Times New Roman" w:eastAsia="方正小标宋简体" w:cs="方正小标宋简体"/>
          <w:b w:val="0"/>
          <w:bCs/>
          <w:color w:val="auto"/>
          <w:sz w:val="44"/>
          <w:szCs w:val="44"/>
          <w:highlight w:val="none"/>
          <w:lang w:val="en-US" w:eastAsia="zh-CN"/>
        </w:rPr>
      </w:pPr>
      <w:r>
        <w:rPr>
          <w:rFonts w:hint="default" w:ascii="Times New Roman" w:hAnsi="Times New Roman" w:eastAsia="方正小标宋简体" w:cs="Times New Roman"/>
          <w:b w:val="0"/>
          <w:bCs/>
          <w:color w:val="auto"/>
          <w:sz w:val="44"/>
          <w:szCs w:val="44"/>
          <w:highlight w:val="none"/>
          <w:lang w:val="en-US" w:eastAsia="zh-CN"/>
        </w:rPr>
        <w:t>2025</w:t>
      </w:r>
      <w:r>
        <w:rPr>
          <w:rFonts w:hint="eastAsia" w:ascii="Times New Roman" w:hAnsi="Times New Roman" w:eastAsia="方正小标宋简体" w:cs="方正小标宋简体"/>
          <w:b w:val="0"/>
          <w:bCs/>
          <w:color w:val="auto"/>
          <w:sz w:val="44"/>
          <w:szCs w:val="44"/>
          <w:highlight w:val="none"/>
          <w:lang w:val="en-US" w:eastAsia="zh-CN"/>
        </w:rPr>
        <w:t>年玛纳斯县预算调整方案（草案）</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jc w:val="center"/>
        <w:outlineLvl w:val="9"/>
        <w:rPr>
          <w:rFonts w:ascii="Times New Roman" w:hAnsi="Times New Roman" w:eastAsia="楷体_GB2312"/>
          <w:color w:val="000000"/>
          <w:sz w:val="32"/>
          <w:szCs w:val="21"/>
          <w:highlight w:val="none"/>
        </w:rPr>
      </w:pPr>
    </w:p>
    <w:p>
      <w:pPr>
        <w:spacing w:line="560" w:lineRule="exact"/>
        <w:jc w:val="center"/>
        <w:rPr>
          <w:rFonts w:hint="eastAsia" w:ascii="楷体_GB2312" w:eastAsia="楷体_GB2312"/>
          <w:sz w:val="32"/>
          <w:szCs w:val="32"/>
          <w:lang w:val="en-US" w:eastAsia="zh-CN"/>
        </w:rPr>
      </w:pPr>
      <w:r>
        <w:rPr>
          <w:rFonts w:hint="default" w:ascii="Times New Roman" w:hAnsi="Times New Roman" w:eastAsia="仿宋_GB2312" w:cs="Times New Roman"/>
          <w:sz w:val="32"/>
          <w:szCs w:val="32"/>
        </w:rPr>
        <w:t>202</w:t>
      </w:r>
      <w:r>
        <w:rPr>
          <w:rFonts w:hint="default" w:ascii="Times New Roman" w:hAnsi="Times New Roman" w:eastAsia="仿宋_GB2312" w:cs="Times New Roman"/>
          <w:sz w:val="32"/>
          <w:szCs w:val="32"/>
          <w:lang w:val="en-US" w:eastAsia="zh-CN"/>
        </w:rPr>
        <w:t>5</w:t>
      </w:r>
      <w:r>
        <w:rPr>
          <w:rFonts w:hint="eastAsia" w:ascii="楷体_GB2312" w:eastAsia="楷体_GB2312"/>
          <w:sz w:val="32"/>
          <w:szCs w:val="32"/>
        </w:rPr>
        <w:t>年</w:t>
      </w:r>
      <w:r>
        <w:rPr>
          <w:rFonts w:hint="default" w:ascii="Times New Roman" w:hAnsi="Times New Roman" w:eastAsia="楷体_GB2312" w:cs="Times New Roman"/>
          <w:sz w:val="32"/>
          <w:szCs w:val="32"/>
        </w:rPr>
        <w:t>7</w:t>
      </w:r>
      <w:r>
        <w:rPr>
          <w:rFonts w:hint="eastAsia" w:ascii="楷体_GB2312" w:eastAsia="楷体_GB2312"/>
          <w:sz w:val="32"/>
          <w:szCs w:val="32"/>
        </w:rPr>
        <w:t>月</w:t>
      </w:r>
      <w:r>
        <w:rPr>
          <w:rFonts w:hint="eastAsia" w:ascii="楷体_GB2312" w:eastAsia="楷体_GB2312"/>
          <w:sz w:val="32"/>
          <w:szCs w:val="32"/>
          <w:lang w:val="en-US" w:eastAsia="zh-CN"/>
        </w:rPr>
        <w:t>**</w:t>
      </w:r>
      <w:r>
        <w:rPr>
          <w:rFonts w:hint="eastAsia" w:ascii="楷体_GB2312" w:eastAsia="楷体_GB2312"/>
          <w:sz w:val="32"/>
          <w:szCs w:val="32"/>
        </w:rPr>
        <w:t>日在玛纳斯县第十八届人</w:t>
      </w:r>
      <w:r>
        <w:rPr>
          <w:rFonts w:hint="eastAsia" w:ascii="楷体_GB2312" w:eastAsia="楷体_GB2312"/>
          <w:sz w:val="32"/>
          <w:szCs w:val="32"/>
          <w:lang w:val="en-US" w:eastAsia="zh-CN"/>
        </w:rPr>
        <w:t>民代表</w:t>
      </w:r>
      <w:r>
        <w:rPr>
          <w:rFonts w:hint="eastAsia" w:ascii="楷体_GB2312" w:eastAsia="楷体_GB2312"/>
          <w:sz w:val="32"/>
          <w:szCs w:val="32"/>
        </w:rPr>
        <w:t>大</w:t>
      </w:r>
      <w:r>
        <w:rPr>
          <w:rFonts w:hint="eastAsia" w:ascii="楷体_GB2312" w:eastAsia="楷体_GB2312"/>
          <w:sz w:val="32"/>
          <w:szCs w:val="32"/>
          <w:lang w:val="en-US" w:eastAsia="zh-CN"/>
        </w:rPr>
        <w:t>会</w:t>
      </w:r>
    </w:p>
    <w:p>
      <w:pPr>
        <w:spacing w:line="560" w:lineRule="exact"/>
        <w:jc w:val="center"/>
        <w:rPr>
          <w:rFonts w:hint="eastAsia" w:ascii="楷体_GB2312" w:eastAsia="楷体_GB2312"/>
          <w:sz w:val="32"/>
          <w:szCs w:val="32"/>
        </w:rPr>
      </w:pPr>
      <w:r>
        <w:rPr>
          <w:rFonts w:hint="eastAsia" w:ascii="楷体_GB2312" w:eastAsia="楷体_GB2312"/>
          <w:sz w:val="32"/>
          <w:szCs w:val="32"/>
          <w:lang w:val="en-US" w:eastAsia="zh-CN"/>
        </w:rPr>
        <w:t>常务委员会</w:t>
      </w:r>
      <w:r>
        <w:rPr>
          <w:rFonts w:hint="eastAsia" w:ascii="楷体_GB2312" w:eastAsia="楷体_GB2312"/>
          <w:sz w:val="32"/>
          <w:szCs w:val="32"/>
        </w:rPr>
        <w:t>第</w:t>
      </w:r>
      <w:r>
        <w:rPr>
          <w:rFonts w:hint="eastAsia" w:ascii="楷体_GB2312" w:eastAsia="楷体_GB2312"/>
          <w:sz w:val="32"/>
          <w:szCs w:val="32"/>
          <w:lang w:val="en-US" w:eastAsia="zh-CN"/>
        </w:rPr>
        <w:t>三十二</w:t>
      </w:r>
      <w:r>
        <w:rPr>
          <w:rFonts w:hint="eastAsia" w:ascii="楷体_GB2312" w:eastAsia="楷体_GB2312"/>
          <w:sz w:val="32"/>
          <w:szCs w:val="32"/>
        </w:rPr>
        <w:t>次会议上</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right="0" w:rightChars="0"/>
        <w:jc w:val="center"/>
        <w:outlineLvl w:val="9"/>
        <w:rPr>
          <w:rFonts w:ascii="Times New Roman" w:hAnsi="Times New Roman" w:eastAsia="黑体"/>
          <w:color w:val="000000"/>
          <w:sz w:val="32"/>
          <w:szCs w:val="32"/>
          <w:highlight w:val="none"/>
        </w:rPr>
      </w:pPr>
      <w:r>
        <w:rPr>
          <w:rFonts w:hint="eastAsia" w:ascii="楷体_GB2312" w:eastAsia="楷体_GB2312"/>
          <w:b/>
          <w:sz w:val="32"/>
          <w:szCs w:val="32"/>
        </w:rPr>
        <w:t>县人民政府常务副</w:t>
      </w:r>
      <w:bookmarkStart w:id="0" w:name="_GoBack"/>
      <w:bookmarkEnd w:id="0"/>
      <w:r>
        <w:rPr>
          <w:rFonts w:hint="eastAsia" w:ascii="楷体_GB2312" w:eastAsia="楷体_GB2312"/>
          <w:b/>
          <w:sz w:val="32"/>
          <w:szCs w:val="32"/>
        </w:rPr>
        <w:t xml:space="preserve">县长  杨 </w:t>
      </w:r>
      <w:r>
        <w:rPr>
          <w:rFonts w:hint="eastAsia" w:ascii="楷体_GB2312" w:eastAsia="楷体_GB2312"/>
          <w:b/>
          <w:sz w:val="32"/>
          <w:szCs w:val="32"/>
          <w:lang w:val="en-US" w:eastAsia="zh-CN"/>
        </w:rPr>
        <w:t>康</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firstLine="640" w:firstLineChars="200"/>
        <w:outlineLvl w:val="9"/>
        <w:rPr>
          <w:rFonts w:ascii="Times New Roman" w:hAnsi="Times New Roman" w:eastAsia="黑体"/>
          <w:color w:val="000000"/>
          <w:sz w:val="32"/>
          <w:szCs w:val="32"/>
          <w:highlight w:val="none"/>
        </w:rPr>
      </w:pPr>
    </w:p>
    <w:p>
      <w:pPr>
        <w:keepNext w:val="0"/>
        <w:keepLines w:val="0"/>
        <w:pageBreakBefore w:val="0"/>
        <w:widowControl w:val="0"/>
        <w:kinsoku/>
        <w:wordWrap/>
        <w:overflowPunct/>
        <w:topLinePunct w:val="0"/>
        <w:bidi w:val="0"/>
        <w:spacing w:line="560" w:lineRule="exact"/>
        <w:textAlignment w:val="baseline"/>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主任、各位副主任、各位委员</w:t>
      </w:r>
      <w:r>
        <w:rPr>
          <w:rFonts w:hint="eastAsia" w:ascii="仿宋_GB2312" w:hAnsi="仿宋_GB2312" w:eastAsia="仿宋_GB2312" w:cs="仿宋_GB2312"/>
          <w:color w:val="auto"/>
          <w:sz w:val="32"/>
          <w:szCs w:val="32"/>
          <w:highlight w:val="none"/>
        </w:rPr>
        <w:t>：</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firstLine="640" w:firstLineChars="200"/>
        <w:outlineLvl w:val="9"/>
        <w:rPr>
          <w:rFonts w:ascii="Times New Roman" w:hAnsi="Times New Roman" w:eastAsia="黑体"/>
          <w:color w:val="000000"/>
          <w:sz w:val="32"/>
          <w:szCs w:val="32"/>
          <w:highlight w:val="none"/>
        </w:rPr>
      </w:pPr>
      <w:r>
        <w:rPr>
          <w:rFonts w:hint="eastAsia" w:ascii="仿宋_GB2312" w:hAnsi="仿宋_GB2312" w:eastAsia="仿宋_GB2312" w:cs="仿宋_GB2312"/>
          <w:color w:val="auto"/>
          <w:sz w:val="32"/>
          <w:szCs w:val="32"/>
          <w:highlight w:val="none"/>
          <w:u w:val="none"/>
        </w:rPr>
        <w:t>受县人民政府委托，</w:t>
      </w:r>
      <w:r>
        <w:rPr>
          <w:rFonts w:hint="eastAsia" w:ascii="仿宋_GB2312" w:hAnsi="仿宋_GB2312" w:eastAsia="仿宋_GB2312" w:cs="仿宋_GB2312"/>
          <w:color w:val="auto"/>
          <w:sz w:val="32"/>
          <w:szCs w:val="32"/>
          <w:highlight w:val="none"/>
          <w:u w:val="none"/>
          <w:lang w:eastAsia="zh-CN"/>
        </w:rPr>
        <w:t>现</w:t>
      </w:r>
      <w:r>
        <w:rPr>
          <w:rFonts w:hint="eastAsia" w:ascii="仿宋_GB2312" w:hAnsi="仿宋_GB2312" w:eastAsia="仿宋_GB2312" w:cs="仿宋_GB2312"/>
          <w:color w:val="auto"/>
          <w:sz w:val="32"/>
          <w:szCs w:val="32"/>
          <w:highlight w:val="none"/>
          <w:u w:val="none"/>
        </w:rPr>
        <w:t>向</w:t>
      </w:r>
      <w:r>
        <w:rPr>
          <w:rFonts w:hint="eastAsia" w:ascii="仿宋_GB2312" w:hAnsi="仿宋_GB2312" w:eastAsia="仿宋_GB2312" w:cs="仿宋_GB2312"/>
          <w:color w:val="auto"/>
          <w:sz w:val="32"/>
          <w:szCs w:val="32"/>
          <w:highlight w:val="none"/>
          <w:u w:val="none"/>
          <w:lang w:val="en-US" w:eastAsia="zh-CN"/>
        </w:rPr>
        <w:t>会议</w:t>
      </w:r>
      <w:r>
        <w:rPr>
          <w:rFonts w:hint="eastAsia" w:ascii="仿宋_GB2312" w:hAnsi="仿宋_GB2312" w:eastAsia="仿宋_GB2312" w:cs="仿宋_GB2312"/>
          <w:color w:val="auto"/>
          <w:sz w:val="32"/>
          <w:szCs w:val="32"/>
          <w:highlight w:val="none"/>
          <w:u w:val="none"/>
        </w:rPr>
        <w:t>报告</w:t>
      </w:r>
      <w:r>
        <w:rPr>
          <w:rFonts w:hint="eastAsia" w:ascii="Times New Roman" w:hAnsi="Times New Roman" w:eastAsia="仿宋_GB2312"/>
          <w:color w:val="000000"/>
          <w:sz w:val="32"/>
          <w:szCs w:val="32"/>
          <w:highlight w:val="none"/>
          <w:lang w:val="en-US" w:eastAsia="zh-CN"/>
        </w:rPr>
        <w:t>2025</w:t>
      </w:r>
      <w:r>
        <w:rPr>
          <w:rFonts w:hint="eastAsia" w:ascii="仿宋_GB2312" w:hAnsi="仿宋_GB2312" w:eastAsia="仿宋_GB2312" w:cs="仿宋_GB2312"/>
          <w:color w:val="auto"/>
          <w:sz w:val="32"/>
          <w:szCs w:val="32"/>
          <w:highlight w:val="none"/>
          <w:u w:val="none"/>
          <w:lang w:val="en-US" w:eastAsia="zh-CN"/>
        </w:rPr>
        <w:t>年玛纳斯县预算调整方案（草案），</w:t>
      </w:r>
      <w:r>
        <w:rPr>
          <w:rFonts w:hint="eastAsia" w:ascii="仿宋_GB2312" w:hAnsi="仿宋_GB2312" w:eastAsia="仿宋_GB2312" w:cs="仿宋_GB2312"/>
          <w:color w:val="000000"/>
          <w:kern w:val="0"/>
          <w:sz w:val="32"/>
          <w:szCs w:val="32"/>
          <w:highlight w:val="none"/>
          <w:u w:val="none" w:color="000000"/>
          <w:lang w:val="en-US" w:eastAsia="zh-CN"/>
        </w:rPr>
        <w:t>请予审议。</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firstLine="640" w:firstLineChars="200"/>
        <w:outlineLvl w:val="9"/>
        <w:rPr>
          <w:rFonts w:hint="eastAsia" w:ascii="Times New Roman" w:hAnsi="Times New Roman" w:eastAsia="仿宋_GB2312" w:cs="仿宋_GB2312"/>
          <w:color w:val="000000"/>
          <w:kern w:val="0"/>
          <w:sz w:val="32"/>
          <w:szCs w:val="32"/>
          <w:highlight w:val="none"/>
          <w:u w:val="none" w:color="000000"/>
          <w:lang w:val="en-US" w:eastAsia="zh-CN"/>
        </w:rPr>
      </w:pPr>
      <w:r>
        <w:rPr>
          <w:rFonts w:ascii="Times New Roman" w:hAnsi="Times New Roman" w:eastAsia="黑体"/>
          <w:color w:val="000000"/>
          <w:sz w:val="32"/>
          <w:szCs w:val="32"/>
          <w:highlight w:val="none"/>
        </w:rPr>
        <w:t>一、202</w:t>
      </w:r>
      <w:r>
        <w:rPr>
          <w:rFonts w:hint="eastAsia" w:ascii="Times New Roman" w:hAnsi="Times New Roman" w:eastAsia="黑体"/>
          <w:color w:val="000000"/>
          <w:sz w:val="32"/>
          <w:szCs w:val="32"/>
          <w:highlight w:val="none"/>
          <w:lang w:val="en-US" w:eastAsia="zh-CN"/>
        </w:rPr>
        <w:t>5年玛纳斯县</w:t>
      </w:r>
      <w:r>
        <w:rPr>
          <w:rFonts w:ascii="Times New Roman" w:hAnsi="Times New Roman" w:eastAsia="黑体"/>
          <w:color w:val="000000"/>
          <w:sz w:val="32"/>
          <w:szCs w:val="32"/>
          <w:highlight w:val="none"/>
        </w:rPr>
        <w:t>预算调整事由</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firstLine="640" w:firstLineChars="200"/>
        <w:outlineLvl w:val="9"/>
        <w:rPr>
          <w:rFonts w:hint="default"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今年以来，上级下达我县转移支付收入增加34642万元，其中：一般公共预算上级补助收入增加34027万元；政府性基金预算上级补助收入增加615万元。</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firstLine="640" w:firstLineChars="200"/>
        <w:outlineLvl w:val="9"/>
        <w:rPr>
          <w:rFonts w:hint="default"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上述收入变动，对应的预算支出相应变动。</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firstLine="640" w:firstLineChars="200"/>
        <w:outlineLvl w:val="9"/>
        <w:rPr>
          <w:rFonts w:hint="eastAsia" w:ascii="Times New Roman" w:hAnsi="Times New Roman" w:eastAsia="黑体"/>
          <w:color w:val="000000"/>
          <w:sz w:val="32"/>
          <w:szCs w:val="32"/>
          <w:highlight w:val="none"/>
          <w:lang w:val="en-US" w:eastAsia="zh-CN"/>
        </w:rPr>
      </w:pPr>
      <w:r>
        <w:rPr>
          <w:rFonts w:hint="eastAsia" w:ascii="Times New Roman" w:hAnsi="Times New Roman" w:eastAsia="黑体"/>
          <w:color w:val="000000"/>
          <w:sz w:val="32"/>
          <w:szCs w:val="32"/>
          <w:highlight w:val="none"/>
          <w:lang w:val="en-US" w:eastAsia="zh-CN"/>
        </w:rPr>
        <w:t>二、预算调整方案</w:t>
      </w:r>
    </w:p>
    <w:p>
      <w:pPr>
        <w:keepNext w:val="0"/>
        <w:keepLines w:val="0"/>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spacing w:line="560" w:lineRule="exact"/>
        <w:ind w:left="0" w:leftChars="0" w:right="0" w:rightChars="0" w:firstLine="643" w:firstLineChars="200"/>
        <w:outlineLvl w:val="9"/>
        <w:rPr>
          <w:rFonts w:hint="eastAsia" w:ascii="Times New Roman" w:hAnsi="Times New Roman" w:eastAsia="楷体" w:cs="楷体"/>
          <w:b/>
          <w:color w:val="000000"/>
          <w:sz w:val="32"/>
          <w:szCs w:val="32"/>
          <w:highlight w:val="none"/>
          <w:lang w:val="en-US" w:eastAsia="zh-CN"/>
        </w:rPr>
      </w:pPr>
      <w:r>
        <w:rPr>
          <w:rFonts w:hint="eastAsia" w:ascii="Times New Roman" w:hAnsi="Times New Roman" w:eastAsia="楷体" w:cs="楷体"/>
          <w:b/>
          <w:color w:val="000000"/>
          <w:sz w:val="32"/>
          <w:szCs w:val="32"/>
          <w:highlight w:val="none"/>
          <w:lang w:val="en-US" w:eastAsia="zh-CN"/>
        </w:rPr>
        <w:t>（一）一般公共预算调整情况</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3" w:firstLineChars="200"/>
        <w:jc w:val="both"/>
        <w:textAlignment w:val="top"/>
        <w:outlineLvl w:val="9"/>
        <w:rPr>
          <w:rFonts w:hint="eastAsia" w:ascii="Times New Roman" w:hAnsi="Times New Roman" w:eastAsia="仿宋_GB2312"/>
          <w:color w:val="000000"/>
          <w:sz w:val="32"/>
          <w:szCs w:val="32"/>
          <w:highlight w:val="none"/>
        </w:rPr>
      </w:pPr>
      <w:r>
        <w:rPr>
          <w:rFonts w:hint="eastAsia" w:ascii="Times New Roman" w:hAnsi="Times New Roman" w:eastAsia="仿宋_GB2312" w:cs="仿宋_GB2312"/>
          <w:b/>
          <w:bCs/>
          <w:color w:val="auto"/>
          <w:sz w:val="32"/>
          <w:szCs w:val="32"/>
          <w:highlight w:val="none"/>
          <w:u w:val="none"/>
          <w:lang w:val="en-US" w:eastAsia="zh-CN"/>
        </w:rPr>
        <w:t>1.</w:t>
      </w:r>
      <w:r>
        <w:rPr>
          <w:rFonts w:hint="eastAsia" w:ascii="Times New Roman" w:hAnsi="Times New Roman" w:eastAsia="仿宋_GB2312"/>
          <w:b/>
          <w:color w:val="000000"/>
          <w:sz w:val="32"/>
          <w:szCs w:val="32"/>
          <w:highlight w:val="none"/>
        </w:rPr>
        <w:t>收入增加</w:t>
      </w:r>
      <w:r>
        <w:rPr>
          <w:rFonts w:hint="eastAsia" w:ascii="Times New Roman" w:hAnsi="Times New Roman" w:eastAsia="仿宋_GB2312"/>
          <w:b/>
          <w:color w:val="000000"/>
          <w:sz w:val="32"/>
          <w:szCs w:val="32"/>
          <w:highlight w:val="none"/>
          <w:lang w:val="en-US" w:eastAsia="zh-CN"/>
        </w:rPr>
        <w:t>34027万</w:t>
      </w:r>
      <w:r>
        <w:rPr>
          <w:rFonts w:hint="eastAsia" w:ascii="Times New Roman" w:hAnsi="Times New Roman" w:eastAsia="仿宋_GB2312"/>
          <w:b/>
          <w:color w:val="000000"/>
          <w:sz w:val="32"/>
          <w:szCs w:val="32"/>
          <w:highlight w:val="none"/>
        </w:rPr>
        <w:t>元。</w:t>
      </w:r>
      <w:r>
        <w:rPr>
          <w:rFonts w:hint="eastAsia" w:ascii="Times New Roman" w:hAnsi="Times New Roman" w:eastAsia="仿宋_GB2312"/>
          <w:b w:val="0"/>
          <w:bCs/>
          <w:color w:val="000000"/>
          <w:sz w:val="32"/>
          <w:szCs w:val="32"/>
          <w:highlight w:val="none"/>
          <w:lang w:eastAsia="zh-CN"/>
        </w:rPr>
        <w:t>一般公共预算</w:t>
      </w:r>
      <w:r>
        <w:rPr>
          <w:rFonts w:hint="eastAsia" w:ascii="Times New Roman" w:hAnsi="Times New Roman" w:eastAsia="仿宋_GB2312"/>
          <w:b w:val="0"/>
          <w:bCs/>
          <w:color w:val="000000"/>
          <w:sz w:val="32"/>
          <w:szCs w:val="32"/>
          <w:highlight w:val="none"/>
          <w:lang w:val="en-US" w:eastAsia="zh-CN"/>
        </w:rPr>
        <w:t>上级</w:t>
      </w:r>
      <w:r>
        <w:rPr>
          <w:rFonts w:hint="eastAsia" w:ascii="Times New Roman" w:hAnsi="Times New Roman" w:eastAsia="仿宋_GB2312"/>
          <w:color w:val="000000"/>
          <w:sz w:val="32"/>
          <w:szCs w:val="32"/>
          <w:highlight w:val="none"/>
        </w:rPr>
        <w:t>补助收入</w:t>
      </w:r>
      <w:r>
        <w:rPr>
          <w:rFonts w:hint="eastAsia" w:ascii="Times New Roman" w:hAnsi="Times New Roman" w:eastAsia="仿宋_GB2312"/>
          <w:color w:val="000000"/>
          <w:sz w:val="32"/>
          <w:szCs w:val="32"/>
          <w:highlight w:val="none"/>
          <w:lang w:val="en-US" w:eastAsia="zh-CN"/>
        </w:rPr>
        <w:t>增加34027万</w:t>
      </w:r>
      <w:r>
        <w:rPr>
          <w:rFonts w:hint="eastAsia" w:ascii="Times New Roman" w:hAnsi="Times New Roman" w:eastAsia="仿宋_GB2312"/>
          <w:color w:val="000000"/>
          <w:sz w:val="32"/>
          <w:szCs w:val="32"/>
          <w:highlight w:val="none"/>
        </w:rPr>
        <w:t>元</w:t>
      </w:r>
      <w:r>
        <w:rPr>
          <w:rFonts w:hint="eastAsia" w:ascii="Times New Roman" w:hAnsi="Times New Roman" w:eastAsia="仿宋_GB2312"/>
          <w:color w:val="000000"/>
          <w:sz w:val="32"/>
          <w:szCs w:val="32"/>
          <w:highlight w:val="none"/>
          <w:lang w:val="en-US" w:eastAsia="zh-CN"/>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3" w:firstLineChars="200"/>
        <w:jc w:val="both"/>
        <w:textAlignment w:val="top"/>
        <w:outlineLvl w:val="9"/>
        <w:rPr>
          <w:rFonts w:hint="eastAsia" w:ascii="Times New Roman" w:hAnsi="Times New Roman" w:eastAsia="仿宋_GB2312"/>
          <w:color w:val="000000"/>
          <w:sz w:val="32"/>
          <w:szCs w:val="32"/>
          <w:highlight w:val="none"/>
          <w:lang w:eastAsia="zh-CN"/>
        </w:rPr>
      </w:pPr>
      <w:r>
        <w:rPr>
          <w:rFonts w:hint="eastAsia" w:ascii="Times New Roman" w:hAnsi="Times New Roman" w:eastAsia="仿宋_GB2312"/>
          <w:b/>
          <w:color w:val="000000"/>
          <w:sz w:val="32"/>
          <w:szCs w:val="32"/>
          <w:highlight w:val="none"/>
        </w:rPr>
        <w:t>2.支出增加</w:t>
      </w:r>
      <w:r>
        <w:rPr>
          <w:rFonts w:hint="eastAsia" w:ascii="Times New Roman" w:hAnsi="Times New Roman" w:eastAsia="仿宋_GB2312"/>
          <w:b/>
          <w:color w:val="000000"/>
          <w:sz w:val="32"/>
          <w:szCs w:val="32"/>
          <w:highlight w:val="none"/>
          <w:lang w:val="en-US" w:eastAsia="zh-CN"/>
        </w:rPr>
        <w:t>34027万</w:t>
      </w:r>
      <w:r>
        <w:rPr>
          <w:rFonts w:hint="eastAsia" w:ascii="Times New Roman" w:hAnsi="Times New Roman" w:eastAsia="仿宋_GB2312"/>
          <w:b/>
          <w:color w:val="000000"/>
          <w:sz w:val="32"/>
          <w:szCs w:val="32"/>
          <w:highlight w:val="none"/>
        </w:rPr>
        <w:t>元。</w:t>
      </w:r>
      <w:r>
        <w:rPr>
          <w:rFonts w:hint="eastAsia" w:ascii="Times New Roman" w:hAnsi="Times New Roman" w:eastAsia="仿宋_GB2312"/>
          <w:color w:val="000000"/>
          <w:sz w:val="32"/>
          <w:szCs w:val="32"/>
          <w:highlight w:val="none"/>
          <w:lang w:val="en-US" w:eastAsia="zh-CN"/>
        </w:rPr>
        <w:t>一般公共预算支出</w:t>
      </w:r>
      <w:r>
        <w:rPr>
          <w:rFonts w:hint="eastAsia" w:ascii="Times New Roman" w:hAnsi="Times New Roman" w:eastAsia="仿宋_GB2312"/>
          <w:b w:val="0"/>
          <w:bCs w:val="0"/>
          <w:color w:val="000000"/>
          <w:sz w:val="32"/>
          <w:szCs w:val="32"/>
          <w:highlight w:val="none"/>
          <w:lang w:val="en-US" w:eastAsia="zh-CN"/>
        </w:rPr>
        <w:t>增加34027</w:t>
      </w:r>
      <w:r>
        <w:rPr>
          <w:rFonts w:hint="eastAsia" w:ascii="Times New Roman" w:hAnsi="Times New Roman" w:eastAsia="仿宋_GB2312"/>
          <w:color w:val="000000"/>
          <w:sz w:val="32"/>
          <w:szCs w:val="32"/>
          <w:highlight w:val="none"/>
          <w:lang w:val="en-US" w:eastAsia="zh-CN"/>
        </w:rPr>
        <w:t>万元,</w:t>
      </w:r>
      <w:r>
        <w:rPr>
          <w:rFonts w:hint="eastAsia" w:ascii="Times New Roman" w:hAnsi="Times New Roman" w:eastAsia="仿宋_GB2312"/>
          <w:color w:val="000000"/>
          <w:sz w:val="32"/>
          <w:szCs w:val="32"/>
          <w:highlight w:val="none"/>
          <w:lang w:eastAsia="zh-CN"/>
        </w:rPr>
        <w:t>其中：</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（1）一般公共服务支出调整为1602万元，调增705万元，主要为村干部报酬补助。</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（2）公共安全支出调整为1404万元，调增230万元，主要为中央基建投资用于旱卡子滩乡派出所维修改造项目。</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（3）教育支出调整为3810万元，调增244万元，主要为班主任津贴、教师体检费及家庭经济困难学生国家助学金。</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（4）文化旅游体育与传媒支出调整为913万元，调增305万元，主要为中央补助地方公共文化服务体系建设补助。</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（5）社会保障和就业支出调整为3582万元，调增522万元，主要为困难群众救助补助。</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（6）卫生健康支出调整为2352万元，调增338万元，主要为地方公共卫生服务补助。</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（7）节能环保支出调整为2940万元，调增649万元，主要为林业草原生态保护恢复补助。</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（8）城乡社区支出调整为2576万元，调增2576万元，主要为中央基建投资预算资金用于玛纳斯县市政道路改造及配套设施建设项目。</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（9）</w:t>
      </w:r>
      <w:r>
        <w:rPr>
          <w:rFonts w:hint="eastAsia" w:ascii="Times New Roman" w:hAnsi="Times New Roman" w:eastAsia="仿宋_GB2312"/>
          <w:color w:val="000000"/>
          <w:sz w:val="32"/>
          <w:szCs w:val="32"/>
          <w:highlight w:val="none"/>
          <w:lang w:eastAsia="zh-CN"/>
        </w:rPr>
        <w:t>农林水</w:t>
      </w:r>
      <w:r>
        <w:rPr>
          <w:rFonts w:hint="eastAsia" w:ascii="Times New Roman" w:hAnsi="Times New Roman" w:eastAsia="仿宋_GB2312"/>
          <w:color w:val="000000"/>
          <w:sz w:val="32"/>
          <w:szCs w:val="32"/>
          <w:highlight w:val="none"/>
          <w:lang w:val="en-US" w:eastAsia="zh-CN"/>
        </w:rPr>
        <w:t>支出调整为87702万元，调增18663万元，主要为棉花目标价格补贴。</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（10）交通运输支出调整为2099万元，调增628万元，主要为农村公路养护、农村客运补贴及城市交通发展奖励。</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（11）资源勘探工业信息等支出调整为1174万元，调增1174万元，主要为纺织服装产业补贴。</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default"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12）住房保障支出调整为0万元，调减2万元，主要为农村危房改造补助，用于农村六类户危房改造补助。经县住建局对县域内六类户人员情况进行摸底核实，暂无符合补助要求的人员，故上级下达文件收回此资金。</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（13）粮油物资储备支出调整为3000万元，调增1630万元，主要为产粮大县奖励。</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（14）灾害防治及应急管理支出调整为3443万元，调增3万元，主要为防震减灾“三网一员”工作经费。</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（15）其他支出调整为116926万元，调增6362万元，主要为税收返还资金、重点生态功能区转移支付资金及自治区分享兵团辖区内地方收入补助资金等。</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3" w:firstLineChars="200"/>
        <w:jc w:val="both"/>
        <w:textAlignment w:val="top"/>
        <w:outlineLvl w:val="9"/>
        <w:rPr>
          <w:rFonts w:hint="eastAsia" w:ascii="Times New Roman" w:hAnsi="Times New Roman" w:eastAsia="仿宋_GB2312"/>
          <w:color w:val="000000"/>
          <w:sz w:val="32"/>
          <w:szCs w:val="32"/>
          <w:highlight w:val="none"/>
        </w:rPr>
      </w:pPr>
      <w:r>
        <w:rPr>
          <w:rFonts w:hint="eastAsia" w:ascii="Times New Roman" w:hAnsi="Times New Roman" w:eastAsia="仿宋_GB2312"/>
          <w:b/>
          <w:color w:val="000000"/>
          <w:sz w:val="32"/>
          <w:szCs w:val="32"/>
          <w:highlight w:val="none"/>
        </w:rPr>
        <w:t>3.调整后平衡情况。</w:t>
      </w:r>
      <w:r>
        <w:rPr>
          <w:rFonts w:hint="eastAsia" w:ascii="Times New Roman" w:hAnsi="Times New Roman" w:eastAsia="仿宋_GB2312"/>
          <w:color w:val="000000"/>
          <w:sz w:val="32"/>
          <w:szCs w:val="32"/>
          <w:highlight w:val="none"/>
        </w:rPr>
        <w:t>本次一般公共预算调整后，一般公共预算收入总计</w:t>
      </w:r>
      <w:r>
        <w:rPr>
          <w:rFonts w:hint="eastAsia" w:ascii="Times New Roman" w:hAnsi="Times New Roman" w:eastAsia="仿宋_GB2312"/>
          <w:color w:val="000000"/>
          <w:sz w:val="32"/>
          <w:szCs w:val="32"/>
          <w:highlight w:val="none"/>
          <w:lang w:val="en-US" w:eastAsia="zh-CN"/>
        </w:rPr>
        <w:t>389790万</w:t>
      </w:r>
      <w:r>
        <w:rPr>
          <w:rFonts w:hint="eastAsia" w:ascii="Times New Roman" w:hAnsi="Times New Roman" w:eastAsia="仿宋_GB2312"/>
          <w:color w:val="000000"/>
          <w:sz w:val="32"/>
          <w:szCs w:val="32"/>
          <w:highlight w:val="none"/>
        </w:rPr>
        <w:t>元，其中：</w:t>
      </w:r>
      <w:r>
        <w:rPr>
          <w:rFonts w:hint="eastAsia" w:ascii="Times New Roman" w:hAnsi="Times New Roman" w:eastAsia="仿宋_GB2312"/>
          <w:color w:val="000000"/>
          <w:sz w:val="32"/>
          <w:szCs w:val="32"/>
          <w:highlight w:val="none"/>
          <w:lang w:val="en-US" w:eastAsia="zh-CN"/>
        </w:rPr>
        <w:t>本级</w:t>
      </w:r>
      <w:r>
        <w:rPr>
          <w:rFonts w:hint="eastAsia" w:ascii="Times New Roman" w:hAnsi="Times New Roman" w:eastAsia="仿宋_GB2312"/>
          <w:color w:val="000000"/>
          <w:sz w:val="32"/>
          <w:szCs w:val="32"/>
          <w:highlight w:val="none"/>
        </w:rPr>
        <w:t>一般公共预算收入</w:t>
      </w:r>
      <w:r>
        <w:rPr>
          <w:rFonts w:hint="eastAsia" w:ascii="Times New Roman" w:hAnsi="Times New Roman" w:eastAsia="仿宋_GB2312"/>
          <w:color w:val="000000"/>
          <w:sz w:val="32"/>
          <w:szCs w:val="32"/>
          <w:highlight w:val="none"/>
          <w:lang w:val="en-US" w:eastAsia="zh-CN"/>
        </w:rPr>
        <w:t>91833万</w:t>
      </w:r>
      <w:r>
        <w:rPr>
          <w:rFonts w:hint="eastAsia" w:ascii="Times New Roman" w:hAnsi="Times New Roman" w:eastAsia="仿宋_GB2312"/>
          <w:color w:val="000000"/>
          <w:sz w:val="32"/>
          <w:szCs w:val="32"/>
          <w:highlight w:val="none"/>
        </w:rPr>
        <w:t>元，上级补助收入</w:t>
      </w:r>
      <w:r>
        <w:rPr>
          <w:rFonts w:hint="eastAsia" w:ascii="Times New Roman" w:hAnsi="Times New Roman" w:eastAsia="仿宋_GB2312"/>
          <w:color w:val="000000"/>
          <w:sz w:val="32"/>
          <w:szCs w:val="32"/>
          <w:highlight w:val="none"/>
          <w:lang w:val="en-US" w:eastAsia="zh-CN"/>
        </w:rPr>
        <w:t>234328万</w:t>
      </w:r>
      <w:r>
        <w:rPr>
          <w:rFonts w:hint="eastAsia" w:ascii="Times New Roman" w:hAnsi="Times New Roman" w:eastAsia="仿宋_GB2312"/>
          <w:color w:val="000000"/>
          <w:sz w:val="32"/>
          <w:szCs w:val="32"/>
          <w:highlight w:val="none"/>
        </w:rPr>
        <w:t>元，上年结余收入</w:t>
      </w:r>
      <w:r>
        <w:rPr>
          <w:rFonts w:hint="eastAsia" w:ascii="Times New Roman" w:hAnsi="Times New Roman" w:eastAsia="仿宋_GB2312"/>
          <w:color w:val="000000"/>
          <w:sz w:val="32"/>
          <w:szCs w:val="32"/>
          <w:highlight w:val="none"/>
          <w:lang w:val="en-US" w:eastAsia="zh-CN"/>
        </w:rPr>
        <w:t>38135万</w:t>
      </w:r>
      <w:r>
        <w:rPr>
          <w:rFonts w:hint="eastAsia" w:ascii="Times New Roman" w:hAnsi="Times New Roman" w:eastAsia="仿宋_GB2312"/>
          <w:color w:val="000000"/>
          <w:sz w:val="32"/>
          <w:szCs w:val="32"/>
          <w:highlight w:val="none"/>
        </w:rPr>
        <w:t>元，调入资金</w:t>
      </w:r>
      <w:r>
        <w:rPr>
          <w:rFonts w:hint="eastAsia" w:ascii="Times New Roman" w:hAnsi="Times New Roman" w:eastAsia="仿宋_GB2312"/>
          <w:color w:val="000000"/>
          <w:sz w:val="32"/>
          <w:szCs w:val="32"/>
          <w:highlight w:val="none"/>
          <w:lang w:val="en-US" w:eastAsia="zh-CN"/>
        </w:rPr>
        <w:t>21379万</w:t>
      </w:r>
      <w:r>
        <w:rPr>
          <w:rFonts w:hint="eastAsia" w:ascii="Times New Roman" w:hAnsi="Times New Roman" w:eastAsia="仿宋_GB2312"/>
          <w:color w:val="000000"/>
          <w:sz w:val="32"/>
          <w:szCs w:val="32"/>
          <w:highlight w:val="none"/>
        </w:rPr>
        <w:t>元</w:t>
      </w:r>
      <w:r>
        <w:rPr>
          <w:rFonts w:hint="eastAsia" w:ascii="Times New Roman" w:hAnsi="Times New Roman" w:eastAsia="仿宋_GB2312"/>
          <w:color w:val="000000"/>
          <w:sz w:val="32"/>
          <w:szCs w:val="32"/>
          <w:highlight w:val="none"/>
          <w:lang w:eastAsia="zh-CN"/>
        </w:rPr>
        <w:t>，动用预算稳定调节基金</w:t>
      </w:r>
      <w:r>
        <w:rPr>
          <w:rFonts w:hint="eastAsia" w:ascii="Times New Roman" w:hAnsi="Times New Roman" w:eastAsia="仿宋_GB2312"/>
          <w:color w:val="000000"/>
          <w:sz w:val="32"/>
          <w:szCs w:val="32"/>
          <w:highlight w:val="none"/>
          <w:lang w:val="en-US" w:eastAsia="zh-CN"/>
        </w:rPr>
        <w:t>4115万元</w:t>
      </w:r>
      <w:r>
        <w:rPr>
          <w:rFonts w:hint="eastAsia" w:ascii="Times New Roman" w:hAnsi="Times New Roman" w:eastAsia="仿宋_GB2312"/>
          <w:color w:val="000000"/>
          <w:sz w:val="32"/>
          <w:szCs w:val="32"/>
          <w:highlight w:val="none"/>
        </w:rPr>
        <w:t>。支出总计</w:t>
      </w:r>
      <w:r>
        <w:rPr>
          <w:rFonts w:hint="eastAsia" w:ascii="Times New Roman" w:hAnsi="Times New Roman" w:eastAsia="仿宋_GB2312"/>
          <w:color w:val="000000"/>
          <w:sz w:val="32"/>
          <w:szCs w:val="32"/>
          <w:highlight w:val="none"/>
          <w:lang w:val="en-US" w:eastAsia="zh-CN"/>
        </w:rPr>
        <w:t>389790万</w:t>
      </w:r>
      <w:r>
        <w:rPr>
          <w:rFonts w:hint="eastAsia" w:ascii="Times New Roman" w:hAnsi="Times New Roman" w:eastAsia="仿宋_GB2312"/>
          <w:color w:val="000000"/>
          <w:sz w:val="32"/>
          <w:szCs w:val="32"/>
          <w:highlight w:val="none"/>
        </w:rPr>
        <w:t>元，其中：一般公共预算支出</w:t>
      </w:r>
      <w:r>
        <w:rPr>
          <w:rFonts w:hint="eastAsia" w:ascii="Times New Roman" w:hAnsi="Times New Roman" w:eastAsia="仿宋_GB2312"/>
          <w:color w:val="000000"/>
          <w:sz w:val="32"/>
          <w:szCs w:val="32"/>
          <w:highlight w:val="none"/>
          <w:lang w:val="en-US" w:eastAsia="zh-CN"/>
        </w:rPr>
        <w:t>379431万</w:t>
      </w:r>
      <w:r>
        <w:rPr>
          <w:rFonts w:hint="eastAsia" w:ascii="Times New Roman" w:hAnsi="Times New Roman" w:eastAsia="仿宋_GB2312"/>
          <w:color w:val="000000"/>
          <w:sz w:val="32"/>
          <w:szCs w:val="32"/>
          <w:highlight w:val="none"/>
        </w:rPr>
        <w:t>元，上解上级支出</w:t>
      </w:r>
      <w:r>
        <w:rPr>
          <w:rFonts w:hint="eastAsia" w:ascii="Times New Roman" w:hAnsi="Times New Roman" w:eastAsia="仿宋_GB2312"/>
          <w:color w:val="000000"/>
          <w:sz w:val="32"/>
          <w:szCs w:val="32"/>
          <w:highlight w:val="none"/>
          <w:lang w:val="en-US" w:eastAsia="zh-CN"/>
        </w:rPr>
        <w:t>4421万</w:t>
      </w:r>
      <w:r>
        <w:rPr>
          <w:rFonts w:hint="eastAsia" w:ascii="Times New Roman" w:hAnsi="Times New Roman" w:eastAsia="仿宋_GB2312"/>
          <w:color w:val="000000"/>
          <w:sz w:val="32"/>
          <w:szCs w:val="32"/>
          <w:highlight w:val="none"/>
        </w:rPr>
        <w:t>元</w:t>
      </w:r>
      <w:r>
        <w:rPr>
          <w:rFonts w:hint="eastAsia" w:ascii="Times New Roman" w:hAnsi="Times New Roman" w:eastAsia="仿宋_GB2312"/>
          <w:color w:val="000000"/>
          <w:sz w:val="32"/>
          <w:szCs w:val="32"/>
          <w:highlight w:val="none"/>
          <w:lang w:eastAsia="zh-CN"/>
        </w:rPr>
        <w:t>（</w:t>
      </w:r>
      <w:r>
        <w:rPr>
          <w:rFonts w:hint="eastAsia" w:ascii="Times New Roman" w:hAnsi="Times New Roman" w:eastAsia="楷体_GB2312" w:cs="楷体_GB2312"/>
          <w:b/>
          <w:bCs/>
          <w:color w:val="000000"/>
          <w:sz w:val="28"/>
          <w:szCs w:val="28"/>
          <w:highlight w:val="none"/>
          <w:lang w:val="en-US" w:eastAsia="zh-CN"/>
        </w:rPr>
        <w:t>上解交通、人才、环保等专项</w:t>
      </w:r>
      <w:r>
        <w:rPr>
          <w:rFonts w:hint="eastAsia" w:ascii="Times New Roman" w:hAnsi="Times New Roman" w:eastAsia="仿宋_GB2312"/>
          <w:color w:val="000000"/>
          <w:sz w:val="32"/>
          <w:szCs w:val="32"/>
          <w:highlight w:val="none"/>
          <w:lang w:eastAsia="zh-CN"/>
        </w:rPr>
        <w:t>），债务还本支出</w:t>
      </w:r>
      <w:r>
        <w:rPr>
          <w:rFonts w:hint="eastAsia" w:ascii="Times New Roman" w:hAnsi="Times New Roman" w:eastAsia="仿宋_GB2312"/>
          <w:color w:val="000000"/>
          <w:sz w:val="32"/>
          <w:szCs w:val="32"/>
          <w:highlight w:val="none"/>
          <w:lang w:val="en-US" w:eastAsia="zh-CN"/>
        </w:rPr>
        <w:t>5938万元</w:t>
      </w:r>
      <w:r>
        <w:rPr>
          <w:rFonts w:hint="eastAsia" w:ascii="Times New Roman" w:hAnsi="Times New Roman" w:eastAsia="仿宋_GB2312"/>
          <w:color w:val="000000"/>
          <w:sz w:val="32"/>
          <w:szCs w:val="32"/>
          <w:highlight w:val="none"/>
        </w:rPr>
        <w:t>。收支相抵，</w:t>
      </w:r>
      <w:r>
        <w:rPr>
          <w:rFonts w:hint="eastAsia" w:ascii="Times New Roman" w:hAnsi="Times New Roman" w:eastAsia="仿宋_GB2312"/>
          <w:color w:val="000000"/>
          <w:sz w:val="32"/>
          <w:szCs w:val="32"/>
          <w:highlight w:val="none"/>
          <w:lang w:val="en-US" w:eastAsia="zh-CN"/>
        </w:rPr>
        <w:t>当年预算平衡</w:t>
      </w:r>
      <w:r>
        <w:rPr>
          <w:rFonts w:hint="eastAsia" w:ascii="Times New Roman" w:hAnsi="Times New Roman" w:eastAsia="仿宋_GB2312"/>
          <w:color w:val="000000"/>
          <w:sz w:val="32"/>
          <w:szCs w:val="32"/>
          <w:highlight w:val="none"/>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楷体_GB2312"/>
          <w:b/>
          <w:color w:val="000000"/>
          <w:sz w:val="32"/>
          <w:szCs w:val="32"/>
          <w:highlight w:val="none"/>
        </w:rPr>
      </w:pPr>
      <w:r>
        <w:rPr>
          <w:rFonts w:hint="eastAsia" w:ascii="Times New Roman" w:hAnsi="Times New Roman" w:eastAsia="仿宋_GB2312"/>
          <w:color w:val="000000"/>
          <w:sz w:val="32"/>
          <w:szCs w:val="32"/>
          <w:highlight w:val="none"/>
        </w:rPr>
        <w:t>具体预算调整事项详见《202</w:t>
      </w:r>
      <w:r>
        <w:rPr>
          <w:rFonts w:hint="eastAsia" w:ascii="Times New Roman" w:hAnsi="Times New Roman" w:eastAsia="仿宋_GB2312"/>
          <w:color w:val="000000"/>
          <w:sz w:val="32"/>
          <w:szCs w:val="32"/>
          <w:highlight w:val="none"/>
          <w:lang w:val="en-US" w:eastAsia="zh-CN"/>
        </w:rPr>
        <w:t>5</w:t>
      </w:r>
      <w:r>
        <w:rPr>
          <w:rFonts w:hint="eastAsia" w:ascii="Times New Roman" w:hAnsi="Times New Roman" w:eastAsia="仿宋_GB2312"/>
          <w:color w:val="000000"/>
          <w:sz w:val="32"/>
          <w:szCs w:val="32"/>
          <w:highlight w:val="none"/>
        </w:rPr>
        <w:t>年</w:t>
      </w:r>
      <w:r>
        <w:rPr>
          <w:rFonts w:hint="eastAsia" w:ascii="Times New Roman" w:hAnsi="Times New Roman" w:eastAsia="仿宋_GB2312"/>
          <w:color w:val="000000"/>
          <w:sz w:val="32"/>
          <w:szCs w:val="32"/>
          <w:highlight w:val="none"/>
          <w:lang w:val="en-US" w:eastAsia="zh-CN"/>
        </w:rPr>
        <w:t>玛纳斯县</w:t>
      </w:r>
      <w:r>
        <w:rPr>
          <w:rFonts w:hint="eastAsia" w:ascii="Times New Roman" w:hAnsi="Times New Roman" w:eastAsia="仿宋_GB2312"/>
          <w:color w:val="000000"/>
          <w:sz w:val="32"/>
          <w:szCs w:val="32"/>
          <w:highlight w:val="none"/>
        </w:rPr>
        <w:t>一般公共预算调整方案（草案）》。</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3" w:firstLineChars="200"/>
        <w:jc w:val="both"/>
        <w:textAlignment w:val="top"/>
        <w:outlineLvl w:val="9"/>
        <w:rPr>
          <w:rFonts w:hint="eastAsia" w:ascii="Times New Roman" w:hAnsi="Times New Roman" w:eastAsia="楷体_GB2312" w:cs="楷体_GB2312"/>
          <w:b/>
          <w:color w:val="000000"/>
          <w:sz w:val="32"/>
          <w:szCs w:val="32"/>
          <w:highlight w:val="none"/>
        </w:rPr>
      </w:pPr>
      <w:r>
        <w:rPr>
          <w:rFonts w:hint="eastAsia" w:ascii="Times New Roman" w:hAnsi="Times New Roman" w:eastAsia="楷体_GB2312" w:cs="楷体_GB2312"/>
          <w:b/>
          <w:color w:val="000000"/>
          <w:sz w:val="32"/>
          <w:szCs w:val="32"/>
          <w:highlight w:val="none"/>
        </w:rPr>
        <w:t>（二）政府性基金预算调整方案</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3" w:firstLineChars="200"/>
        <w:jc w:val="both"/>
        <w:textAlignment w:val="top"/>
        <w:outlineLvl w:val="9"/>
        <w:rPr>
          <w:rFonts w:hint="eastAsia" w:ascii="Times New Roman" w:hAnsi="Times New Roman" w:eastAsia="仿宋_GB2312"/>
          <w:color w:val="000000"/>
          <w:sz w:val="32"/>
          <w:szCs w:val="32"/>
          <w:highlight w:val="none"/>
        </w:rPr>
      </w:pPr>
      <w:r>
        <w:rPr>
          <w:rFonts w:hint="eastAsia" w:ascii="Times New Roman" w:hAnsi="Times New Roman" w:eastAsia="仿宋_GB2312"/>
          <w:b/>
          <w:color w:val="000000"/>
          <w:sz w:val="32"/>
          <w:szCs w:val="32"/>
          <w:highlight w:val="none"/>
          <w:lang w:val="en-US" w:eastAsia="zh-CN"/>
        </w:rPr>
        <w:t>1.</w:t>
      </w:r>
      <w:r>
        <w:rPr>
          <w:rFonts w:hint="eastAsia" w:ascii="Times New Roman" w:hAnsi="Times New Roman" w:eastAsia="仿宋_GB2312"/>
          <w:b/>
          <w:color w:val="000000"/>
          <w:sz w:val="32"/>
          <w:szCs w:val="32"/>
          <w:highlight w:val="none"/>
        </w:rPr>
        <w:t>收入</w:t>
      </w:r>
      <w:r>
        <w:rPr>
          <w:rFonts w:hint="eastAsia" w:ascii="Times New Roman" w:hAnsi="Times New Roman" w:eastAsia="仿宋_GB2312"/>
          <w:b/>
          <w:color w:val="000000"/>
          <w:sz w:val="32"/>
          <w:szCs w:val="32"/>
          <w:highlight w:val="none"/>
          <w:lang w:val="en-US" w:eastAsia="zh-CN"/>
        </w:rPr>
        <w:t>增加615万</w:t>
      </w:r>
      <w:r>
        <w:rPr>
          <w:rFonts w:hint="eastAsia" w:ascii="Times New Roman" w:hAnsi="Times New Roman" w:eastAsia="仿宋_GB2312"/>
          <w:b/>
          <w:color w:val="000000"/>
          <w:sz w:val="32"/>
          <w:szCs w:val="32"/>
          <w:highlight w:val="none"/>
        </w:rPr>
        <w:t>元。</w:t>
      </w:r>
      <w:r>
        <w:rPr>
          <w:rFonts w:hint="eastAsia" w:ascii="Times New Roman" w:hAnsi="Times New Roman" w:eastAsia="仿宋_GB2312"/>
          <w:color w:val="000000"/>
          <w:sz w:val="32"/>
          <w:szCs w:val="32"/>
          <w:highlight w:val="none"/>
        </w:rPr>
        <w:t>主要为</w:t>
      </w:r>
      <w:r>
        <w:rPr>
          <w:rFonts w:hint="eastAsia" w:ascii="Times New Roman" w:hAnsi="Times New Roman" w:eastAsia="仿宋_GB2312"/>
          <w:color w:val="000000"/>
          <w:sz w:val="32"/>
          <w:szCs w:val="32"/>
          <w:highlight w:val="none"/>
          <w:lang w:val="en-US" w:eastAsia="zh-CN"/>
        </w:rPr>
        <w:t>政府性基金预算上级补助收入增加615万元</w:t>
      </w:r>
      <w:r>
        <w:rPr>
          <w:rFonts w:hint="eastAsia" w:ascii="Times New Roman" w:hAnsi="Times New Roman" w:eastAsia="仿宋_GB2312"/>
          <w:color w:val="000000"/>
          <w:sz w:val="32"/>
          <w:szCs w:val="32"/>
          <w:highlight w:val="none"/>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3" w:firstLineChars="200"/>
        <w:jc w:val="both"/>
        <w:textAlignment w:val="top"/>
        <w:outlineLvl w:val="9"/>
        <w:rPr>
          <w:rFonts w:hint="eastAsia" w:ascii="Times New Roman" w:hAnsi="Times New Roman" w:eastAsia="仿宋_GB2312"/>
          <w:color w:val="000000"/>
          <w:sz w:val="32"/>
          <w:szCs w:val="32"/>
          <w:highlight w:val="none"/>
          <w:lang w:eastAsia="zh-CN"/>
        </w:rPr>
      </w:pPr>
      <w:r>
        <w:rPr>
          <w:rFonts w:hint="eastAsia" w:ascii="Times New Roman" w:hAnsi="Times New Roman" w:eastAsia="仿宋_GB2312"/>
          <w:b/>
          <w:color w:val="000000"/>
          <w:sz w:val="32"/>
          <w:szCs w:val="32"/>
          <w:highlight w:val="none"/>
          <w:lang w:val="en-US" w:eastAsia="zh-CN"/>
        </w:rPr>
        <w:t>2.</w:t>
      </w:r>
      <w:r>
        <w:rPr>
          <w:rFonts w:hint="eastAsia" w:ascii="Times New Roman" w:hAnsi="Times New Roman" w:eastAsia="仿宋_GB2312"/>
          <w:b/>
          <w:color w:val="000000"/>
          <w:sz w:val="32"/>
          <w:szCs w:val="32"/>
          <w:highlight w:val="none"/>
        </w:rPr>
        <w:t>支出</w:t>
      </w:r>
      <w:r>
        <w:rPr>
          <w:rFonts w:hint="eastAsia" w:ascii="Times New Roman" w:hAnsi="Times New Roman" w:eastAsia="仿宋_GB2312"/>
          <w:b/>
          <w:color w:val="000000"/>
          <w:sz w:val="32"/>
          <w:szCs w:val="32"/>
          <w:highlight w:val="none"/>
          <w:lang w:val="en-US" w:eastAsia="zh-CN"/>
        </w:rPr>
        <w:t>增加615万</w:t>
      </w:r>
      <w:r>
        <w:rPr>
          <w:rFonts w:hint="eastAsia" w:ascii="Times New Roman" w:hAnsi="Times New Roman" w:eastAsia="仿宋_GB2312"/>
          <w:b/>
          <w:color w:val="000000"/>
          <w:sz w:val="32"/>
          <w:szCs w:val="32"/>
          <w:highlight w:val="none"/>
        </w:rPr>
        <w:t>元。</w:t>
      </w:r>
      <w:r>
        <w:rPr>
          <w:rFonts w:hint="eastAsia" w:ascii="Times New Roman" w:hAnsi="Times New Roman" w:eastAsia="仿宋_GB2312"/>
          <w:color w:val="000000"/>
          <w:sz w:val="32"/>
          <w:szCs w:val="32"/>
          <w:highlight w:val="none"/>
          <w:lang w:val="en-US" w:eastAsia="zh-CN"/>
        </w:rPr>
        <w:t>主要为政府性基金预算支出增加615万元。</w:t>
      </w:r>
      <w:r>
        <w:rPr>
          <w:rFonts w:hint="eastAsia" w:ascii="Times New Roman" w:hAnsi="Times New Roman" w:eastAsia="仿宋_GB2312"/>
          <w:color w:val="000000"/>
          <w:sz w:val="32"/>
          <w:szCs w:val="32"/>
          <w:highlight w:val="none"/>
          <w:lang w:eastAsia="zh-CN"/>
        </w:rPr>
        <w:t>其中：</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eastAsia="zh-CN"/>
        </w:rPr>
        <w:t>（</w:t>
      </w:r>
      <w:r>
        <w:rPr>
          <w:rFonts w:hint="eastAsia" w:ascii="Times New Roman" w:hAnsi="Times New Roman" w:eastAsia="仿宋_GB2312"/>
          <w:color w:val="000000"/>
          <w:sz w:val="32"/>
          <w:szCs w:val="32"/>
          <w:highlight w:val="none"/>
          <w:lang w:val="en-US" w:eastAsia="zh-CN"/>
        </w:rPr>
        <w:t>1</w:t>
      </w:r>
      <w:r>
        <w:rPr>
          <w:rFonts w:hint="eastAsia" w:ascii="Times New Roman" w:hAnsi="Times New Roman" w:eastAsia="仿宋_GB2312"/>
          <w:color w:val="000000"/>
          <w:sz w:val="32"/>
          <w:szCs w:val="32"/>
          <w:highlight w:val="none"/>
          <w:lang w:eastAsia="zh-CN"/>
        </w:rPr>
        <w:t>）其他支出</w:t>
      </w:r>
      <w:r>
        <w:rPr>
          <w:rFonts w:hint="eastAsia" w:ascii="Times New Roman" w:hAnsi="Times New Roman" w:eastAsia="仿宋_GB2312"/>
          <w:color w:val="000000"/>
          <w:sz w:val="32"/>
          <w:szCs w:val="32"/>
          <w:highlight w:val="none"/>
          <w:lang w:val="en-US" w:eastAsia="zh-CN"/>
        </w:rPr>
        <w:t>调整为510万元，调增167万元，主要为政府购买社会救助事务性服务示范项目补助、福利彩票公益金、彩票公益金支持儿童福利类项目补助等。</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default"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（2）资源勘探工业信息等支出调整为448万元，调增448万元，主要为超长期特别国债支持交通运输领域消费品以旧换新。</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3" w:firstLineChars="200"/>
        <w:jc w:val="both"/>
        <w:textAlignment w:val="top"/>
        <w:outlineLvl w:val="9"/>
        <w:rPr>
          <w:rFonts w:hint="eastAsia" w:ascii="Times New Roman" w:hAnsi="Times New Roman" w:eastAsia="仿宋_GB2312"/>
          <w:color w:val="000000"/>
          <w:sz w:val="32"/>
          <w:szCs w:val="32"/>
          <w:highlight w:val="none"/>
        </w:rPr>
      </w:pPr>
      <w:r>
        <w:rPr>
          <w:rFonts w:hint="eastAsia" w:ascii="Times New Roman" w:hAnsi="Times New Roman" w:eastAsia="仿宋_GB2312"/>
          <w:b/>
          <w:color w:val="000000"/>
          <w:sz w:val="32"/>
          <w:szCs w:val="32"/>
          <w:highlight w:val="none"/>
        </w:rPr>
        <w:t>3.调整后平衡情况。</w:t>
      </w:r>
      <w:r>
        <w:rPr>
          <w:rFonts w:hint="eastAsia" w:ascii="Times New Roman" w:hAnsi="Times New Roman" w:eastAsia="仿宋_GB2312"/>
          <w:color w:val="000000"/>
          <w:sz w:val="32"/>
          <w:szCs w:val="32"/>
          <w:highlight w:val="none"/>
        </w:rPr>
        <w:t>本次政府性基金预算调整后，政府性基金预算收入总计</w:t>
      </w:r>
      <w:r>
        <w:rPr>
          <w:rFonts w:hint="eastAsia" w:ascii="Times New Roman" w:hAnsi="Times New Roman" w:eastAsia="仿宋_GB2312"/>
          <w:color w:val="000000"/>
          <w:sz w:val="32"/>
          <w:szCs w:val="32"/>
          <w:highlight w:val="none"/>
          <w:lang w:val="en-US" w:eastAsia="zh-CN"/>
        </w:rPr>
        <w:t>116751万</w:t>
      </w:r>
      <w:r>
        <w:rPr>
          <w:rFonts w:hint="eastAsia" w:ascii="Times New Roman" w:hAnsi="Times New Roman" w:eastAsia="仿宋_GB2312"/>
          <w:color w:val="000000"/>
          <w:sz w:val="32"/>
          <w:szCs w:val="32"/>
          <w:highlight w:val="none"/>
        </w:rPr>
        <w:t>元，其中：政府性基金预算收入</w:t>
      </w:r>
      <w:r>
        <w:rPr>
          <w:rFonts w:hint="eastAsia" w:ascii="Times New Roman" w:hAnsi="Times New Roman" w:eastAsia="仿宋_GB2312"/>
          <w:color w:val="000000"/>
          <w:sz w:val="32"/>
          <w:szCs w:val="32"/>
          <w:highlight w:val="none"/>
          <w:lang w:val="en-US" w:eastAsia="zh-CN"/>
        </w:rPr>
        <w:t>36053万</w:t>
      </w:r>
      <w:r>
        <w:rPr>
          <w:rFonts w:hint="eastAsia" w:ascii="Times New Roman" w:hAnsi="Times New Roman" w:eastAsia="仿宋_GB2312"/>
          <w:color w:val="000000"/>
          <w:sz w:val="32"/>
          <w:szCs w:val="32"/>
          <w:highlight w:val="none"/>
        </w:rPr>
        <w:t>元</w:t>
      </w:r>
      <w:r>
        <w:rPr>
          <w:rFonts w:hint="eastAsia" w:ascii="Times New Roman" w:hAnsi="Times New Roman" w:eastAsia="仿宋_GB2312"/>
          <w:color w:val="000000"/>
          <w:sz w:val="32"/>
          <w:szCs w:val="32"/>
          <w:highlight w:val="none"/>
          <w:lang w:val="en-US" w:eastAsia="zh-CN"/>
        </w:rPr>
        <w:t>，政府性基金补助收入1092万元</w:t>
      </w:r>
      <w:r>
        <w:rPr>
          <w:rFonts w:hint="eastAsia" w:ascii="Times New Roman" w:hAnsi="Times New Roman" w:eastAsia="仿宋_GB2312"/>
          <w:color w:val="000000"/>
          <w:sz w:val="32"/>
          <w:szCs w:val="32"/>
          <w:highlight w:val="none"/>
        </w:rPr>
        <w:t>，</w:t>
      </w:r>
      <w:r>
        <w:rPr>
          <w:rFonts w:hint="eastAsia" w:ascii="Times New Roman" w:hAnsi="Times New Roman" w:eastAsia="仿宋_GB2312"/>
          <w:color w:val="000000"/>
          <w:sz w:val="32"/>
          <w:szCs w:val="32"/>
          <w:highlight w:val="none"/>
          <w:lang w:val="en-US" w:eastAsia="zh-CN"/>
        </w:rPr>
        <w:t>上年结余收入75914万元，调入政府性基金预算资金3692万元</w:t>
      </w:r>
      <w:r>
        <w:rPr>
          <w:rFonts w:hint="eastAsia" w:ascii="Times New Roman" w:hAnsi="Times New Roman" w:eastAsia="仿宋_GB2312"/>
          <w:color w:val="000000"/>
          <w:sz w:val="32"/>
          <w:szCs w:val="32"/>
          <w:highlight w:val="none"/>
        </w:rPr>
        <w:t>。支出总计</w:t>
      </w:r>
      <w:r>
        <w:rPr>
          <w:rFonts w:hint="eastAsia" w:ascii="Times New Roman" w:hAnsi="Times New Roman" w:eastAsia="仿宋_GB2312"/>
          <w:color w:val="000000"/>
          <w:sz w:val="32"/>
          <w:szCs w:val="32"/>
          <w:highlight w:val="none"/>
          <w:lang w:val="en-US" w:eastAsia="zh-CN"/>
        </w:rPr>
        <w:t>116751万</w:t>
      </w:r>
      <w:r>
        <w:rPr>
          <w:rFonts w:hint="eastAsia" w:ascii="Times New Roman" w:hAnsi="Times New Roman" w:eastAsia="仿宋_GB2312"/>
          <w:color w:val="000000"/>
          <w:sz w:val="32"/>
          <w:szCs w:val="32"/>
          <w:highlight w:val="none"/>
        </w:rPr>
        <w:t>元，其中：政府性基金支出</w:t>
      </w:r>
      <w:r>
        <w:rPr>
          <w:rFonts w:hint="eastAsia" w:ascii="Times New Roman" w:hAnsi="Times New Roman" w:eastAsia="仿宋_GB2312"/>
          <w:color w:val="000000"/>
          <w:sz w:val="32"/>
          <w:szCs w:val="32"/>
          <w:highlight w:val="none"/>
          <w:lang w:val="en-US" w:eastAsia="zh-CN"/>
        </w:rPr>
        <w:t>98251万</w:t>
      </w:r>
      <w:r>
        <w:rPr>
          <w:rFonts w:hint="eastAsia" w:ascii="Times New Roman" w:hAnsi="Times New Roman" w:eastAsia="仿宋_GB2312"/>
          <w:color w:val="000000"/>
          <w:sz w:val="32"/>
          <w:szCs w:val="32"/>
          <w:highlight w:val="none"/>
        </w:rPr>
        <w:t>元，</w:t>
      </w:r>
      <w:r>
        <w:rPr>
          <w:rFonts w:hint="eastAsia" w:ascii="Times New Roman" w:hAnsi="Times New Roman" w:eastAsia="仿宋_GB2312"/>
          <w:color w:val="000000"/>
          <w:sz w:val="32"/>
          <w:szCs w:val="32"/>
          <w:highlight w:val="none"/>
          <w:lang w:val="en-US" w:eastAsia="zh-CN"/>
        </w:rPr>
        <w:t>调出资金9900万元，债务还本支出8600万元</w:t>
      </w:r>
      <w:r>
        <w:rPr>
          <w:rFonts w:hint="eastAsia" w:ascii="Times New Roman" w:hAnsi="Times New Roman" w:eastAsia="仿宋_GB2312"/>
          <w:color w:val="000000"/>
          <w:sz w:val="32"/>
          <w:szCs w:val="32"/>
          <w:highlight w:val="none"/>
        </w:rPr>
        <w:t>。</w:t>
      </w:r>
      <w:r>
        <w:rPr>
          <w:rFonts w:hint="eastAsia" w:ascii="Times New Roman" w:hAnsi="Times New Roman" w:eastAsia="仿宋_GB2312"/>
          <w:sz w:val="32"/>
          <w:szCs w:val="32"/>
          <w:highlight w:val="none"/>
        </w:rPr>
        <w:t>收支相抵，</w:t>
      </w:r>
      <w:r>
        <w:rPr>
          <w:rFonts w:hint="eastAsia" w:ascii="Times New Roman" w:hAnsi="Times New Roman" w:eastAsia="仿宋_GB2312"/>
          <w:color w:val="000000"/>
          <w:sz w:val="32"/>
          <w:szCs w:val="32"/>
          <w:highlight w:val="none"/>
        </w:rPr>
        <w:t>当年</w:t>
      </w:r>
      <w:r>
        <w:rPr>
          <w:rFonts w:hint="eastAsia" w:ascii="Times New Roman" w:hAnsi="Times New Roman" w:eastAsia="仿宋_GB2312"/>
          <w:color w:val="000000"/>
          <w:sz w:val="32"/>
          <w:szCs w:val="32"/>
          <w:highlight w:val="none"/>
          <w:lang w:val="en-US" w:eastAsia="zh-CN"/>
        </w:rPr>
        <w:t>预算</w:t>
      </w:r>
      <w:r>
        <w:rPr>
          <w:rFonts w:hint="eastAsia" w:ascii="Times New Roman" w:hAnsi="Times New Roman" w:eastAsia="仿宋_GB2312"/>
          <w:color w:val="000000"/>
          <w:sz w:val="32"/>
          <w:szCs w:val="32"/>
          <w:highlight w:val="none"/>
        </w:rPr>
        <w:t>平衡。</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ascii="Times New Roman" w:hAnsi="Times New Roman" w:eastAsia="仿宋_GB2312"/>
          <w:color w:val="000000"/>
          <w:sz w:val="32"/>
          <w:szCs w:val="32"/>
          <w:highlight w:val="none"/>
        </w:rPr>
      </w:pPr>
      <w:r>
        <w:rPr>
          <w:rFonts w:hint="eastAsia" w:ascii="Times New Roman" w:hAnsi="Times New Roman" w:eastAsia="仿宋_GB2312"/>
          <w:color w:val="000000"/>
          <w:sz w:val="32"/>
          <w:szCs w:val="32"/>
          <w:highlight w:val="none"/>
        </w:rPr>
        <w:t>具体预算调整事项详见《202</w:t>
      </w:r>
      <w:r>
        <w:rPr>
          <w:rFonts w:hint="eastAsia" w:ascii="Times New Roman" w:hAnsi="Times New Roman" w:eastAsia="仿宋_GB2312"/>
          <w:color w:val="000000"/>
          <w:sz w:val="32"/>
          <w:szCs w:val="32"/>
          <w:highlight w:val="none"/>
          <w:lang w:val="en-US" w:eastAsia="zh-CN"/>
        </w:rPr>
        <w:t>5</w:t>
      </w:r>
      <w:r>
        <w:rPr>
          <w:rFonts w:hint="eastAsia" w:ascii="Times New Roman" w:hAnsi="Times New Roman" w:eastAsia="仿宋_GB2312"/>
          <w:color w:val="000000"/>
          <w:sz w:val="32"/>
          <w:szCs w:val="32"/>
          <w:highlight w:val="none"/>
        </w:rPr>
        <w:t>年</w:t>
      </w:r>
      <w:r>
        <w:rPr>
          <w:rFonts w:hint="eastAsia" w:ascii="Times New Roman" w:hAnsi="Times New Roman" w:eastAsia="仿宋_GB2312"/>
          <w:color w:val="000000"/>
          <w:sz w:val="32"/>
          <w:szCs w:val="32"/>
          <w:highlight w:val="none"/>
          <w:lang w:val="en-US" w:eastAsia="zh-CN"/>
        </w:rPr>
        <w:t>玛纳斯县</w:t>
      </w:r>
      <w:r>
        <w:rPr>
          <w:rFonts w:hint="eastAsia" w:ascii="Times New Roman" w:hAnsi="Times New Roman" w:eastAsia="仿宋_GB2312"/>
          <w:color w:val="000000"/>
          <w:sz w:val="32"/>
          <w:szCs w:val="32"/>
          <w:highlight w:val="none"/>
        </w:rPr>
        <w:t>政府性基金预算调整方案（草案）》。</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val="en-US" w:eastAsia="zh-CN"/>
        </w:rPr>
      </w:pPr>
      <w:r>
        <w:rPr>
          <w:rFonts w:hint="eastAsia" w:ascii="Times New Roman" w:hAnsi="Times New Roman" w:eastAsia="仿宋_GB2312"/>
          <w:color w:val="000000"/>
          <w:sz w:val="32"/>
          <w:szCs w:val="32"/>
          <w:highlight w:val="none"/>
          <w:lang w:val="en-US" w:eastAsia="zh-CN"/>
        </w:rPr>
        <w:t>以上方案，请主任、各位副主任、各位委员审议。</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rPr>
      </w:pP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640" w:firstLineChars="200"/>
        <w:jc w:val="both"/>
        <w:textAlignment w:val="top"/>
        <w:outlineLvl w:val="9"/>
        <w:rPr>
          <w:rFonts w:hint="eastAsia" w:ascii="Times New Roman" w:hAnsi="Times New Roman" w:eastAsia="仿宋_GB2312"/>
          <w:color w:val="000000"/>
          <w:sz w:val="32"/>
          <w:szCs w:val="32"/>
          <w:highlight w:val="none"/>
          <w:lang w:eastAsia="zh-CN"/>
        </w:rPr>
      </w:pPr>
      <w:r>
        <w:rPr>
          <w:rFonts w:hint="eastAsia" w:ascii="Times New Roman" w:hAnsi="Times New Roman" w:eastAsia="仿宋_GB2312"/>
          <w:color w:val="000000"/>
          <w:sz w:val="32"/>
          <w:szCs w:val="32"/>
          <w:highlight w:val="none"/>
        </w:rPr>
        <w:t>附件</w:t>
      </w:r>
      <w:r>
        <w:rPr>
          <w:rFonts w:ascii="Times New Roman" w:hAnsi="Times New Roman" w:eastAsia="仿宋_GB2312"/>
          <w:color w:val="000000"/>
          <w:sz w:val="32"/>
          <w:szCs w:val="32"/>
          <w:highlight w:val="none"/>
        </w:rPr>
        <w:t>：</w:t>
      </w:r>
      <w:r>
        <w:rPr>
          <w:rFonts w:hint="eastAsia" w:ascii="Times New Roman" w:hAnsi="Times New Roman" w:eastAsia="仿宋_GB2312"/>
          <w:color w:val="000000"/>
          <w:sz w:val="32"/>
          <w:szCs w:val="32"/>
          <w:highlight w:val="none"/>
        </w:rPr>
        <w:t>1.202</w:t>
      </w:r>
      <w:r>
        <w:rPr>
          <w:rFonts w:hint="eastAsia" w:ascii="Times New Roman" w:hAnsi="Times New Roman" w:eastAsia="仿宋_GB2312"/>
          <w:color w:val="000000"/>
          <w:sz w:val="32"/>
          <w:szCs w:val="32"/>
          <w:highlight w:val="none"/>
          <w:lang w:val="en-US" w:eastAsia="zh-CN"/>
        </w:rPr>
        <w:t>5年玛纳斯县</w:t>
      </w:r>
      <w:r>
        <w:rPr>
          <w:rFonts w:hint="eastAsia" w:ascii="Times New Roman" w:hAnsi="Times New Roman" w:eastAsia="仿宋_GB2312"/>
          <w:color w:val="000000"/>
          <w:sz w:val="32"/>
          <w:szCs w:val="32"/>
          <w:highlight w:val="none"/>
        </w:rPr>
        <w:t>一般公共预算</w:t>
      </w:r>
      <w:r>
        <w:rPr>
          <w:rFonts w:ascii="Times New Roman" w:hAnsi="Times New Roman" w:eastAsia="仿宋_GB2312"/>
          <w:color w:val="000000"/>
          <w:sz w:val="32"/>
          <w:szCs w:val="32"/>
          <w:highlight w:val="none"/>
        </w:rPr>
        <w:t>调整方案（草案</w:t>
      </w:r>
      <w:r>
        <w:rPr>
          <w:rFonts w:hint="eastAsia" w:ascii="Times New Roman" w:hAnsi="Times New Roman" w:eastAsia="仿宋_GB2312"/>
          <w:color w:val="000000"/>
          <w:sz w:val="32"/>
          <w:szCs w:val="32"/>
          <w:highlight w:val="none"/>
          <w:lang w:eastAsia="zh-CN"/>
        </w:rPr>
        <w:t>）</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left="0" w:leftChars="0" w:right="0" w:rightChars="0" w:firstLine="1600" w:firstLineChars="500"/>
        <w:jc w:val="both"/>
        <w:textAlignment w:val="top"/>
        <w:outlineLvl w:val="9"/>
        <w:rPr>
          <w:rFonts w:hint="eastAsia" w:ascii="Times New Roman" w:hAnsi="Times New Roman" w:eastAsia="仿宋_GB2312" w:cs="Times New Roman"/>
          <w:color w:val="000000"/>
          <w:sz w:val="32"/>
          <w:szCs w:val="32"/>
          <w:highlight w:val="none"/>
          <w:lang w:val="en-US" w:eastAsia="zh-CN"/>
        </w:rPr>
      </w:pPr>
      <w:r>
        <w:rPr>
          <w:rFonts w:hint="eastAsia" w:ascii="Times New Roman" w:hAnsi="Times New Roman" w:eastAsia="仿宋_GB2312" w:cs="Times New Roman"/>
          <w:color w:val="000000"/>
          <w:sz w:val="32"/>
          <w:szCs w:val="32"/>
          <w:highlight w:val="none"/>
          <w:lang w:val="en-US" w:eastAsia="zh-CN"/>
        </w:rPr>
        <w:t>2.2025年玛纳斯县政府性基金预算调整方案（草案）</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val="0"/>
        <w:snapToGrid w:val="0"/>
        <w:spacing w:line="560" w:lineRule="exact"/>
        <w:ind w:right="0" w:rightChars="0"/>
        <w:jc w:val="both"/>
        <w:textAlignment w:val="top"/>
        <w:outlineLvl w:val="9"/>
        <w:rPr>
          <w:rFonts w:hint="eastAsia" w:ascii="Times New Roman" w:hAnsi="Times New Roman"/>
          <w:highlight w:val="none"/>
          <w:lang w:val="en-US" w:eastAsia="zh-CN"/>
        </w:rPr>
      </w:pPr>
    </w:p>
    <w:p>
      <w:pPr>
        <w:pStyle w:val="4"/>
        <w:rPr>
          <w:rFonts w:hint="eastAsia" w:ascii="Times New Roman" w:hAnsi="Times New Roman"/>
          <w:highlight w:val="none"/>
          <w:lang w:val="en-US" w:eastAsia="zh-CN"/>
        </w:rPr>
      </w:pPr>
    </w:p>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8"/>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fldChar w:fldCharType="begin"/>
                    </w:r>
                    <w:r>
                      <w:rPr>
                        <w:rFonts w:hint="eastAsia" w:asciiTheme="minorEastAsia" w:hAnsiTheme="minorEastAsia" w:eastAsiaTheme="minorEastAsia" w:cstheme="minorEastAsia"/>
                        <w:sz w:val="32"/>
                        <w:szCs w:val="32"/>
                        <w:lang w:eastAsia="zh-CN"/>
                      </w:rPr>
                      <w:instrText xml:space="preserve"> PAGE  \* MERGEFORMAT </w:instrText>
                    </w:r>
                    <w:r>
                      <w:rPr>
                        <w:rFonts w:hint="eastAsia" w:asciiTheme="minorEastAsia" w:hAnsiTheme="minorEastAsia" w:eastAsiaTheme="minorEastAsia" w:cstheme="minorEastAsia"/>
                        <w:sz w:val="32"/>
                        <w:szCs w:val="32"/>
                        <w:lang w:eastAsia="zh-CN"/>
                      </w:rPr>
                      <w:fldChar w:fldCharType="separate"/>
                    </w:r>
                    <w:r>
                      <w:rPr>
                        <w:rFonts w:hint="eastAsia" w:asciiTheme="minorEastAsia" w:hAnsiTheme="minorEastAsia" w:eastAsiaTheme="minorEastAsia" w:cstheme="minorEastAsia"/>
                        <w:sz w:val="32"/>
                        <w:szCs w:val="32"/>
                        <w:lang w:eastAsia="zh-CN"/>
                      </w:rPr>
                      <w:t>1</w:t>
                    </w:r>
                    <w:r>
                      <w:rPr>
                        <w:rFonts w:hint="eastAsia" w:asciiTheme="minorEastAsia" w:hAnsiTheme="minorEastAsia" w:eastAsiaTheme="minorEastAsia" w:cstheme="minorEastAsia"/>
                        <w:sz w:val="32"/>
                        <w:szCs w:val="32"/>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8C28AF"/>
    <w:multiLevelType w:val="singleLevel"/>
    <w:tmpl w:val="9C8C28AF"/>
    <w:lvl w:ilvl="0" w:tentative="0">
      <w:start w:val="1"/>
      <w:numFmt w:val="decimal"/>
      <w:pStyle w:val="7"/>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394B73"/>
    <w:rsid w:val="67CA3173"/>
    <w:rsid w:val="72047F0B"/>
    <w:rsid w:val="7E287A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宋体" w:cs="Times New Roman"/>
      <w:kern w:val="2"/>
      <w:sz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next w:val="1"/>
    <w:qFormat/>
    <w:uiPriority w:val="0"/>
    <w:pPr>
      <w:widowControl w:val="0"/>
      <w:autoSpaceDE/>
      <w:autoSpaceDN/>
      <w:spacing w:before="0" w:after="120" w:line="240" w:lineRule="auto"/>
      <w:ind w:left="0" w:firstLine="0"/>
      <w:jc w:val="both"/>
    </w:pPr>
    <w:rPr>
      <w:rFonts w:ascii="Times New Roman" w:eastAsia="宋体"/>
      <w:sz w:val="21"/>
    </w:rPr>
  </w:style>
  <w:style w:type="paragraph" w:styleId="4">
    <w:name w:val="Body Text Indent"/>
    <w:basedOn w:val="1"/>
    <w:next w:val="5"/>
    <w:qFormat/>
    <w:uiPriority w:val="0"/>
    <w:pPr>
      <w:spacing w:after="120"/>
      <w:ind w:left="420" w:leftChars="200"/>
    </w:pPr>
  </w:style>
  <w:style w:type="paragraph" w:styleId="5">
    <w:name w:val="Body Text First Indent 2"/>
    <w:basedOn w:val="4"/>
    <w:next w:val="6"/>
    <w:unhideWhenUsed/>
    <w:qFormat/>
    <w:uiPriority w:val="99"/>
    <w:pPr>
      <w:spacing w:before="100" w:beforeAutospacing="1" w:line="400" w:lineRule="exact"/>
      <w:ind w:firstLine="420" w:firstLineChars="200"/>
    </w:pPr>
    <w:rPr>
      <w:rFonts w:ascii="Calibri" w:hAnsi="Calibri"/>
    </w:rPr>
  </w:style>
  <w:style w:type="paragraph" w:styleId="6">
    <w:name w:val="Plain Text"/>
    <w:basedOn w:val="1"/>
    <w:next w:val="7"/>
    <w:qFormat/>
    <w:uiPriority w:val="0"/>
    <w:rPr>
      <w:rFonts w:ascii="宋体" w:hAnsi="Courier New" w:cs="Times New Roman"/>
      <w:szCs w:val="21"/>
    </w:rPr>
  </w:style>
  <w:style w:type="paragraph" w:styleId="7">
    <w:name w:val="List Number 5"/>
    <w:basedOn w:val="1"/>
    <w:qFormat/>
    <w:uiPriority w:val="0"/>
    <w:pPr>
      <w:numPr>
        <w:ilvl w:val="0"/>
        <w:numId w:val="1"/>
      </w:numPr>
    </w:p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9</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2025-07-10T11:54:00Z</dcterms:created>
  <dc:creator>ZXXfe</dc:creator>
  <cp:lastModifiedBy>张思敏</cp:lastModifiedBy>
  <dcterms:modified xsi:type="dcterms:W3CDTF">2025-07-21T04:59:25Z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KSOTemplateDocerSaveRecord">
    <vt:lpwstr>eyJoZGlkIjoiZjJiYzRjZDg4ODIxMmZkMzVjYzYxNzIzMDEwYjJjY2IiLCJ1c2VySWQiOiIxNjIyNTQ1MTA3In0=</vt:lpwstr>
  </property>
  <property fmtid="{D5CDD505-2E9C-101B-9397-08002B2CF9AE}" pid="4" name="ICV">
    <vt:lpwstr>C7BF6B9680B34ED2812F492B7E628524_12</vt:lpwstr>
  </property>
</Properties>
</file>