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项目名称：塔西河乡道路安装电子警察资金</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主要职能：（1）、保持严打高压，继续深化对敌斗争；（2）、坚持多措并举，强化社会治安防控；（3）、坚持综合施策，强化行政服务管理；（4）、深化四项建设，打牢公安基层基础</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：打击犯罪，查处违章车辆，维护道路交通社会秩序，维护社会稳定。</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：经费主要用于公安局</w:t>
      </w:r>
      <w:r>
        <w:rPr>
          <w:rFonts w:hint="eastAsia" w:ascii="仿宋" w:hAnsi="仿宋" w:eastAsia="仿宋"/>
          <w:spacing w:val="-4"/>
          <w:sz w:val="32"/>
          <w:szCs w:val="32"/>
        </w:rPr>
        <w:t>购置公安信息专用设备</w:t>
      </w:r>
      <w:r>
        <w:rPr>
          <w:rStyle w:val="19"/>
          <w:rFonts w:hint="eastAsia" w:ascii="仿宋" w:hAnsi="仿宋" w:eastAsia="仿宋"/>
          <w:b w:val="0"/>
          <w:spacing w:val="-4"/>
          <w:sz w:val="32"/>
          <w:szCs w:val="32"/>
          <w:lang w:eastAsia="zh-CN"/>
        </w:rPr>
        <w:t>。</w:t>
      </w:r>
      <w:r>
        <w:rPr>
          <w:rStyle w:val="19"/>
          <w:rFonts w:hint="eastAsia" w:ascii="仿宋" w:hAnsi="仿宋" w:eastAsia="仿宋"/>
          <w:b w:val="0"/>
          <w:color w:val="auto"/>
          <w:spacing w:val="-4"/>
          <w:sz w:val="32"/>
          <w:szCs w:val="32"/>
          <w:lang w:val="en-US" w:eastAsia="zh-CN"/>
        </w:rPr>
        <w:t>本项目共设置一级指标3个、二级指标9个、三级指标10个指标。</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lang w:eastAsia="zh-CN"/>
        </w:rPr>
        <w:t>玛纳斯县公安局塔西河乡道路安装电子警察资金项目</w:t>
      </w:r>
      <w:r>
        <w:rPr>
          <w:rStyle w:val="19"/>
          <w:rFonts w:hint="eastAsia" w:ascii="仿宋" w:hAnsi="仿宋" w:eastAsia="仿宋"/>
          <w:b w:val="0"/>
          <w:spacing w:val="-4"/>
          <w:sz w:val="32"/>
          <w:szCs w:val="32"/>
          <w:lang w:val="en-US" w:eastAsia="zh-CN"/>
        </w:rPr>
        <w:t>2018年安排总金额50万元。</w:t>
      </w:r>
      <w:r>
        <w:rPr>
          <w:rStyle w:val="19"/>
          <w:rFonts w:hint="eastAsia" w:ascii="仿宋" w:hAnsi="仿宋" w:eastAsia="仿宋"/>
          <w:b w:val="0"/>
          <w:spacing w:val="-4"/>
          <w:sz w:val="32"/>
          <w:szCs w:val="32"/>
          <w:lang w:eastAsia="zh-CN"/>
        </w:rPr>
        <w:t>由我局统一向财政局申请</w:t>
      </w:r>
      <w:r>
        <w:rPr>
          <w:rFonts w:hint="eastAsia" w:ascii="仿宋" w:hAnsi="仿宋" w:eastAsia="仿宋"/>
          <w:spacing w:val="-4"/>
          <w:sz w:val="32"/>
          <w:szCs w:val="32"/>
        </w:rPr>
        <w:t>由我局向县财政局申请资金，县财经领导会议小组同意后办理采购手续，相关手续齐全后向财政局申情资金，做直接支付支付给供货方。</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专业设备购置款项共支付50万元。资金全部到位，并且按照公安厅要求使用资金</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年末财政拨款无结余。</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Fonts w:hint="eastAsia" w:ascii="仿宋" w:hAnsi="仿宋" w:eastAsia="仿宋"/>
          <w:spacing w:val="-4"/>
          <w:sz w:val="32"/>
          <w:szCs w:val="32"/>
        </w:rPr>
      </w:pPr>
      <w:r>
        <w:rPr>
          <w:rFonts w:hint="eastAsia" w:ascii="仿宋" w:hAnsi="仿宋" w:eastAsia="仿宋"/>
          <w:spacing w:val="-4"/>
          <w:sz w:val="32"/>
          <w:szCs w:val="32"/>
        </w:rPr>
        <w:t>项目资金由县财政局统一管理，由我局对签订合同及招标相关参数及质量进行监管，支付时我局进行五级审批后，交由财政局支付。</w:t>
      </w:r>
      <w:r>
        <w:rPr>
          <w:rStyle w:val="19"/>
          <w:rFonts w:hint="eastAsia" w:ascii="仿宋" w:hAnsi="仿宋" w:eastAsia="仿宋"/>
          <w:b w:val="0"/>
          <w:spacing w:val="-4"/>
          <w:sz w:val="32"/>
          <w:szCs w:val="32"/>
        </w:rPr>
        <w:t>项目资金的使用严格按照各项规章制度执行运转</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财务收支审批制度、财务稽核制度、会计主管岗位职责等制度规定</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“三重一大”管理规定</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专项资金使用管理办法等</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资金的拨付有完整的审批程序和手续，不存在截留、挤占、挪用等情况。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Fonts w:hint="eastAsia" w:ascii="仿宋" w:hAnsi="仿宋" w:eastAsia="仿宋"/>
          <w:spacing w:val="-4"/>
          <w:sz w:val="32"/>
          <w:szCs w:val="32"/>
        </w:rPr>
      </w:pPr>
      <w:r>
        <w:rPr>
          <w:rFonts w:hint="eastAsia" w:ascii="仿宋" w:hAnsi="仿宋" w:eastAsia="仿宋"/>
          <w:spacing w:val="-4"/>
          <w:sz w:val="32"/>
          <w:szCs w:val="32"/>
        </w:rPr>
        <w:t>项目投标情况：</w:t>
      </w:r>
      <w:r>
        <w:rPr>
          <w:rStyle w:val="19"/>
          <w:rFonts w:hint="eastAsia" w:ascii="仿宋" w:hAnsi="仿宋" w:eastAsia="仿宋"/>
          <w:b w:val="0"/>
          <w:spacing w:val="-4"/>
          <w:sz w:val="32"/>
          <w:szCs w:val="32"/>
        </w:rPr>
        <w:t>我局</w:t>
      </w:r>
      <w:r>
        <w:rPr>
          <w:rStyle w:val="19"/>
          <w:rFonts w:hint="eastAsia" w:ascii="仿宋" w:hAnsi="仿宋" w:eastAsia="仿宋"/>
          <w:b w:val="0"/>
          <w:spacing w:val="-4"/>
          <w:sz w:val="32"/>
          <w:szCs w:val="32"/>
          <w:lang w:eastAsia="zh-CN"/>
        </w:rPr>
        <w:t>塔西河乡道路安装电子警察资金</w:t>
      </w:r>
      <w:r>
        <w:rPr>
          <w:rStyle w:val="19"/>
          <w:rFonts w:hint="eastAsia" w:ascii="仿宋" w:hAnsi="仿宋" w:eastAsia="仿宋"/>
          <w:b w:val="0"/>
          <w:spacing w:val="-4"/>
          <w:sz w:val="32"/>
          <w:szCs w:val="32"/>
        </w:rPr>
        <w:t>属专项经费，主要用于</w:t>
      </w:r>
      <w:r>
        <w:rPr>
          <w:rStyle w:val="19"/>
          <w:rFonts w:hint="eastAsia" w:ascii="仿宋" w:hAnsi="仿宋" w:eastAsia="仿宋"/>
          <w:b w:val="0"/>
          <w:spacing w:val="-4"/>
          <w:sz w:val="32"/>
          <w:szCs w:val="32"/>
          <w:lang w:eastAsia="zh-CN"/>
        </w:rPr>
        <w:t>购置安装电子警察</w:t>
      </w:r>
      <w:r>
        <w:rPr>
          <w:rStyle w:val="19"/>
          <w:rFonts w:hint="eastAsia" w:ascii="仿宋" w:hAnsi="仿宋" w:eastAsia="仿宋"/>
          <w:b w:val="0"/>
          <w:spacing w:val="-4"/>
          <w:sz w:val="32"/>
          <w:szCs w:val="32"/>
        </w:rPr>
        <w:t>。由本单位自行组织实施。实施过程</w:t>
      </w:r>
      <w:r>
        <w:rPr>
          <w:rFonts w:hint="eastAsia" w:ascii="仿宋" w:hAnsi="仿宋" w:eastAsia="仿宋"/>
          <w:spacing w:val="-4"/>
          <w:sz w:val="32"/>
          <w:szCs w:val="32"/>
        </w:rPr>
        <w:t>根据采购管理办法办理政府采购手续我局资金使用严格执行我局各项规章制度，资金落实到位，不拖欠，不做项目外的其他支出。2018年项目资金无调整情况。</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w:t>
      </w:r>
      <w:r>
        <w:rPr>
          <w:rStyle w:val="19"/>
          <w:rFonts w:hint="eastAsia" w:ascii="仿宋" w:hAnsi="仿宋" w:eastAsia="仿宋"/>
          <w:b w:val="0"/>
          <w:spacing w:val="-4"/>
          <w:sz w:val="32"/>
          <w:szCs w:val="32"/>
        </w:rPr>
        <w:t>项目管理制度建设：</w:t>
      </w:r>
      <w:r>
        <w:rPr>
          <w:rFonts w:hint="eastAsia" w:ascii="仿宋" w:hAnsi="仿宋" w:eastAsia="仿宋"/>
          <w:spacing w:val="-4"/>
          <w:sz w:val="32"/>
          <w:szCs w:val="32"/>
        </w:rPr>
        <w:t>按照公安厅及上级部门制订的相关财务制度，我局也根据单位的实际情况制定了切实可行的《财务管理制度》、《财务岗位职责》《差旅费报销制度》等会计制度，及时学习更新相关规定，根据内部管理的需要，明确了工作岗位职责和权限。</w:t>
      </w:r>
      <w:bookmarkStart w:id="0" w:name="_GoBack"/>
      <w:bookmarkEnd w:id="0"/>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2</w:t>
      </w:r>
      <w:r>
        <w:rPr>
          <w:rFonts w:hint="eastAsia" w:ascii="仿宋" w:hAnsi="仿宋" w:eastAsia="仿宋"/>
          <w:spacing w:val="-4"/>
          <w:sz w:val="32"/>
          <w:szCs w:val="32"/>
        </w:rPr>
        <w:t>、</w:t>
      </w:r>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本项目共设置一级指标3个、二级指标9个、三级指标10个指标。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10</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spacing w:after="0" w:line="540" w:lineRule="exact"/>
        <w:ind w:firstLine="627" w:firstLineChars="200"/>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lang w:val="en-US" w:eastAsia="zh-CN"/>
        </w:rPr>
        <w:t>1、</w:t>
      </w:r>
      <w:r>
        <w:rPr>
          <w:rStyle w:val="19"/>
          <w:rFonts w:hint="eastAsia" w:ascii="仿宋" w:hAnsi="仿宋" w:eastAsia="仿宋"/>
          <w:b/>
          <w:bCs w:val="0"/>
          <w:spacing w:val="-4"/>
          <w:sz w:val="32"/>
          <w:szCs w:val="32"/>
          <w:highlight w:val="none"/>
        </w:rPr>
        <w:t>产出指标完成情况分析。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（1）项目完成数量。购置金额电子警察50万元，完成率100%。</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（2）项目完成质量。惩处违章车辆案件率100%，完成率100%。</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（3）项目时效。资金执行率100%，完成率100%。</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（4）项目成本。上级专项资金金额50万元，完成率100%。</w:t>
      </w:r>
    </w:p>
    <w:p>
      <w:pPr>
        <w:keepNext w:val="0"/>
        <w:keepLines w:val="0"/>
        <w:pageBreakBefore w:val="0"/>
        <w:widowControl w:val="0"/>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color w:val="000000" w:themeColor="text1"/>
          <w:spacing w:val="-4"/>
          <w:sz w:val="32"/>
          <w:szCs w:val="32"/>
        </w:rPr>
      </w:pPr>
      <w:r>
        <w:rPr>
          <w:rStyle w:val="19"/>
          <w:rFonts w:hint="eastAsia" w:ascii="仿宋" w:hAnsi="仿宋" w:eastAsia="仿宋"/>
          <w:b/>
          <w:bCs w:val="0"/>
          <w:color w:val="000000" w:themeColor="text1"/>
          <w:spacing w:val="-4"/>
          <w:sz w:val="32"/>
          <w:szCs w:val="32"/>
          <w:lang w:val="en-US" w:eastAsia="zh-CN"/>
        </w:rPr>
        <w:t>2</w:t>
      </w:r>
      <w:r>
        <w:rPr>
          <w:rStyle w:val="19"/>
          <w:rFonts w:hint="eastAsia" w:ascii="仿宋" w:hAnsi="仿宋" w:eastAsia="仿宋"/>
          <w:b/>
          <w:bCs w:val="0"/>
          <w:color w:val="000000" w:themeColor="text1"/>
          <w:spacing w:val="-4"/>
          <w:sz w:val="32"/>
          <w:szCs w:val="32"/>
        </w:rPr>
        <w:t>.效益</w:t>
      </w:r>
      <w:r>
        <w:rPr>
          <w:rStyle w:val="19"/>
          <w:rFonts w:hint="eastAsia" w:ascii="仿宋" w:hAnsi="仿宋" w:eastAsia="仿宋"/>
          <w:b/>
          <w:bCs w:val="0"/>
          <w:spacing w:val="-4"/>
          <w:sz w:val="32"/>
          <w:szCs w:val="32"/>
          <w:highlight w:val="none"/>
        </w:rPr>
        <w:t>指</w:t>
      </w:r>
      <w:r>
        <w:rPr>
          <w:rStyle w:val="19"/>
          <w:rFonts w:hint="eastAsia" w:ascii="仿宋" w:hAnsi="仿宋" w:eastAsia="仿宋"/>
          <w:b/>
          <w:bCs w:val="0"/>
          <w:color w:val="000000" w:themeColor="text1"/>
          <w:spacing w:val="-4"/>
          <w:sz w:val="32"/>
          <w:szCs w:val="32"/>
        </w:rPr>
        <w:t>标完成情况</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w:t>
      </w:r>
      <w:r>
        <w:rPr>
          <w:rFonts w:hint="eastAsia" w:ascii="仿宋" w:hAnsi="仿宋" w:eastAsia="仿宋" w:cs="仿宋"/>
          <w:b w:val="0"/>
          <w:bCs/>
          <w:color w:val="auto"/>
          <w:kern w:val="0"/>
          <w:sz w:val="32"/>
          <w:szCs w:val="32"/>
          <w:lang w:eastAsia="zh-CN"/>
        </w:rPr>
        <w:t>项目实施的社会效益指标。</w:t>
      </w:r>
      <w:r>
        <w:rPr>
          <w:rStyle w:val="19"/>
          <w:rFonts w:hint="eastAsia" w:ascii="仿宋" w:hAnsi="仿宋" w:eastAsia="仿宋"/>
          <w:b w:val="0"/>
          <w:spacing w:val="-4"/>
          <w:sz w:val="32"/>
          <w:szCs w:val="32"/>
          <w:lang w:val="en-US" w:eastAsia="zh-CN"/>
        </w:rPr>
        <w:t>道路交通事故查缉率100%，分析交通状况，加强道路交通管理，维护道路秩序畅通、安全。</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（2）项目实施的可持续影响分析。长期维护社会面管控，已完成该项目指标，完成率100%。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spacing w:line="600" w:lineRule="exact"/>
        <w:ind w:firstLine="611" w:firstLineChars="196"/>
        <w:jc w:val="left"/>
        <w:rPr>
          <w:rFonts w:hint="eastAsia" w:ascii="仿宋" w:hAnsi="仿宋" w:eastAsia="仿宋" w:cs="仿宋"/>
          <w:b w:val="0"/>
          <w:bCs/>
          <w:color w:val="auto"/>
          <w:kern w:val="0"/>
          <w:sz w:val="32"/>
          <w:szCs w:val="32"/>
          <w:lang w:val="en-US" w:eastAsia="zh-CN"/>
        </w:rPr>
      </w:pPr>
      <w:r>
        <w:rPr>
          <w:rStyle w:val="19"/>
          <w:rFonts w:hint="eastAsia" w:ascii="仿宋" w:hAnsi="仿宋" w:eastAsia="仿宋"/>
          <w:b w:val="0"/>
          <w:spacing w:val="-4"/>
          <w:sz w:val="32"/>
          <w:szCs w:val="32"/>
          <w:lang w:val="en-US" w:eastAsia="zh-CN"/>
        </w:rPr>
        <w:t>该项目指标全部完成，预计维护社会面稳定群众满意度＞</w:t>
      </w:r>
      <w:r>
        <w:rPr>
          <w:rFonts w:hint="eastAsia" w:ascii="仿宋" w:hAnsi="仿宋" w:eastAsia="仿宋" w:cs="仿宋"/>
          <w:b w:val="0"/>
          <w:bCs/>
          <w:color w:val="auto"/>
          <w:kern w:val="0"/>
          <w:sz w:val="32"/>
          <w:szCs w:val="32"/>
          <w:lang w:eastAsia="zh-CN"/>
        </w:rPr>
        <w:t>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eastAsia="zh-CN"/>
        </w:rPr>
      </w:pPr>
      <w:r>
        <w:rPr>
          <w:rFonts w:hint="eastAsia" w:ascii="方正仿宋_GBK" w:hAnsi="方正仿宋_GBK" w:eastAsia="方正仿宋_GBK" w:cs="方正仿宋_GBK"/>
          <w:b/>
          <w:bCs/>
          <w:sz w:val="32"/>
          <w:szCs w:val="32"/>
          <w:highlight w:val="none"/>
          <w:lang w:eastAsia="zh-CN"/>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（三）预算执行进度与绩效指标偏差分析。</w:t>
      </w:r>
    </w:p>
    <w:p>
      <w:pPr>
        <w:keepNext w:val="0"/>
        <w:keepLines w:val="0"/>
        <w:pageBreakBefore w:val="0"/>
        <w:widowControl w:val="0"/>
        <w:numPr>
          <w:ilvl w:val="0"/>
          <w:numId w:val="0"/>
        </w:numPr>
        <w:kinsoku/>
        <w:wordWrap/>
        <w:overflowPunct/>
        <w:topLinePunct w:val="0"/>
        <w:autoSpaceDE/>
        <w:autoSpaceDN/>
        <w:bidi w:val="0"/>
        <w:adjustRightInd w:val="0"/>
        <w:spacing w:line="600" w:lineRule="exact"/>
        <w:ind w:right="0" w:rightChars="0" w:firstLine="640" w:firstLineChars="200"/>
        <w:textAlignment w:val="auto"/>
        <w:rPr>
          <w:rFonts w:hint="eastAsia"/>
          <w:lang w:val="en-US" w:eastAsia="zh-CN"/>
        </w:rPr>
      </w:pPr>
      <w:r>
        <w:rPr>
          <w:rFonts w:hint="eastAsia" w:ascii="仿宋" w:hAnsi="仿宋" w:eastAsia="仿宋" w:cs="仿宋"/>
          <w:b w:val="0"/>
          <w:bCs w:val="0"/>
          <w:kern w:val="2"/>
          <w:sz w:val="32"/>
          <w:szCs w:val="32"/>
          <w:highlight w:val="none"/>
          <w:lang w:val="en-US" w:eastAsia="zh-CN" w:bidi="ar-SA"/>
        </w:rPr>
        <w:t>该项目预算执行进度与绩效指标总体完成率无偏差。</w:t>
      </w:r>
    </w:p>
    <w:p>
      <w:pPr>
        <w:spacing w:line="540" w:lineRule="exact"/>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Style w:val="19"/>
          <w:rFonts w:hint="eastAsia" w:ascii="仿宋" w:hAnsi="仿宋" w:eastAsia="仿宋"/>
          <w:b w:val="0"/>
          <w:spacing w:val="-4"/>
          <w:sz w:val="32"/>
          <w:szCs w:val="32"/>
        </w:rPr>
        <w:t>学习更新相关规定，根据内部管理的需要，明确工作岗位职责和权限</w:t>
      </w:r>
      <w:r>
        <w:rPr>
          <w:rStyle w:val="19"/>
          <w:rFonts w:hint="eastAsia" w:ascii="仿宋" w:hAnsi="仿宋" w:eastAsia="仿宋"/>
          <w:b w:val="0"/>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毒品违法犯罪行为，保护了公民身心健康，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936" w:firstLineChars="300"/>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随者社会的发展、经济水平的发展以及公安业务发展的需要，用于（办案）业务经费和装备经费的开支呈现刚性增长，实际上级资金拨付较少，造成了该部分资金紧张。</w:t>
      </w:r>
    </w:p>
    <w:p>
      <w:pPr>
        <w:keepNext w:val="0"/>
        <w:keepLines w:val="0"/>
        <w:pageBreakBefore w:val="0"/>
        <w:widowControl w:val="0"/>
        <w:numPr>
          <w:ilvl w:val="0"/>
          <w:numId w:val="1"/>
        </w:numPr>
        <w:kinsoku/>
        <w:wordWrap/>
        <w:overflowPunct/>
        <w:topLinePunct w:val="0"/>
        <w:autoSpaceDE/>
        <w:autoSpaceDN/>
        <w:bidi w:val="0"/>
        <w:adjustRightInd w:val="0"/>
        <w:snapToGrid w:val="0"/>
        <w:spacing w:line="540" w:lineRule="exact"/>
        <w:ind w:left="0" w:leftChars="0" w:firstLine="624" w:firstLineChars="200"/>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建议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Chars="200"/>
        <w:textAlignment w:val="auto"/>
        <w:outlineLvl w:val="9"/>
        <w:rPr>
          <w:rFonts w:hint="eastAsia" w:ascii="仿宋" w:hAnsi="仿宋" w:eastAsia="仿宋"/>
          <w:spacing w:val="-4"/>
          <w:sz w:val="32"/>
          <w:szCs w:val="32"/>
        </w:rPr>
      </w:pPr>
      <w:r>
        <w:rPr>
          <w:rStyle w:val="19"/>
          <w:rFonts w:hint="eastAsia" w:ascii="仿宋" w:hAnsi="仿宋" w:eastAsia="仿宋"/>
          <w:b w:val="0"/>
          <w:spacing w:val="-4"/>
          <w:sz w:val="32"/>
          <w:szCs w:val="32"/>
          <w:lang w:val="en-US" w:eastAsia="zh-CN"/>
        </w:rPr>
        <w:t xml:space="preserve">    加大公安装备投入，提高公安装备的科技含量，提升公安机关的战斗力。最终达到公安装备在各项公安工作中“人尽其才，物尽其用”的目的。</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无其他说明内容</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项目资金管理过程规范，程序到位，完成了预期绩效目标，群众满意，社会反响好。取得了巨大的社会效益</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tbl>
      <w:tblPr>
        <w:tblStyle w:val="17"/>
        <w:tblW w:w="9596" w:type="dxa"/>
        <w:tblInd w:w="93" w:type="dxa"/>
        <w:tblLayout w:type="fixed"/>
        <w:tblCellMar>
          <w:top w:w="0" w:type="dxa"/>
          <w:left w:w="108" w:type="dxa"/>
          <w:bottom w:w="0" w:type="dxa"/>
          <w:right w:w="108" w:type="dxa"/>
        </w:tblCellMar>
      </w:tblPr>
      <w:tblGrid>
        <w:gridCol w:w="720"/>
        <w:gridCol w:w="1300"/>
        <w:gridCol w:w="1400"/>
        <w:gridCol w:w="620"/>
        <w:gridCol w:w="1353"/>
        <w:gridCol w:w="1707"/>
        <w:gridCol w:w="2496"/>
      </w:tblGrid>
      <w:tr>
        <w:tblPrEx>
          <w:tblLayout w:type="fixed"/>
          <w:tblCellMar>
            <w:top w:w="0" w:type="dxa"/>
            <w:left w:w="108" w:type="dxa"/>
            <w:bottom w:w="0" w:type="dxa"/>
            <w:right w:w="108" w:type="dxa"/>
          </w:tblCellMar>
        </w:tblPrEx>
        <w:trPr>
          <w:trHeight w:val="285" w:hRule="atLeast"/>
        </w:trPr>
        <w:tc>
          <w:tcPr>
            <w:tcW w:w="9596"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596"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53"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707"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496"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61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塔西河乡道路安装电子警察资金</w:t>
            </w: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61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19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50</w:t>
            </w:r>
          </w:p>
        </w:tc>
        <w:tc>
          <w:tcPr>
            <w:tcW w:w="17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执行数：</w:t>
            </w:r>
          </w:p>
        </w:tc>
        <w:tc>
          <w:tcPr>
            <w:tcW w:w="249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50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19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50</w:t>
            </w:r>
          </w:p>
        </w:tc>
        <w:tc>
          <w:tcPr>
            <w:tcW w:w="17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49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50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19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7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49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4673"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420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673"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24"/>
                <w:lang w:eastAsia="zh-CN"/>
              </w:rPr>
            </w:pPr>
            <w:r>
              <w:rPr>
                <w:rFonts w:hint="eastAsia" w:ascii="宋体" w:hAnsi="宋体" w:cs="宋体"/>
                <w:kern w:val="0"/>
                <w:sz w:val="24"/>
                <w:lang w:eastAsia="zh-CN"/>
              </w:rPr>
              <w:t>减少交通事故，维护道路安全，维持道路秩序，从而维护社会稳定，减少道路违法行为</w:t>
            </w:r>
          </w:p>
          <w:p>
            <w:pPr>
              <w:widowControl/>
              <w:jc w:val="left"/>
              <w:rPr>
                <w:rFonts w:hint="eastAsia" w:ascii="宋体" w:hAnsi="宋体" w:eastAsia="宋体" w:cs="宋体"/>
                <w:kern w:val="0"/>
                <w:sz w:val="24"/>
                <w:lang w:eastAsia="zh-CN"/>
              </w:rPr>
            </w:pPr>
          </w:p>
        </w:tc>
        <w:tc>
          <w:tcPr>
            <w:tcW w:w="4203"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24"/>
                <w:lang w:eastAsia="zh-CN"/>
              </w:rPr>
            </w:pPr>
            <w:r>
              <w:rPr>
                <w:rFonts w:hint="eastAsia" w:ascii="宋体" w:hAnsi="宋体" w:cs="宋体"/>
                <w:kern w:val="0"/>
                <w:sz w:val="24"/>
                <w:lang w:eastAsia="zh-CN"/>
              </w:rPr>
              <w:t>减少交通事故，维护道路安全，维持道路秩序，从而维护社会稳定，减少道路违法行为</w:t>
            </w:r>
          </w:p>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73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673"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4203"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312"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673"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4203"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870" w:hRule="atLeast"/>
        </w:trPr>
        <w:tc>
          <w:tcPr>
            <w:tcW w:w="72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19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7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预期指标值（包含数字及文字描述）</w:t>
            </w:r>
          </w:p>
        </w:tc>
        <w:tc>
          <w:tcPr>
            <w:tcW w:w="24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实际完成指标值（包含数字及文字描述）</w:t>
            </w:r>
          </w:p>
        </w:tc>
      </w:tr>
      <w:tr>
        <w:tblPrEx>
          <w:tblLayout w:type="fixed"/>
          <w:tblCellMar>
            <w:top w:w="0" w:type="dxa"/>
            <w:left w:w="108" w:type="dxa"/>
            <w:bottom w:w="0" w:type="dxa"/>
            <w:right w:w="108" w:type="dxa"/>
          </w:tblCellMar>
        </w:tblPrEx>
        <w:trPr>
          <w:trHeight w:val="319"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项目完成指标</w:t>
            </w:r>
          </w:p>
        </w:tc>
        <w:tc>
          <w:tcPr>
            <w:tcW w:w="14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19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rPr>
              <w:t>购置金额</w:t>
            </w:r>
            <w:r>
              <w:rPr>
                <w:rFonts w:hint="eastAsia" w:ascii="宋体" w:hAnsi="宋体" w:cs="宋体"/>
                <w:kern w:val="0"/>
                <w:sz w:val="24"/>
                <w:lang w:eastAsia="zh-CN"/>
              </w:rPr>
              <w:t>电子警察</w:t>
            </w:r>
          </w:p>
        </w:tc>
        <w:tc>
          <w:tcPr>
            <w:tcW w:w="1707"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50</w:t>
            </w:r>
          </w:p>
        </w:tc>
        <w:tc>
          <w:tcPr>
            <w:tcW w:w="24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50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19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惩处违章车辆案件率</w:t>
            </w:r>
            <w:r>
              <w:rPr>
                <w:rFonts w:hint="eastAsia" w:ascii="宋体" w:hAnsi="宋体" w:cs="宋体"/>
                <w:kern w:val="0"/>
                <w:sz w:val="24"/>
              </w:rPr>
              <w:t xml:space="preserve"> </w:t>
            </w:r>
          </w:p>
        </w:tc>
        <w:tc>
          <w:tcPr>
            <w:tcW w:w="17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c>
          <w:tcPr>
            <w:tcW w:w="24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r>
      <w:tr>
        <w:tblPrEx>
          <w:tblLayout w:type="fixed"/>
          <w:tblCellMar>
            <w:top w:w="0" w:type="dxa"/>
            <w:left w:w="108" w:type="dxa"/>
            <w:bottom w:w="0" w:type="dxa"/>
            <w:right w:w="108" w:type="dxa"/>
          </w:tblCellMar>
        </w:tblPrEx>
        <w:trPr>
          <w:trHeight w:val="502"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19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资金执行率</w:t>
            </w:r>
          </w:p>
        </w:tc>
        <w:tc>
          <w:tcPr>
            <w:tcW w:w="17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c>
          <w:tcPr>
            <w:tcW w:w="24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r>
      <w:tr>
        <w:tblPrEx>
          <w:tblLayout w:type="fixed"/>
          <w:tblCellMar>
            <w:top w:w="0" w:type="dxa"/>
            <w:left w:w="108" w:type="dxa"/>
            <w:bottom w:w="0" w:type="dxa"/>
            <w:right w:w="108" w:type="dxa"/>
          </w:tblCellMar>
        </w:tblPrEx>
        <w:trPr>
          <w:trHeight w:val="728"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9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上级专项资金</w:t>
            </w:r>
          </w:p>
        </w:tc>
        <w:tc>
          <w:tcPr>
            <w:tcW w:w="1707"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50</w:t>
            </w:r>
          </w:p>
        </w:tc>
        <w:tc>
          <w:tcPr>
            <w:tcW w:w="249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50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19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17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4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11"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19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道路交通事故查缉率</w:t>
            </w:r>
          </w:p>
        </w:tc>
        <w:tc>
          <w:tcPr>
            <w:tcW w:w="17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c>
          <w:tcPr>
            <w:tcW w:w="24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r>
      <w:tr>
        <w:tblPrEx>
          <w:tblLayout w:type="fixed"/>
          <w:tblCellMar>
            <w:top w:w="0" w:type="dxa"/>
            <w:left w:w="108" w:type="dxa"/>
            <w:bottom w:w="0" w:type="dxa"/>
            <w:right w:w="108" w:type="dxa"/>
          </w:tblCellMar>
        </w:tblPrEx>
        <w:trPr>
          <w:trHeight w:val="391"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9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分析交通状况，加强道路交通管理</w:t>
            </w:r>
          </w:p>
        </w:tc>
        <w:tc>
          <w:tcPr>
            <w:tcW w:w="17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维护</w:t>
            </w:r>
            <w:r>
              <w:rPr>
                <w:rFonts w:hint="eastAsia" w:ascii="宋体" w:hAnsi="宋体" w:cs="宋体"/>
                <w:kern w:val="0"/>
                <w:sz w:val="24"/>
                <w:lang w:eastAsia="zh-CN"/>
              </w:rPr>
              <w:t>道路秩序畅通、安全</w:t>
            </w:r>
          </w:p>
        </w:tc>
        <w:tc>
          <w:tcPr>
            <w:tcW w:w="24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维护</w:t>
            </w:r>
            <w:r>
              <w:rPr>
                <w:rFonts w:hint="eastAsia" w:ascii="宋体" w:hAnsi="宋体" w:cs="宋体"/>
                <w:kern w:val="0"/>
                <w:sz w:val="24"/>
                <w:lang w:eastAsia="zh-CN"/>
              </w:rPr>
              <w:t>道路秩序畅通、安全</w:t>
            </w:r>
          </w:p>
        </w:tc>
      </w:tr>
      <w:tr>
        <w:tblPrEx>
          <w:tblLayout w:type="fixed"/>
          <w:tblCellMar>
            <w:top w:w="0" w:type="dxa"/>
            <w:left w:w="108" w:type="dxa"/>
            <w:bottom w:w="0" w:type="dxa"/>
            <w:right w:w="108" w:type="dxa"/>
          </w:tblCellMar>
        </w:tblPrEx>
        <w:trPr>
          <w:trHeight w:val="499"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生态效益指标</w:t>
            </w:r>
          </w:p>
        </w:tc>
        <w:tc>
          <w:tcPr>
            <w:tcW w:w="19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17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4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37"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19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 xml:space="preserve"> 社会面管控</w:t>
            </w:r>
          </w:p>
        </w:tc>
        <w:tc>
          <w:tcPr>
            <w:tcW w:w="170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val="en-US" w:eastAsia="zh-CN"/>
              </w:rPr>
              <w:t>长期</w:t>
            </w:r>
          </w:p>
        </w:tc>
        <w:tc>
          <w:tcPr>
            <w:tcW w:w="249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val="en-US" w:eastAsia="zh-CN"/>
              </w:rPr>
              <w:t>长期</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9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rPr>
              <w:t xml:space="preserve"> </w:t>
            </w:r>
            <w:r>
              <w:rPr>
                <w:rFonts w:hint="eastAsia" w:ascii="宋体" w:hAnsi="宋体" w:cs="宋体"/>
                <w:kern w:val="0"/>
                <w:sz w:val="24"/>
                <w:lang w:eastAsia="zh-CN"/>
              </w:rPr>
              <w:t>有效打击道路交通肇事逃逸，盗抢案件，提升群众满意度</w:t>
            </w:r>
          </w:p>
        </w:tc>
        <w:tc>
          <w:tcPr>
            <w:tcW w:w="17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c>
          <w:tcPr>
            <w:tcW w:w="24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EBE7F92-907B-4AEE-A3A3-6AF03A54C0E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3F393B00-2C39-4CB6-9C3B-1EE29832B0C2}"/>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43DB738-1937-40D2-B683-D052D081B1C5}"/>
  </w:font>
  <w:font w:name="华文中宋">
    <w:altName w:val="微软雅黑"/>
    <w:panose1 w:val="02010600040101010101"/>
    <w:charset w:val="86"/>
    <w:family w:val="auto"/>
    <w:pitch w:val="default"/>
    <w:sig w:usb0="00000000" w:usb1="00000000" w:usb2="00000010" w:usb3="00000000" w:csb0="0004009F" w:csb1="00000000"/>
    <w:embedRegular r:id="rId4" w:fontKey="{B57CD81A-562D-4C41-875E-27F146BE8304}"/>
  </w:font>
  <w:font w:name="方正小标宋_GBK">
    <w:panose1 w:val="02000000000000000000"/>
    <w:charset w:val="86"/>
    <w:family w:val="script"/>
    <w:pitch w:val="default"/>
    <w:sig w:usb0="00000000" w:usb1="00000000" w:usb2="00000000" w:usb3="00000000" w:csb0="00000000" w:csb1="00000000"/>
    <w:embedRegular r:id="rId5" w:fontKey="{947AC6F2-0FA8-4CCA-A98D-5E94AA4F1E16}"/>
  </w:font>
  <w:font w:name="仿宋_GB2312">
    <w:altName w:val="仿宋"/>
    <w:panose1 w:val="00000000000000000000"/>
    <w:charset w:val="86"/>
    <w:family w:val="modern"/>
    <w:pitch w:val="default"/>
    <w:sig w:usb0="00000000" w:usb1="00000000" w:usb2="00000010" w:usb3="00000000" w:csb0="00040000" w:csb1="00000000"/>
    <w:embedRegular r:id="rId6" w:fontKey="{05DD41DF-60BD-4C05-8849-B436213F9671}"/>
  </w:font>
  <w:font w:name="楷体">
    <w:panose1 w:val="02010609060101010101"/>
    <w:charset w:val="86"/>
    <w:family w:val="modern"/>
    <w:pitch w:val="default"/>
    <w:sig w:usb0="800002BF" w:usb1="38CF7CFA" w:usb2="00000016" w:usb3="00000000" w:csb0="00040001" w:csb1="00000000"/>
    <w:embedRegular r:id="rId7" w:fontKey="{8584EED7-4ED6-4544-80C7-F05C5606E5E5}"/>
  </w:font>
  <w:font w:name="方正仿宋_GBK">
    <w:altName w:val="宋体"/>
    <w:panose1 w:val="03000509000000000000"/>
    <w:charset w:val="86"/>
    <w:family w:val="script"/>
    <w:pitch w:val="default"/>
    <w:sig w:usb0="00000000" w:usb1="00000000" w:usb2="00000000" w:usb3="00000000" w:csb0="00040000" w:csb1="00000000"/>
    <w:embedRegular r:id="rId8" w:fontKey="{5D21826D-2CC3-4525-90E5-8FABE8AF8BC7}"/>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821177"/>
    <w:multiLevelType w:val="singleLevel"/>
    <w:tmpl w:val="9082117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TrueTypeFonts/>
  <w:saveSubset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B213D"/>
    <w:rsid w:val="000B63E1"/>
    <w:rsid w:val="000E0F39"/>
    <w:rsid w:val="000E7402"/>
    <w:rsid w:val="00121AE4"/>
    <w:rsid w:val="00146AAD"/>
    <w:rsid w:val="001B3A40"/>
    <w:rsid w:val="002977E8"/>
    <w:rsid w:val="003337E0"/>
    <w:rsid w:val="003422CC"/>
    <w:rsid w:val="00351685"/>
    <w:rsid w:val="00364E0B"/>
    <w:rsid w:val="003B13D3"/>
    <w:rsid w:val="003C18BC"/>
    <w:rsid w:val="004366A8"/>
    <w:rsid w:val="00464900"/>
    <w:rsid w:val="00502BA7"/>
    <w:rsid w:val="005162F1"/>
    <w:rsid w:val="00535153"/>
    <w:rsid w:val="00542434"/>
    <w:rsid w:val="00554F82"/>
    <w:rsid w:val="0056390D"/>
    <w:rsid w:val="005719B0"/>
    <w:rsid w:val="005C50AE"/>
    <w:rsid w:val="005D10D6"/>
    <w:rsid w:val="006F709F"/>
    <w:rsid w:val="00722C22"/>
    <w:rsid w:val="007806A5"/>
    <w:rsid w:val="007A3794"/>
    <w:rsid w:val="007A7588"/>
    <w:rsid w:val="007C5E51"/>
    <w:rsid w:val="007D1D4C"/>
    <w:rsid w:val="007F7BED"/>
    <w:rsid w:val="00855E3A"/>
    <w:rsid w:val="008858F2"/>
    <w:rsid w:val="008D24C5"/>
    <w:rsid w:val="008F7A1D"/>
    <w:rsid w:val="00922CB9"/>
    <w:rsid w:val="00996504"/>
    <w:rsid w:val="009C4E03"/>
    <w:rsid w:val="009E5CD9"/>
    <w:rsid w:val="009F4AB5"/>
    <w:rsid w:val="00A133D0"/>
    <w:rsid w:val="00A26421"/>
    <w:rsid w:val="00A337BA"/>
    <w:rsid w:val="00A4293B"/>
    <w:rsid w:val="00A67D50"/>
    <w:rsid w:val="00A8691A"/>
    <w:rsid w:val="00AA2202"/>
    <w:rsid w:val="00AC1946"/>
    <w:rsid w:val="00AF2231"/>
    <w:rsid w:val="00B40063"/>
    <w:rsid w:val="00B41F61"/>
    <w:rsid w:val="00B60449"/>
    <w:rsid w:val="00B65FCB"/>
    <w:rsid w:val="00BA46E6"/>
    <w:rsid w:val="00C042BC"/>
    <w:rsid w:val="00C56C72"/>
    <w:rsid w:val="00CA6457"/>
    <w:rsid w:val="00CC4FD7"/>
    <w:rsid w:val="00D17F2E"/>
    <w:rsid w:val="00D209D1"/>
    <w:rsid w:val="00D2223F"/>
    <w:rsid w:val="00D30354"/>
    <w:rsid w:val="00D82C00"/>
    <w:rsid w:val="00DF42A0"/>
    <w:rsid w:val="00E0665E"/>
    <w:rsid w:val="00E46C51"/>
    <w:rsid w:val="00E769FE"/>
    <w:rsid w:val="00E95581"/>
    <w:rsid w:val="00EA2CBE"/>
    <w:rsid w:val="00EE7710"/>
    <w:rsid w:val="00EF2659"/>
    <w:rsid w:val="00F04F7A"/>
    <w:rsid w:val="00F2607F"/>
    <w:rsid w:val="00F32FEE"/>
    <w:rsid w:val="00F51E2C"/>
    <w:rsid w:val="00FB10BB"/>
    <w:rsid w:val="00FD0AD7"/>
    <w:rsid w:val="16163968"/>
    <w:rsid w:val="1BAF17CE"/>
    <w:rsid w:val="1CEC1467"/>
    <w:rsid w:val="20311116"/>
    <w:rsid w:val="29DF732F"/>
    <w:rsid w:val="2D016172"/>
    <w:rsid w:val="3AF96BEA"/>
    <w:rsid w:val="3FA125DF"/>
    <w:rsid w:val="3FBC556A"/>
    <w:rsid w:val="553C40C4"/>
    <w:rsid w:val="60C21B1C"/>
    <w:rsid w:val="63C42FF6"/>
    <w:rsid w:val="64F112DD"/>
    <w:rsid w:val="6886225D"/>
    <w:rsid w:val="6FA46CF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349</Words>
  <Characters>1992</Characters>
  <Lines>16</Lines>
  <Paragraphs>4</Paragraphs>
  <TotalTime>0</TotalTime>
  <ScaleCrop>false</ScaleCrop>
  <LinksUpToDate>false</LinksUpToDate>
  <CharactersWithSpaces>2337</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2019-10-25T12:52:19Z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