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项目名称：指挥中心业务用房建设项目</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实施单位（公章）：玛纳斯县公安局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9年1月15日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624" w:firstLineChars="200"/>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主要职能：（1）、保持严打高压，继续深化对敌斗争；（2）、坚持多措并举，强化社会治安防控；（3）、坚持综合施策，强化行政服务管理；（4）、深化四项建设，打牢公安基层基础</w:t>
      </w:r>
    </w:p>
    <w:p>
      <w:pPr>
        <w:spacing w:line="540" w:lineRule="exact"/>
        <w:ind w:firstLine="624" w:firstLineChars="200"/>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机构情况：我单位机构数1个、共有职能部门30个。</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（二）项目预算绩效目标设定情况</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预期目标及阶段性目标</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减少违反犯罪事件，及时监控全县各地，预防严重违法犯罪事故发生，改善办公环境，从而提高办公效率，提高接警处置效率，充分发挥公安职能，维护社会稳定</w:t>
      </w:r>
      <w:r>
        <w:rPr>
          <w:rStyle w:val="19"/>
          <w:rFonts w:hint="eastAsia" w:ascii="仿宋" w:hAnsi="仿宋" w:eastAsia="仿宋"/>
          <w:b w:val="0"/>
          <w:spacing w:val="-4"/>
          <w:sz w:val="32"/>
          <w:szCs w:val="32"/>
          <w:lang w:eastAsia="zh-CN"/>
        </w:rPr>
        <w:t>。</w:t>
      </w:r>
    </w:p>
    <w:p>
      <w:pPr>
        <w:spacing w:line="540" w:lineRule="exact"/>
        <w:ind w:firstLine="624" w:firstLineChars="200"/>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项目基本性质、用途和主要内容、涉及范围</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经费主要用于我局指挥中心业务用房项目建设项目工程款及前期费用</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highlight w:val="none"/>
          <w:lang w:val="en-US" w:eastAsia="zh-CN"/>
        </w:rPr>
        <w:t>本项目共设置一级指标3个、二级指标9个、三级指标12个指标。</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eastAsia="zh-CN"/>
        </w:rPr>
        <w:t>玛纳斯县公安局指挥中心业务用房建设项目</w:t>
      </w:r>
      <w:r>
        <w:rPr>
          <w:rStyle w:val="19"/>
          <w:rFonts w:hint="eastAsia" w:ascii="仿宋" w:hAnsi="仿宋" w:eastAsia="仿宋"/>
          <w:b w:val="0"/>
          <w:spacing w:val="-4"/>
          <w:sz w:val="32"/>
          <w:szCs w:val="32"/>
          <w:lang w:val="en-US" w:eastAsia="zh-CN"/>
        </w:rPr>
        <w:t>2018年安排总金额</w:t>
      </w:r>
      <w:r>
        <w:rPr>
          <w:rStyle w:val="19"/>
          <w:rFonts w:hint="eastAsia" w:ascii="仿宋" w:hAnsi="仿宋" w:eastAsia="仿宋"/>
          <w:b w:val="0"/>
          <w:spacing w:val="-4"/>
          <w:sz w:val="32"/>
          <w:szCs w:val="32"/>
        </w:rPr>
        <w:t>241</w:t>
      </w:r>
      <w:r>
        <w:rPr>
          <w:rStyle w:val="19"/>
          <w:rFonts w:hint="eastAsia" w:ascii="仿宋" w:hAnsi="仿宋" w:eastAsia="仿宋"/>
          <w:b w:val="0"/>
          <w:spacing w:val="-4"/>
          <w:sz w:val="32"/>
          <w:szCs w:val="32"/>
          <w:lang w:val="en-US" w:eastAsia="zh-CN"/>
        </w:rPr>
        <w:t>万元。项目资金为</w:t>
      </w:r>
      <w:r>
        <w:rPr>
          <w:rStyle w:val="19"/>
          <w:rFonts w:hint="eastAsia" w:ascii="仿宋" w:hAnsi="仿宋" w:eastAsia="仿宋"/>
          <w:b w:val="0"/>
          <w:bCs/>
          <w:spacing w:val="-4"/>
          <w:sz w:val="32"/>
          <w:szCs w:val="32"/>
          <w:lang w:val="en-US" w:eastAsia="zh-CN"/>
        </w:rPr>
        <w:t>上级</w:t>
      </w:r>
      <w:r>
        <w:rPr>
          <w:rStyle w:val="19"/>
          <w:rFonts w:hint="eastAsia" w:ascii="仿宋" w:hAnsi="仿宋" w:eastAsia="仿宋"/>
          <w:b w:val="0"/>
          <w:bCs/>
          <w:spacing w:val="-4"/>
          <w:sz w:val="32"/>
          <w:szCs w:val="32"/>
          <w:lang w:eastAsia="zh-CN"/>
        </w:rPr>
        <w:t>财政安排</w:t>
      </w:r>
      <w:r>
        <w:rPr>
          <w:rStyle w:val="19"/>
          <w:rFonts w:hint="eastAsia" w:ascii="仿宋" w:hAnsi="仿宋" w:eastAsia="仿宋"/>
          <w:b w:val="0"/>
          <w:bCs/>
          <w:spacing w:val="-4"/>
          <w:sz w:val="32"/>
          <w:szCs w:val="32"/>
          <w:lang w:val="en-US" w:eastAsia="zh-CN"/>
        </w:rPr>
        <w:t>241万元，</w:t>
      </w:r>
      <w:r>
        <w:rPr>
          <w:rStyle w:val="19"/>
          <w:rFonts w:hint="eastAsia" w:ascii="仿宋" w:hAnsi="仿宋" w:eastAsia="仿宋"/>
          <w:b w:val="0"/>
          <w:spacing w:val="-4"/>
          <w:sz w:val="32"/>
          <w:szCs w:val="32"/>
        </w:rPr>
        <w:t>根据代建处监管的项目进展情况，向财政局申情资金，做直接支付支付给建筑单位。</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eastAsia="zh-CN"/>
        </w:rPr>
        <w:t>本项目资金总计</w:t>
      </w:r>
      <w:r>
        <w:rPr>
          <w:rStyle w:val="19"/>
          <w:rFonts w:hint="eastAsia" w:ascii="仿宋" w:hAnsi="仿宋" w:eastAsia="仿宋"/>
          <w:b w:val="0"/>
          <w:spacing w:val="-4"/>
          <w:sz w:val="32"/>
          <w:szCs w:val="32"/>
          <w:lang w:val="en-US" w:eastAsia="zh-CN"/>
        </w:rPr>
        <w:t>241万元，</w:t>
      </w:r>
      <w:r>
        <w:rPr>
          <w:rStyle w:val="19"/>
          <w:rFonts w:hint="eastAsia" w:ascii="仿宋" w:hAnsi="仿宋" w:eastAsia="仿宋"/>
          <w:b w:val="0"/>
          <w:spacing w:val="-4"/>
          <w:sz w:val="32"/>
          <w:szCs w:val="32"/>
        </w:rPr>
        <w:t>预算执行率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rPr>
        <w:t>%，项目资金主指挥中心工程款支付241万元。</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640"/>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本项目支出符合玛纳斯县</w:t>
      </w:r>
      <w:r>
        <w:rPr>
          <w:rStyle w:val="19"/>
          <w:rFonts w:hint="eastAsia" w:ascii="仿宋" w:hAnsi="仿宋" w:eastAsia="仿宋"/>
          <w:b w:val="0"/>
          <w:spacing w:val="-4"/>
          <w:sz w:val="32"/>
          <w:szCs w:val="32"/>
          <w:lang w:eastAsia="zh-CN"/>
        </w:rPr>
        <w:t>公安局</w:t>
      </w:r>
      <w:r>
        <w:rPr>
          <w:rStyle w:val="19"/>
          <w:rFonts w:hint="eastAsia" w:ascii="仿宋" w:hAnsi="仿宋" w:eastAsia="仿宋"/>
          <w:b w:val="0"/>
          <w:spacing w:val="-4"/>
          <w:sz w:val="32"/>
          <w:szCs w:val="32"/>
        </w:rPr>
        <w:t>相关财务管理制度</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我局根据上级主管部门要求项目资金的使用严格按照各项规章制度执行运转</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财务收支审批制度、财务稽核制度、会计主管岗位职责等制度规定</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“三重一大”管理规定</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专项资金使用管理办法等</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资金的拨付有完整的审批程序和手续，不存在截留、挤占、挪用等情况。</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项目投标情况：我局指挥中心业务用房已进行投标手续，并且中标手续已存档。</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调整情况：</w:t>
      </w:r>
      <w:r>
        <w:rPr>
          <w:rFonts w:ascii="仿宋" w:hAnsi="仿宋" w:eastAsia="仿宋"/>
          <w:bCs/>
          <w:spacing w:val="-4"/>
          <w:sz w:val="32"/>
          <w:szCs w:val="32"/>
        </w:rPr>
        <w:t>2018</w:t>
      </w:r>
      <w:r>
        <w:rPr>
          <w:rFonts w:hint="eastAsia" w:ascii="仿宋" w:hAnsi="仿宋" w:eastAsia="仿宋"/>
          <w:bCs/>
          <w:spacing w:val="-4"/>
          <w:sz w:val="32"/>
          <w:szCs w:val="32"/>
        </w:rPr>
        <w:t>年项目资金无调整情况。</w:t>
      </w:r>
    </w:p>
    <w:p>
      <w:pPr>
        <w:spacing w:line="540" w:lineRule="exact"/>
        <w:ind w:firstLine="600" w:firstLineChars="200"/>
        <w:rPr>
          <w:rStyle w:val="19"/>
          <w:rFonts w:ascii="楷体" w:hAnsi="楷体" w:eastAsia="楷体"/>
          <w:spacing w:val="-4"/>
          <w:sz w:val="32"/>
          <w:szCs w:val="32"/>
        </w:rPr>
      </w:pPr>
      <w:r>
        <w:rPr>
          <w:rFonts w:hint="eastAsia" w:ascii="仿宋" w:hAnsi="仿宋" w:eastAsia="仿宋" w:cs="仿宋"/>
          <w:sz w:val="30"/>
          <w:szCs w:val="30"/>
        </w:rPr>
        <w:t>验收情况：</w:t>
      </w:r>
      <w:r>
        <w:rPr>
          <w:rStyle w:val="19"/>
          <w:rFonts w:hint="eastAsia" w:ascii="仿宋" w:hAnsi="仿宋" w:eastAsia="仿宋"/>
          <w:b w:val="0"/>
          <w:spacing w:val="-4"/>
          <w:sz w:val="32"/>
          <w:szCs w:val="32"/>
        </w:rPr>
        <w:t>我局资金使用严格执行我局各项规章制度，资金落实到位，不拖欠，不做项目外的其他支出。</w:t>
      </w:r>
    </w:p>
    <w:p>
      <w:pPr>
        <w:spacing w:line="540" w:lineRule="exact"/>
        <w:ind w:firstLine="567" w:firstLineChars="181"/>
        <w:rPr>
          <w:rStyle w:val="19"/>
          <w:rFonts w:ascii="仿宋" w:hAnsi="仿宋" w:eastAsia="仿宋"/>
          <w:b w:val="0"/>
          <w:spacing w:val="-4"/>
          <w:sz w:val="32"/>
          <w:szCs w:val="32"/>
        </w:rPr>
      </w:pPr>
      <w:r>
        <w:rPr>
          <w:rStyle w:val="19"/>
          <w:rFonts w:hint="eastAsia" w:ascii="楷体" w:hAnsi="楷体" w:eastAsia="楷体"/>
          <w:spacing w:val="-4"/>
          <w:sz w:val="32"/>
          <w:szCs w:val="32"/>
        </w:rPr>
        <w:t>（二）项目管理情况分析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1</w:t>
      </w:r>
      <w:r>
        <w:rPr>
          <w:rStyle w:val="19"/>
          <w:rFonts w:hint="eastAsia" w:ascii="仿宋" w:hAnsi="仿宋" w:eastAsia="仿宋"/>
          <w:b w:val="0"/>
          <w:spacing w:val="-4"/>
          <w:sz w:val="32"/>
          <w:szCs w:val="32"/>
        </w:rPr>
        <w:t>、项目管理制度建设：按照公安厅及上级部门制订的相关财务制度，我局也根据单位的实际情况制定了切实可行的《财务管理制度》、《财务岗位职责》</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《差旅费报销制度》等会计制度，及时学习更新相关规定，根据内部管理的需要，明确了工作岗位职责和权限。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bookmarkStart w:id="0" w:name="_GoBack"/>
      <w:bookmarkEnd w:id="0"/>
      <w:r>
        <w:rPr>
          <w:rStyle w:val="19"/>
          <w:rFonts w:hint="eastAsia" w:ascii="仿宋" w:hAnsi="仿宋" w:eastAsia="仿宋"/>
          <w:b w:val="0"/>
          <w:spacing w:val="-4"/>
          <w:sz w:val="32"/>
          <w:szCs w:val="32"/>
        </w:rPr>
        <w:t>、日常检查监督管理</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为进一步规范财政资金管理，强化单位责任意识，进一步完善专项资金管理，提高财政资金使用效益，我局先后制定了支出管理制度、专项资金管理制度以及稽核制度，单位项目资金使用严格执行“三重一大”管理制度，对单位重大支出上会讨论，经办人具体实施，主管领导监督，进行层层监督管理。把资金的使用落到实处。我局项目支出的管理贯穿项目的全过程，从项目的设计、施工、技术、相关设施的配套、专项资金的管理使用，到项目的竣工验收。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（一）项目绩效目标完成情况分析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本项目共设置一级指标3个、二级指标9个、三级指标12个指标。</w:t>
      </w:r>
      <w:r>
        <w:rPr>
          <w:rStyle w:val="19"/>
          <w:rFonts w:hint="eastAsia" w:ascii="仿宋" w:hAnsi="仿宋" w:eastAsia="仿宋"/>
          <w:b w:val="0"/>
          <w:spacing w:val="-4"/>
          <w:sz w:val="32"/>
          <w:szCs w:val="32"/>
          <w:lang w:eastAsia="zh-CN"/>
        </w:rPr>
        <w:t>其中已完成三级指标</w:t>
      </w:r>
      <w:r>
        <w:rPr>
          <w:rStyle w:val="19"/>
          <w:rFonts w:hint="eastAsia" w:ascii="仿宋" w:hAnsi="仿宋" w:eastAsia="仿宋"/>
          <w:b w:val="0"/>
          <w:spacing w:val="-4"/>
          <w:sz w:val="32"/>
          <w:szCs w:val="32"/>
          <w:lang w:val="en-US" w:eastAsia="zh-CN"/>
        </w:rPr>
        <w:t>12</w:t>
      </w:r>
      <w:r>
        <w:rPr>
          <w:rStyle w:val="19"/>
          <w:rFonts w:hint="eastAsia" w:ascii="仿宋" w:hAnsi="仿宋" w:eastAsia="仿宋"/>
          <w:b w:val="0"/>
          <w:spacing w:val="-4"/>
          <w:sz w:val="32"/>
          <w:szCs w:val="32"/>
          <w:lang w:eastAsia="zh-CN"/>
        </w:rPr>
        <w:t>个，指标完成率为</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1"/>
        </w:numPr>
        <w:kinsoku/>
        <w:wordWrap/>
        <w:overflowPunct/>
        <w:topLinePunct w:val="0"/>
        <w:autoSpaceDE/>
        <w:autoSpaceDN/>
        <w:bidi w:val="0"/>
        <w:spacing w:after="0" w:line="540" w:lineRule="exact"/>
        <w:ind w:firstLine="567" w:firstLineChars="181"/>
        <w:textAlignment w:val="auto"/>
        <w:outlineLvl w:val="9"/>
        <w:rPr>
          <w:rStyle w:val="19"/>
          <w:rFonts w:hint="eastAsia" w:ascii="仿宋" w:hAnsi="仿宋" w:eastAsia="仿宋"/>
          <w:b/>
          <w:bCs w:val="0"/>
          <w:spacing w:val="-4"/>
          <w:sz w:val="32"/>
          <w:szCs w:val="32"/>
          <w:highlight w:val="none"/>
        </w:rPr>
      </w:pPr>
      <w:r>
        <w:rPr>
          <w:rStyle w:val="19"/>
          <w:rFonts w:hint="eastAsia" w:ascii="仿宋" w:hAnsi="仿宋" w:eastAsia="仿宋"/>
          <w:b/>
          <w:bCs w:val="0"/>
          <w:spacing w:val="-4"/>
          <w:sz w:val="32"/>
          <w:szCs w:val="32"/>
          <w:highlight w:val="none"/>
        </w:rPr>
        <w:t>产出指标完成情况分析。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（1）项目完成数量。项目投资金额241万元，建筑面积14960.36平方米，建筑年限1年，完成率100%。</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（2）项目完成质量。 提高办事效率和质量，方便群众办事，群众满意度明显提高，完成率100%。</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（3）项目时效。资金执行率100%，完成率100%。</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（4）项目成本。上级专项资金金额</w:t>
      </w:r>
      <w:r>
        <w:rPr>
          <w:rStyle w:val="19"/>
          <w:rFonts w:hint="eastAsia" w:ascii="仿宋" w:hAnsi="仿宋" w:eastAsia="仿宋"/>
          <w:b w:val="0"/>
          <w:spacing w:val="-4"/>
          <w:sz w:val="32"/>
          <w:szCs w:val="32"/>
          <w:lang w:val="en-US" w:eastAsia="zh-CN"/>
        </w:rPr>
        <w:t>241万元，</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0"/>
        </w:numPr>
        <w:kinsoku/>
        <w:wordWrap/>
        <w:overflowPunct/>
        <w:topLinePunct w:val="0"/>
        <w:autoSpaceDE/>
        <w:autoSpaceDN/>
        <w:bidi w:val="0"/>
        <w:spacing w:after="0" w:line="540" w:lineRule="exact"/>
        <w:ind w:firstLine="627" w:firstLineChars="200"/>
        <w:textAlignment w:val="auto"/>
        <w:outlineLvl w:val="9"/>
        <w:rPr>
          <w:rStyle w:val="19"/>
          <w:rFonts w:hint="eastAsia" w:ascii="仿宋" w:hAnsi="仿宋" w:eastAsia="仿宋"/>
          <w:b/>
          <w:bCs w:val="0"/>
          <w:spacing w:val="-4"/>
          <w:sz w:val="32"/>
          <w:szCs w:val="32"/>
          <w:highlight w:val="none"/>
          <w:lang w:eastAsia="zh-CN"/>
        </w:rPr>
      </w:pPr>
      <w:r>
        <w:rPr>
          <w:rStyle w:val="19"/>
          <w:rFonts w:hint="eastAsia" w:ascii="仿宋" w:hAnsi="仿宋" w:eastAsia="仿宋"/>
          <w:b/>
          <w:bCs w:val="0"/>
          <w:spacing w:val="-4"/>
          <w:sz w:val="32"/>
          <w:szCs w:val="32"/>
          <w:highlight w:val="none"/>
          <w:lang w:eastAsia="zh-CN"/>
        </w:rPr>
        <w:t>2、效益指标完成情况分析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（1）项目实施的社会效益指标。提高接警处置效率，充分发挥公安职能，维护社会稳定，提升公安形象，改善办公环境，方便群众办事，群众满意度明显提高，完成率100%。</w:t>
      </w:r>
    </w:p>
    <w:p>
      <w:pPr>
        <w:spacing w:line="540" w:lineRule="exact"/>
        <w:ind w:firstLine="564" w:firstLineChars="181"/>
        <w:rPr>
          <w:rFonts w:hint="eastAsia" w:ascii="仿宋" w:hAnsi="仿宋" w:eastAsia="仿宋" w:cs="仿宋"/>
          <w:b w:val="0"/>
          <w:bCs/>
          <w:color w:val="auto"/>
          <w:kern w:val="0"/>
          <w:sz w:val="32"/>
          <w:szCs w:val="32"/>
          <w:lang w:eastAsia="zh-CN"/>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lang w:eastAsia="zh-CN"/>
        </w:rPr>
        <w:t>项目实施的可持续影响分析。预计该项目</w:t>
      </w:r>
      <w:r>
        <w:rPr>
          <w:rStyle w:val="19"/>
          <w:rFonts w:hint="eastAsia" w:ascii="仿宋" w:hAnsi="仿宋" w:eastAsia="仿宋"/>
          <w:b w:val="0"/>
          <w:spacing w:val="-4"/>
          <w:sz w:val="32"/>
          <w:szCs w:val="32"/>
          <w:lang w:val="en-US" w:eastAsia="zh-CN"/>
        </w:rPr>
        <w:t>长期维护社会面管控</w:t>
      </w:r>
      <w:r>
        <w:rPr>
          <w:rFonts w:hint="eastAsia" w:ascii="仿宋" w:hAnsi="仿宋" w:eastAsia="仿宋" w:cs="仿宋"/>
          <w:b w:val="0"/>
          <w:bCs/>
          <w:color w:val="auto"/>
          <w:kern w:val="0"/>
          <w:sz w:val="32"/>
          <w:szCs w:val="32"/>
          <w:lang w:eastAsia="zh-CN"/>
        </w:rPr>
        <w:t>，已完成该项目指标，完成率</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3</w:t>
      </w:r>
      <w:r>
        <w:rPr>
          <w:rStyle w:val="19"/>
          <w:rFonts w:hint="eastAsia" w:ascii="方正仿宋_GBK" w:hAnsi="方正仿宋_GBK" w:eastAsia="方正仿宋_GBK" w:cs="方正仿宋_GBK"/>
          <w:b/>
          <w:bCs/>
          <w:sz w:val="32"/>
          <w:szCs w:val="32"/>
          <w:lang w:eastAsia="zh-CN"/>
        </w:rPr>
        <w:t>、</w:t>
      </w:r>
      <w:r>
        <w:rPr>
          <w:rStyle w:val="19"/>
          <w:rFonts w:hint="eastAsia" w:ascii="方正仿宋_GBK" w:hAnsi="方正仿宋_GBK" w:eastAsia="方正仿宋_GBK" w:cs="方正仿宋_GBK"/>
          <w:b/>
          <w:bCs/>
          <w:sz w:val="32"/>
          <w:szCs w:val="32"/>
        </w:rPr>
        <w:t>满意度指标完成情况分析</w:t>
      </w:r>
    </w:p>
    <w:p>
      <w:pPr>
        <w:spacing w:line="600" w:lineRule="exact"/>
        <w:ind w:firstLine="627" w:firstLineChars="196"/>
        <w:jc w:val="left"/>
        <w:rPr>
          <w:rFonts w:hint="eastAsia" w:ascii="仿宋" w:hAnsi="仿宋" w:eastAsia="仿宋" w:cs="仿宋"/>
          <w:b w:val="0"/>
          <w:bCs/>
          <w:color w:val="auto"/>
          <w:kern w:val="0"/>
          <w:sz w:val="32"/>
          <w:szCs w:val="32"/>
          <w:lang w:val="en-US" w:eastAsia="zh-CN"/>
        </w:rPr>
      </w:pPr>
      <w:r>
        <w:rPr>
          <w:rFonts w:hint="eastAsia" w:ascii="仿宋" w:hAnsi="仿宋" w:eastAsia="仿宋" w:cs="仿宋"/>
          <w:b w:val="0"/>
          <w:bCs/>
          <w:color w:val="auto"/>
          <w:kern w:val="0"/>
          <w:sz w:val="32"/>
          <w:szCs w:val="32"/>
          <w:lang w:eastAsia="zh-CN"/>
        </w:rPr>
        <w:t>加强法律打击力度，维护社会稳定满意度，该项目指标全部完成，预计群众满意度＞95%，实际群众满意度</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eastAsia="zh-CN"/>
        </w:rPr>
      </w:pPr>
      <w:r>
        <w:rPr>
          <w:rFonts w:hint="eastAsia" w:ascii="方正仿宋_GBK" w:hAnsi="方正仿宋_GBK" w:eastAsia="方正仿宋_GBK" w:cs="方正仿宋_GBK"/>
          <w:b/>
          <w:bCs/>
          <w:sz w:val="32"/>
          <w:szCs w:val="32"/>
          <w:highlight w:val="none"/>
          <w:lang w:eastAsia="zh-CN"/>
        </w:rPr>
        <w:t>（二）项目绩效目标未完成原因分析。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该项目已完成所有设定的绩效目标任务，完成率</w:t>
      </w:r>
      <w:r>
        <w:rPr>
          <w:rFonts w:hint="eastAsia" w:ascii="仿宋" w:hAnsi="仿宋" w:eastAsia="仿宋" w:cs="仿宋"/>
          <w:sz w:val="32"/>
          <w:szCs w:val="32"/>
          <w:highlight w:val="none"/>
          <w:lang w:val="en-US" w:eastAsia="zh-CN"/>
        </w:rPr>
        <w:t>100%，不存在未完成目标值情况。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val="en-US" w:eastAsia="zh-CN"/>
        </w:rPr>
      </w:pPr>
      <w:r>
        <w:rPr>
          <w:rFonts w:hint="eastAsia" w:ascii="方正仿宋_GBK" w:hAnsi="方正仿宋_GBK" w:eastAsia="方正仿宋_GBK" w:cs="方正仿宋_GBK"/>
          <w:b/>
          <w:bCs/>
          <w:sz w:val="32"/>
          <w:szCs w:val="32"/>
          <w:highlight w:val="none"/>
          <w:lang w:val="en-US" w:eastAsia="zh-CN"/>
        </w:rPr>
        <w:t>（三）预算执行进度与绩效指标偏差分析。</w:t>
      </w:r>
    </w:p>
    <w:p>
      <w:pPr>
        <w:spacing w:line="540" w:lineRule="exact"/>
        <w:ind w:firstLine="579" w:firstLineChars="181"/>
        <w:rPr>
          <w:rFonts w:hint="eastAsia" w:ascii="楷体" w:hAnsi="楷体" w:eastAsia="楷体"/>
          <w:b/>
          <w:spacing w:val="-4"/>
          <w:sz w:val="32"/>
          <w:szCs w:val="32"/>
        </w:rPr>
      </w:pPr>
      <w:r>
        <w:rPr>
          <w:rFonts w:hint="eastAsia" w:ascii="仿宋" w:hAnsi="仿宋" w:eastAsia="仿宋" w:cs="仿宋"/>
          <w:b w:val="0"/>
          <w:bCs w:val="0"/>
          <w:kern w:val="2"/>
          <w:sz w:val="32"/>
          <w:szCs w:val="32"/>
          <w:highlight w:val="none"/>
          <w:lang w:val="en-US" w:eastAsia="zh-CN" w:bidi="ar-SA"/>
        </w:rPr>
        <w:t>该项目预算执行进度与绩效指标总体完成率无偏差。</w:t>
      </w:r>
    </w:p>
    <w:p>
      <w:pPr>
        <w:spacing w:line="540" w:lineRule="exact"/>
        <w:ind w:firstLine="564" w:firstLineChars="181"/>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楷体" w:hAnsi="楷体" w:eastAsia="楷体"/>
          <w:b/>
          <w:spacing w:val="-4"/>
          <w:sz w:val="32"/>
          <w:szCs w:val="32"/>
        </w:rPr>
      </w:pPr>
      <w:r>
        <w:rPr>
          <w:rStyle w:val="19"/>
          <w:rFonts w:hint="eastAsia" w:ascii="仿宋" w:hAnsi="仿宋" w:eastAsia="仿宋"/>
          <w:b w:val="0"/>
          <w:spacing w:val="-4"/>
          <w:sz w:val="32"/>
          <w:szCs w:val="32"/>
        </w:rPr>
        <w:t>学习更新相关规定，根据内部管理的需要，明确工作岗位职责和权限</w:t>
      </w:r>
      <w:r>
        <w:rPr>
          <w:rStyle w:val="19"/>
          <w:rFonts w:hint="eastAsia" w:ascii="仿宋" w:hAnsi="仿宋" w:eastAsia="仿宋"/>
          <w:b w:val="0"/>
          <w:spacing w:val="-4"/>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1、</w:t>
      </w:r>
      <w:r>
        <w:rPr>
          <w:rFonts w:hint="eastAsia" w:ascii="仿宋" w:hAnsi="仿宋" w:eastAsia="仿宋"/>
          <w:spacing w:val="-4"/>
          <w:sz w:val="32"/>
          <w:szCs w:val="32"/>
        </w:rPr>
        <w:t>经验及做法：对专项资金，我局严格按照财务管理制度、专项资金管理办法以及本部门厉行节约制度执行，各项专项资金，做到了财政、上级、本部门的三方共同管理、监督，专款专用极大有效的预防和惩治违法犯罪行为，保护了公民身心健康，抑制了犯罪数，维护社会稳定和经济发展。</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存在的问题</w:t>
      </w:r>
    </w:p>
    <w:p>
      <w:pPr>
        <w:numPr>
          <w:ilvl w:val="0"/>
          <w:numId w:val="0"/>
        </w:numPr>
        <w:spacing w:line="540" w:lineRule="exact"/>
        <w:ind w:firstLine="624" w:firstLineChars="200"/>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无</w:t>
      </w:r>
    </w:p>
    <w:p>
      <w:pPr>
        <w:numPr>
          <w:ilvl w:val="0"/>
          <w:numId w:val="0"/>
        </w:numPr>
        <w:spacing w:line="540" w:lineRule="exact"/>
        <w:ind w:firstLine="624" w:firstLineChars="200"/>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3、建议</w:t>
      </w:r>
    </w:p>
    <w:p>
      <w:pPr>
        <w:numPr>
          <w:ilvl w:val="0"/>
          <w:numId w:val="0"/>
        </w:numPr>
        <w:spacing w:line="540" w:lineRule="exact"/>
        <w:ind w:leftChars="181"/>
        <w:rPr>
          <w:rStyle w:val="19"/>
          <w:rFonts w:hint="default"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 xml:space="preserve">  建立健全管理制度，加强项目建设管理，确保资金合理高效使用。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无其他说明内容</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我局严格按照上级部门下达的资金使用方式使用资金，切实做到每笔资金都由我局领导逐级审批，合理规范资金使用情况，确保资金落到实处，使资金使用效益达到最大化，切实保障办案部门正常运转。</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项目资金管理过程规范，程序到位，完成了预期绩效目标，群众满意，社会反响好。取得了巨大的社会效益</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《玛纳斯县财政项目支出绩效自评表》</w:t>
      </w: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tbl>
      <w:tblPr>
        <w:tblStyle w:val="17"/>
        <w:tblW w:w="8764" w:type="dxa"/>
        <w:tblInd w:w="0" w:type="dxa"/>
        <w:tblLayout w:type="fixed"/>
        <w:tblCellMar>
          <w:top w:w="0" w:type="dxa"/>
          <w:left w:w="108" w:type="dxa"/>
          <w:bottom w:w="0" w:type="dxa"/>
          <w:right w:w="108" w:type="dxa"/>
        </w:tblCellMar>
      </w:tblPr>
      <w:tblGrid>
        <w:gridCol w:w="696"/>
        <w:gridCol w:w="1212"/>
        <w:gridCol w:w="1307"/>
        <w:gridCol w:w="576"/>
        <w:gridCol w:w="1525"/>
        <w:gridCol w:w="1335"/>
        <w:gridCol w:w="2113"/>
      </w:tblGrid>
      <w:tr>
        <w:tblPrEx>
          <w:tblLayout w:type="fixed"/>
          <w:tblCellMar>
            <w:top w:w="0" w:type="dxa"/>
            <w:left w:w="108" w:type="dxa"/>
            <w:bottom w:w="0" w:type="dxa"/>
            <w:right w:w="108" w:type="dxa"/>
          </w:tblCellMar>
        </w:tblPrEx>
        <w:trPr>
          <w:trHeight w:val="285" w:hRule="atLeast"/>
        </w:trPr>
        <w:tc>
          <w:tcPr>
            <w:tcW w:w="8764" w:type="dxa"/>
            <w:gridSpan w:val="7"/>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8764" w:type="dxa"/>
            <w:gridSpan w:val="7"/>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w:t>
            </w:r>
            <w:r>
              <w:rPr>
                <w:rFonts w:ascii="宋体" w:hAnsi="宋体" w:cs="宋体"/>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696" w:type="dxa"/>
            <w:tcBorders>
              <w:top w:val="nil"/>
              <w:left w:val="nil"/>
              <w:bottom w:val="nil"/>
              <w:right w:val="nil"/>
            </w:tcBorders>
            <w:vAlign w:val="center"/>
          </w:tcPr>
          <w:p>
            <w:pPr>
              <w:widowControl/>
              <w:jc w:val="left"/>
              <w:rPr>
                <w:rFonts w:ascii="宋体" w:cs="宋体"/>
                <w:kern w:val="0"/>
                <w:sz w:val="24"/>
              </w:rPr>
            </w:pPr>
          </w:p>
        </w:tc>
        <w:tc>
          <w:tcPr>
            <w:tcW w:w="1212" w:type="dxa"/>
            <w:tcBorders>
              <w:top w:val="nil"/>
              <w:left w:val="nil"/>
              <w:bottom w:val="nil"/>
              <w:right w:val="nil"/>
            </w:tcBorders>
            <w:vAlign w:val="center"/>
          </w:tcPr>
          <w:p>
            <w:pPr>
              <w:widowControl/>
              <w:jc w:val="left"/>
              <w:rPr>
                <w:rFonts w:ascii="宋体" w:cs="宋体"/>
                <w:kern w:val="0"/>
                <w:sz w:val="24"/>
              </w:rPr>
            </w:pPr>
          </w:p>
        </w:tc>
        <w:tc>
          <w:tcPr>
            <w:tcW w:w="1307" w:type="dxa"/>
            <w:tcBorders>
              <w:top w:val="nil"/>
              <w:left w:val="nil"/>
              <w:bottom w:val="nil"/>
              <w:right w:val="nil"/>
            </w:tcBorders>
            <w:vAlign w:val="center"/>
          </w:tcPr>
          <w:p>
            <w:pPr>
              <w:widowControl/>
              <w:jc w:val="left"/>
              <w:rPr>
                <w:rFonts w:ascii="宋体" w:cs="宋体"/>
                <w:kern w:val="0"/>
                <w:sz w:val="24"/>
              </w:rPr>
            </w:pPr>
          </w:p>
        </w:tc>
        <w:tc>
          <w:tcPr>
            <w:tcW w:w="576" w:type="dxa"/>
            <w:tcBorders>
              <w:top w:val="nil"/>
              <w:left w:val="nil"/>
              <w:bottom w:val="nil"/>
              <w:right w:val="nil"/>
            </w:tcBorders>
            <w:vAlign w:val="center"/>
          </w:tcPr>
          <w:p>
            <w:pPr>
              <w:widowControl/>
              <w:jc w:val="left"/>
              <w:rPr>
                <w:rFonts w:ascii="宋体" w:cs="宋体"/>
                <w:kern w:val="0"/>
                <w:sz w:val="24"/>
              </w:rPr>
            </w:pPr>
          </w:p>
        </w:tc>
        <w:tc>
          <w:tcPr>
            <w:tcW w:w="1525" w:type="dxa"/>
            <w:tcBorders>
              <w:top w:val="nil"/>
              <w:left w:val="nil"/>
              <w:bottom w:val="nil"/>
              <w:right w:val="nil"/>
            </w:tcBorders>
            <w:vAlign w:val="center"/>
          </w:tcPr>
          <w:p>
            <w:pPr>
              <w:widowControl/>
              <w:jc w:val="left"/>
              <w:rPr>
                <w:rFonts w:ascii="宋体" w:cs="宋体"/>
                <w:kern w:val="0"/>
                <w:sz w:val="24"/>
              </w:rPr>
            </w:pPr>
          </w:p>
        </w:tc>
        <w:tc>
          <w:tcPr>
            <w:tcW w:w="1335" w:type="dxa"/>
            <w:tcBorders>
              <w:top w:val="nil"/>
              <w:left w:val="nil"/>
              <w:bottom w:val="nil"/>
              <w:right w:val="nil"/>
            </w:tcBorders>
            <w:vAlign w:val="center"/>
          </w:tcPr>
          <w:p>
            <w:pPr>
              <w:widowControl/>
              <w:jc w:val="left"/>
              <w:rPr>
                <w:rFonts w:ascii="宋体" w:cs="宋体"/>
                <w:kern w:val="0"/>
                <w:sz w:val="24"/>
              </w:rPr>
            </w:pPr>
          </w:p>
        </w:tc>
        <w:tc>
          <w:tcPr>
            <w:tcW w:w="2113" w:type="dxa"/>
            <w:tcBorders>
              <w:top w:val="nil"/>
              <w:left w:val="nil"/>
              <w:bottom w:val="nil"/>
              <w:right w:val="nil"/>
            </w:tcBorders>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435" w:hRule="atLeast"/>
        </w:trPr>
        <w:tc>
          <w:tcPr>
            <w:tcW w:w="321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项目名称</w:t>
            </w:r>
          </w:p>
        </w:tc>
        <w:tc>
          <w:tcPr>
            <w:tcW w:w="5549" w:type="dxa"/>
            <w:gridSpan w:val="4"/>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指挥中心业务用房工程项目建设</w:t>
            </w:r>
          </w:p>
        </w:tc>
      </w:tr>
      <w:tr>
        <w:tblPrEx>
          <w:tblLayout w:type="fixed"/>
          <w:tblCellMar>
            <w:top w:w="0" w:type="dxa"/>
            <w:left w:w="108" w:type="dxa"/>
            <w:bottom w:w="0" w:type="dxa"/>
            <w:right w:w="108" w:type="dxa"/>
          </w:tblCellMar>
        </w:tblPrEx>
        <w:trPr>
          <w:trHeight w:val="435" w:hRule="atLeast"/>
        </w:trPr>
        <w:tc>
          <w:tcPr>
            <w:tcW w:w="321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预算单位</w:t>
            </w:r>
          </w:p>
        </w:tc>
        <w:tc>
          <w:tcPr>
            <w:tcW w:w="5549" w:type="dxa"/>
            <w:gridSpan w:val="4"/>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玛纳斯县公安局</w:t>
            </w:r>
          </w:p>
        </w:tc>
      </w:tr>
      <w:tr>
        <w:tblPrEx>
          <w:tblLayout w:type="fixed"/>
          <w:tblCellMar>
            <w:top w:w="0" w:type="dxa"/>
            <w:left w:w="108" w:type="dxa"/>
            <w:bottom w:w="0" w:type="dxa"/>
            <w:right w:w="108" w:type="dxa"/>
          </w:tblCellMar>
        </w:tblPrEx>
        <w:trPr>
          <w:trHeight w:val="585" w:hRule="atLeast"/>
        </w:trPr>
        <w:tc>
          <w:tcPr>
            <w:tcW w:w="69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预算执行情况（万元）</w:t>
            </w:r>
          </w:p>
        </w:tc>
        <w:tc>
          <w:tcPr>
            <w:tcW w:w="2519"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预算数：</w:t>
            </w:r>
          </w:p>
        </w:tc>
        <w:tc>
          <w:tcPr>
            <w:tcW w:w="2101"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ascii="宋体" w:hAnsi="宋体" w:cs="宋体"/>
                <w:kern w:val="0"/>
                <w:sz w:val="24"/>
              </w:rPr>
              <w:t>0</w:t>
            </w:r>
          </w:p>
        </w:tc>
        <w:tc>
          <w:tcPr>
            <w:tcW w:w="133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执行数：</w:t>
            </w:r>
          </w:p>
        </w:tc>
        <w:tc>
          <w:tcPr>
            <w:tcW w:w="2113" w:type="dxa"/>
            <w:tcBorders>
              <w:top w:val="nil"/>
              <w:left w:val="nil"/>
              <w:bottom w:val="single" w:color="auto" w:sz="4" w:space="0"/>
              <w:right w:val="single" w:color="auto" w:sz="4" w:space="0"/>
            </w:tcBorders>
            <w:vAlign w:val="center"/>
          </w:tcPr>
          <w:p>
            <w:pPr>
              <w:widowControl/>
              <w:jc w:val="right"/>
              <w:rPr>
                <w:rFonts w:ascii="宋体" w:cs="宋体"/>
                <w:kern w:val="0"/>
                <w:sz w:val="24"/>
              </w:rPr>
            </w:pPr>
            <w:r>
              <w:rPr>
                <w:rFonts w:hint="eastAsia" w:ascii="宋体" w:hAnsi="宋体" w:cs="宋体"/>
                <w:kern w:val="0"/>
                <w:sz w:val="24"/>
              </w:rPr>
              <w:t>241</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2519"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其中：财政拨款</w:t>
            </w:r>
          </w:p>
        </w:tc>
        <w:tc>
          <w:tcPr>
            <w:tcW w:w="2101"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ascii="宋体" w:hAnsi="宋体" w:cs="宋体"/>
                <w:kern w:val="0"/>
                <w:sz w:val="24"/>
              </w:rPr>
              <w:t>0</w:t>
            </w:r>
          </w:p>
        </w:tc>
        <w:tc>
          <w:tcPr>
            <w:tcW w:w="133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其中：财政拨款</w:t>
            </w:r>
          </w:p>
        </w:tc>
        <w:tc>
          <w:tcPr>
            <w:tcW w:w="2113" w:type="dxa"/>
            <w:tcBorders>
              <w:top w:val="nil"/>
              <w:left w:val="nil"/>
              <w:bottom w:val="single" w:color="auto" w:sz="4" w:space="0"/>
              <w:right w:val="single" w:color="auto" w:sz="4" w:space="0"/>
            </w:tcBorders>
            <w:vAlign w:val="center"/>
          </w:tcPr>
          <w:p>
            <w:pPr>
              <w:widowControl/>
              <w:jc w:val="right"/>
              <w:rPr>
                <w:rFonts w:ascii="宋体" w:cs="宋体"/>
                <w:kern w:val="0"/>
                <w:sz w:val="24"/>
              </w:rPr>
            </w:pPr>
            <w:r>
              <w:rPr>
                <w:rFonts w:hint="eastAsia" w:ascii="宋体" w:hAnsi="宋体" w:cs="宋体"/>
                <w:kern w:val="0"/>
                <w:sz w:val="24"/>
              </w:rPr>
              <w:t>241</w:t>
            </w:r>
          </w:p>
        </w:tc>
      </w:tr>
      <w:tr>
        <w:tblPrEx>
          <w:tblLayout w:type="fixed"/>
          <w:tblCellMar>
            <w:top w:w="0" w:type="dxa"/>
            <w:left w:w="108" w:type="dxa"/>
            <w:bottom w:w="0" w:type="dxa"/>
            <w:right w:w="108" w:type="dxa"/>
          </w:tblCellMar>
        </w:tblPrEx>
        <w:trPr>
          <w:trHeight w:val="385" w:hRule="atLeast"/>
        </w:trPr>
        <w:tc>
          <w:tcPr>
            <w:tcW w:w="6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2519"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其他资金</w:t>
            </w:r>
          </w:p>
        </w:tc>
        <w:tc>
          <w:tcPr>
            <w:tcW w:w="2101"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ascii="宋体" w:hAnsi="宋体" w:cs="宋体"/>
                <w:kern w:val="0"/>
                <w:sz w:val="24"/>
              </w:rPr>
              <w:t>0</w:t>
            </w:r>
          </w:p>
        </w:tc>
        <w:tc>
          <w:tcPr>
            <w:tcW w:w="133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其他资金</w:t>
            </w:r>
          </w:p>
        </w:tc>
        <w:tc>
          <w:tcPr>
            <w:tcW w:w="2113"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4"/>
                <w:lang w:val="en-US" w:eastAsia="zh-CN"/>
              </w:rPr>
            </w:pPr>
            <w:r>
              <w:rPr>
                <w:rFonts w:hint="eastAsia" w:ascii="宋体" w:hAnsi="宋体" w:cs="宋体"/>
                <w:kern w:val="0"/>
                <w:sz w:val="24"/>
              </w:rPr>
              <w:t>　</w:t>
            </w:r>
            <w:r>
              <w:rPr>
                <w:rFonts w:hint="eastAsia" w:ascii="宋体" w:hAnsi="宋体" w:cs="宋体"/>
                <w:kern w:val="0"/>
                <w:sz w:val="24"/>
                <w:lang w:val="en-US" w:eastAsia="zh-CN"/>
              </w:rPr>
              <w:t>0</w:t>
            </w:r>
          </w:p>
        </w:tc>
      </w:tr>
      <w:tr>
        <w:tblPrEx>
          <w:tblLayout w:type="fixed"/>
          <w:tblCellMar>
            <w:top w:w="0" w:type="dxa"/>
            <w:left w:w="108" w:type="dxa"/>
            <w:bottom w:w="0" w:type="dxa"/>
            <w:right w:w="108" w:type="dxa"/>
          </w:tblCellMar>
        </w:tblPrEx>
        <w:trPr>
          <w:trHeight w:val="585" w:hRule="atLeast"/>
        </w:trPr>
        <w:tc>
          <w:tcPr>
            <w:tcW w:w="69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年度目标完成情况</w:t>
            </w:r>
          </w:p>
        </w:tc>
        <w:tc>
          <w:tcPr>
            <w:tcW w:w="4620" w:type="dxa"/>
            <w:gridSpan w:val="4"/>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hint="eastAsia" w:ascii="宋体" w:hAnsi="宋体" w:cs="宋体"/>
                <w:kern w:val="0"/>
                <w:sz w:val="24"/>
              </w:rPr>
              <w:t>预期目标</w:t>
            </w:r>
          </w:p>
        </w:tc>
        <w:tc>
          <w:tcPr>
            <w:tcW w:w="3448"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hint="eastAsia" w:ascii="宋体" w:hAnsi="宋体" w:cs="宋体"/>
                <w:kern w:val="0"/>
                <w:sz w:val="24"/>
              </w:rPr>
              <w:t>实际完成目标</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4620" w:type="dxa"/>
            <w:gridSpan w:val="4"/>
            <w:vMerge w:val="restart"/>
            <w:tcBorders>
              <w:top w:val="single" w:color="auto" w:sz="4" w:space="0"/>
              <w:left w:val="single" w:color="auto" w:sz="4" w:space="0"/>
              <w:bottom w:val="single" w:color="000000" w:sz="4" w:space="0"/>
              <w:right w:val="single" w:color="000000" w:sz="4" w:space="0"/>
            </w:tcBorders>
            <w:vAlign w:val="center"/>
          </w:tcPr>
          <w:p>
            <w:pPr>
              <w:widowControl/>
              <w:jc w:val="left"/>
              <w:rPr>
                <w:rFonts w:hint="eastAsia" w:ascii="宋体" w:cs="宋体"/>
                <w:kern w:val="0"/>
                <w:sz w:val="24"/>
                <w:lang w:eastAsia="zh-CN"/>
              </w:rPr>
            </w:pPr>
            <w:r>
              <w:rPr>
                <w:rFonts w:hint="eastAsia" w:ascii="宋体" w:cs="宋体"/>
                <w:kern w:val="0"/>
                <w:sz w:val="24"/>
              </w:rPr>
              <w:t>减少违反犯罪事件，及时监控全县各地，预防严重违法犯罪事故发生，改善办公环境，从而提高办公效率，提高接警处置效率，充分发挥公安职能，维护社会稳定</w:t>
            </w:r>
            <w:r>
              <w:rPr>
                <w:rFonts w:hint="eastAsia" w:ascii="宋体" w:cs="宋体"/>
                <w:kern w:val="0"/>
                <w:sz w:val="24"/>
                <w:lang w:eastAsia="zh-CN"/>
              </w:rPr>
              <w:t>。</w:t>
            </w:r>
          </w:p>
          <w:p>
            <w:pPr>
              <w:widowControl/>
              <w:jc w:val="left"/>
              <w:rPr>
                <w:rFonts w:ascii="宋体" w:cs="宋体"/>
                <w:kern w:val="0"/>
                <w:sz w:val="24"/>
              </w:rPr>
            </w:pPr>
          </w:p>
        </w:tc>
        <w:tc>
          <w:tcPr>
            <w:tcW w:w="3448" w:type="dxa"/>
            <w:gridSpan w:val="2"/>
            <w:vMerge w:val="restart"/>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r>
              <w:rPr>
                <w:rFonts w:hint="eastAsia" w:ascii="宋体" w:cs="宋体"/>
                <w:kern w:val="0"/>
                <w:sz w:val="24"/>
              </w:rPr>
              <w:t>减少违反犯罪事件，及时监控全县各地，预防严重违法犯罪事故发生，改善办公环境，从而提高办公效率，提高接警处置效率，充分发挥公安职能，维护社会稳定</w:t>
            </w:r>
            <w:r>
              <w:rPr>
                <w:rFonts w:hint="eastAsia" w:ascii="宋体" w:cs="宋体"/>
                <w:kern w:val="0"/>
                <w:sz w:val="24"/>
                <w:lang w:eastAsia="zh-CN"/>
              </w:rPr>
              <w:t>。</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4620"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c>
          <w:tcPr>
            <w:tcW w:w="3448"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432" w:hRule="atLeast"/>
        </w:trPr>
        <w:tc>
          <w:tcPr>
            <w:tcW w:w="6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4620"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c>
          <w:tcPr>
            <w:tcW w:w="3448"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870" w:hRule="atLeast"/>
        </w:trPr>
        <w:tc>
          <w:tcPr>
            <w:tcW w:w="696" w:type="dxa"/>
            <w:vMerge w:val="restart"/>
            <w:tcBorders>
              <w:top w:val="nil"/>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年度绩效指标完成情况</w:t>
            </w:r>
          </w:p>
        </w:tc>
        <w:tc>
          <w:tcPr>
            <w:tcW w:w="1212"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一级指标</w:t>
            </w:r>
          </w:p>
        </w:tc>
        <w:tc>
          <w:tcPr>
            <w:tcW w:w="130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二级指标</w:t>
            </w:r>
          </w:p>
        </w:tc>
        <w:tc>
          <w:tcPr>
            <w:tcW w:w="2101"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hint="eastAsia" w:ascii="宋体" w:hAnsi="宋体" w:cs="宋体"/>
                <w:kern w:val="0"/>
                <w:sz w:val="24"/>
              </w:rPr>
              <w:t>三级指标</w:t>
            </w:r>
          </w:p>
        </w:tc>
        <w:tc>
          <w:tcPr>
            <w:tcW w:w="133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预期指标值（包含数字及文字描述）</w:t>
            </w:r>
          </w:p>
        </w:tc>
        <w:tc>
          <w:tcPr>
            <w:tcW w:w="211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实际完成指标值（包含数字及文字描述）</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restart"/>
            <w:tcBorders>
              <w:top w:val="nil"/>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项目完成指标</w:t>
            </w:r>
          </w:p>
        </w:tc>
        <w:tc>
          <w:tcPr>
            <w:tcW w:w="130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数量指标</w:t>
            </w:r>
          </w:p>
        </w:tc>
        <w:tc>
          <w:tcPr>
            <w:tcW w:w="2101"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项目投资金额</w:t>
            </w:r>
          </w:p>
        </w:tc>
        <w:tc>
          <w:tcPr>
            <w:tcW w:w="1335" w:type="dxa"/>
            <w:tcBorders>
              <w:top w:val="nil"/>
              <w:left w:val="nil"/>
              <w:bottom w:val="single" w:color="auto" w:sz="4" w:space="0"/>
              <w:right w:val="single" w:color="auto" w:sz="4" w:space="0"/>
            </w:tcBorders>
            <w:vAlign w:val="center"/>
          </w:tcPr>
          <w:p>
            <w:pPr>
              <w:widowControl/>
              <w:jc w:val="left"/>
              <w:rPr>
                <w:rFonts w:hint="default" w:ascii="宋体" w:eastAsia="宋体" w:cs="宋体"/>
                <w:kern w:val="0"/>
                <w:sz w:val="24"/>
                <w:lang w:val="en-US" w:eastAsia="zh-CN"/>
              </w:rPr>
            </w:pPr>
            <w:r>
              <w:rPr>
                <w:rFonts w:hint="eastAsia" w:ascii="宋体" w:cs="宋体"/>
                <w:kern w:val="0"/>
                <w:sz w:val="24"/>
                <w:lang w:val="en-US" w:eastAsia="zh-CN"/>
              </w:rPr>
              <w:t>241</w:t>
            </w:r>
          </w:p>
        </w:tc>
        <w:tc>
          <w:tcPr>
            <w:tcW w:w="2113" w:type="dxa"/>
            <w:tcBorders>
              <w:top w:val="nil"/>
              <w:left w:val="nil"/>
              <w:bottom w:val="single" w:color="auto" w:sz="4" w:space="0"/>
              <w:right w:val="single" w:color="auto" w:sz="4" w:space="0"/>
            </w:tcBorders>
            <w:vAlign w:val="center"/>
          </w:tcPr>
          <w:p>
            <w:pPr>
              <w:widowControl/>
              <w:jc w:val="left"/>
              <w:rPr>
                <w:rFonts w:hint="default" w:ascii="宋体" w:eastAsia="宋体" w:cs="宋体"/>
                <w:kern w:val="0"/>
                <w:sz w:val="24"/>
                <w:lang w:val="en-US" w:eastAsia="zh-CN"/>
              </w:rPr>
            </w:pPr>
            <w:r>
              <w:rPr>
                <w:rFonts w:hint="eastAsia" w:ascii="宋体" w:hAnsi="宋体" w:cs="宋体"/>
                <w:kern w:val="0"/>
                <w:sz w:val="24"/>
                <w:lang w:val="en-US" w:eastAsia="zh-CN"/>
              </w:rPr>
              <w:t>241</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2101"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建筑面积</w:t>
            </w:r>
          </w:p>
        </w:tc>
        <w:tc>
          <w:tcPr>
            <w:tcW w:w="133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宋体" w:hAnsi="宋体" w:cs="宋体"/>
                <w:kern w:val="0"/>
                <w:sz w:val="24"/>
              </w:rPr>
              <w:t>14960.36</w:t>
            </w:r>
            <w:r>
              <w:rPr>
                <w:rFonts w:hint="eastAsia" w:ascii="宋体" w:hAnsi="宋体" w:cs="宋体"/>
                <w:kern w:val="0"/>
                <w:sz w:val="24"/>
              </w:rPr>
              <w:t>平方米</w:t>
            </w:r>
          </w:p>
        </w:tc>
        <w:tc>
          <w:tcPr>
            <w:tcW w:w="211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宋体" w:hAnsi="宋体" w:cs="宋体"/>
                <w:kern w:val="0"/>
                <w:sz w:val="24"/>
              </w:rPr>
              <w:t>14960.36</w:t>
            </w:r>
            <w:r>
              <w:rPr>
                <w:rFonts w:hint="eastAsia" w:ascii="宋体" w:hAnsi="宋体" w:cs="宋体"/>
                <w:kern w:val="0"/>
                <w:sz w:val="24"/>
              </w:rPr>
              <w:t>平方米</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2101"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建筑年限</w:t>
            </w:r>
          </w:p>
        </w:tc>
        <w:tc>
          <w:tcPr>
            <w:tcW w:w="1335"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4"/>
                <w:lang w:val="en-US" w:eastAsia="zh-CN"/>
              </w:rPr>
            </w:pPr>
            <w:r>
              <w:rPr>
                <w:rFonts w:hint="eastAsia" w:ascii="宋体" w:cs="宋体"/>
                <w:kern w:val="0"/>
                <w:sz w:val="24"/>
                <w:lang w:val="en-US" w:eastAsia="zh-CN"/>
              </w:rPr>
              <w:t>2年</w:t>
            </w:r>
          </w:p>
        </w:tc>
        <w:tc>
          <w:tcPr>
            <w:tcW w:w="2113"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4"/>
                <w:lang w:eastAsia="zh-CN"/>
              </w:rPr>
            </w:pPr>
            <w:r>
              <w:rPr>
                <w:rFonts w:hint="eastAsia" w:ascii="宋体" w:hAnsi="宋体" w:cs="宋体"/>
                <w:kern w:val="0"/>
                <w:sz w:val="24"/>
                <w:lang w:val="en-US" w:eastAsia="zh-CN"/>
              </w:rPr>
              <w:t>2年</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7" w:type="dxa"/>
            <w:tcBorders>
              <w:top w:val="nil"/>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质量指标</w:t>
            </w:r>
          </w:p>
        </w:tc>
        <w:tc>
          <w:tcPr>
            <w:tcW w:w="2101"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提高办事效率和质量，方便群众办事</w:t>
            </w:r>
          </w:p>
        </w:tc>
        <w:tc>
          <w:tcPr>
            <w:tcW w:w="133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lang w:eastAsia="zh-CN"/>
              </w:rPr>
              <w:t>群众满意度明显提高</w:t>
            </w:r>
          </w:p>
        </w:tc>
        <w:tc>
          <w:tcPr>
            <w:tcW w:w="211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lang w:eastAsia="zh-CN"/>
              </w:rPr>
              <w:t>群众满意度明显提高</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7"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时效指标</w:t>
            </w:r>
          </w:p>
        </w:tc>
        <w:tc>
          <w:tcPr>
            <w:tcW w:w="2101"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lang w:eastAsia="zh-CN"/>
              </w:rPr>
              <w:t>资金执行率</w:t>
            </w:r>
          </w:p>
        </w:tc>
        <w:tc>
          <w:tcPr>
            <w:tcW w:w="133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lang w:val="en-US" w:eastAsia="zh-CN"/>
              </w:rPr>
              <w:t>100%</w:t>
            </w:r>
          </w:p>
        </w:tc>
        <w:tc>
          <w:tcPr>
            <w:tcW w:w="2113" w:type="dxa"/>
            <w:tcBorders>
              <w:top w:val="nil"/>
              <w:left w:val="nil"/>
              <w:bottom w:val="single" w:color="auto" w:sz="4" w:space="0"/>
              <w:right w:val="single" w:color="auto" w:sz="4" w:space="0"/>
            </w:tcBorders>
            <w:vAlign w:val="center"/>
          </w:tcPr>
          <w:p>
            <w:pPr>
              <w:widowControl/>
              <w:ind w:firstLine="240" w:firstLineChars="100"/>
              <w:jc w:val="left"/>
              <w:rPr>
                <w:rFonts w:ascii="宋体" w:cs="宋体"/>
                <w:kern w:val="0"/>
                <w:sz w:val="24"/>
              </w:rPr>
            </w:pPr>
            <w:r>
              <w:rPr>
                <w:rFonts w:hint="eastAsia" w:ascii="宋体" w:hAnsi="宋体" w:cs="宋体"/>
                <w:kern w:val="0"/>
                <w:sz w:val="24"/>
                <w:lang w:val="en-US" w:eastAsia="zh-CN"/>
              </w:rPr>
              <w:t>100%</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7"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成本指标</w:t>
            </w:r>
          </w:p>
        </w:tc>
        <w:tc>
          <w:tcPr>
            <w:tcW w:w="2101"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lang w:eastAsia="zh-CN"/>
              </w:rPr>
              <w:t>上级专项资金金额</w:t>
            </w:r>
          </w:p>
        </w:tc>
        <w:tc>
          <w:tcPr>
            <w:tcW w:w="1335" w:type="dxa"/>
            <w:tcBorders>
              <w:top w:val="nil"/>
              <w:left w:val="nil"/>
              <w:bottom w:val="single" w:color="auto" w:sz="4" w:space="0"/>
              <w:right w:val="single" w:color="auto" w:sz="4" w:space="0"/>
            </w:tcBorders>
            <w:vAlign w:val="center"/>
          </w:tcPr>
          <w:p>
            <w:pPr>
              <w:widowControl/>
              <w:jc w:val="left"/>
              <w:rPr>
                <w:rFonts w:hint="default" w:ascii="宋体" w:cs="宋体"/>
                <w:kern w:val="0"/>
                <w:sz w:val="24"/>
                <w:lang w:val="en-US"/>
              </w:rPr>
            </w:pPr>
            <w:r>
              <w:rPr>
                <w:rFonts w:hint="eastAsia" w:ascii="宋体" w:hAnsi="宋体" w:cs="宋体"/>
                <w:kern w:val="0"/>
                <w:sz w:val="24"/>
                <w:lang w:val="en-US" w:eastAsia="zh-CN"/>
              </w:rPr>
              <w:t>241</w:t>
            </w:r>
          </w:p>
        </w:tc>
        <w:tc>
          <w:tcPr>
            <w:tcW w:w="2113" w:type="dxa"/>
            <w:tcBorders>
              <w:top w:val="nil"/>
              <w:left w:val="nil"/>
              <w:bottom w:val="single" w:color="auto" w:sz="4" w:space="0"/>
              <w:right w:val="single" w:color="auto" w:sz="4" w:space="0"/>
            </w:tcBorders>
            <w:vAlign w:val="center"/>
          </w:tcPr>
          <w:p>
            <w:pPr>
              <w:widowControl/>
              <w:jc w:val="left"/>
              <w:rPr>
                <w:rFonts w:hint="default" w:ascii="宋体" w:cs="宋体"/>
                <w:kern w:val="0"/>
                <w:sz w:val="24"/>
                <w:lang w:val="en-US"/>
              </w:rPr>
            </w:pPr>
            <w:r>
              <w:rPr>
                <w:rFonts w:hint="eastAsia" w:ascii="宋体" w:hAnsi="宋体" w:cs="宋体"/>
                <w:kern w:val="0"/>
                <w:sz w:val="24"/>
                <w:lang w:val="en-US" w:eastAsia="zh-CN"/>
              </w:rPr>
              <w:t>241</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restart"/>
            <w:tcBorders>
              <w:top w:val="single" w:color="auto" w:sz="4" w:space="0"/>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项目效果指标</w:t>
            </w:r>
          </w:p>
        </w:tc>
        <w:tc>
          <w:tcPr>
            <w:tcW w:w="1307"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经济效益指标</w:t>
            </w:r>
          </w:p>
        </w:tc>
        <w:tc>
          <w:tcPr>
            <w:tcW w:w="2101"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p>
        </w:tc>
        <w:tc>
          <w:tcPr>
            <w:tcW w:w="133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211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327"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307" w:type="dxa"/>
            <w:vMerge w:val="restart"/>
            <w:tcBorders>
              <w:top w:val="single" w:color="auto" w:sz="4" w:space="0"/>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社会效益指标</w:t>
            </w:r>
          </w:p>
        </w:tc>
        <w:tc>
          <w:tcPr>
            <w:tcW w:w="2101"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提高接警处置效率，充分发挥公安职能，维护社会稳定</w:t>
            </w:r>
          </w:p>
        </w:tc>
        <w:tc>
          <w:tcPr>
            <w:tcW w:w="133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提升公安形象</w:t>
            </w:r>
          </w:p>
        </w:tc>
        <w:tc>
          <w:tcPr>
            <w:tcW w:w="211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提升公安形象</w:t>
            </w:r>
          </w:p>
        </w:tc>
      </w:tr>
      <w:tr>
        <w:tblPrEx>
          <w:tblLayout w:type="fixed"/>
          <w:tblCellMar>
            <w:top w:w="0" w:type="dxa"/>
            <w:left w:w="108" w:type="dxa"/>
            <w:bottom w:w="0" w:type="dxa"/>
            <w:right w:w="108" w:type="dxa"/>
          </w:tblCellMar>
        </w:tblPrEx>
        <w:trPr>
          <w:trHeight w:val="291"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307"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2101"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改善办公环境，方便群众办事，</w:t>
            </w:r>
          </w:p>
        </w:tc>
        <w:tc>
          <w:tcPr>
            <w:tcW w:w="133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lang w:eastAsia="zh-CN"/>
              </w:rPr>
              <w:t>群众满意度明显提高</w:t>
            </w:r>
          </w:p>
        </w:tc>
        <w:tc>
          <w:tcPr>
            <w:tcW w:w="211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lang w:eastAsia="zh-CN"/>
              </w:rPr>
              <w:t>群众满意度明显提高</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307"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生态效益指标</w:t>
            </w:r>
          </w:p>
        </w:tc>
        <w:tc>
          <w:tcPr>
            <w:tcW w:w="2101"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p>
        </w:tc>
        <w:tc>
          <w:tcPr>
            <w:tcW w:w="133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211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33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307"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可持续影响指标</w:t>
            </w:r>
          </w:p>
        </w:tc>
        <w:tc>
          <w:tcPr>
            <w:tcW w:w="2101"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lang w:val="en-US" w:eastAsia="zh-CN"/>
              </w:rPr>
              <w:t xml:space="preserve"> 社会面管控</w:t>
            </w:r>
          </w:p>
        </w:tc>
        <w:tc>
          <w:tcPr>
            <w:tcW w:w="133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lang w:val="en-US" w:eastAsia="zh-CN"/>
              </w:rPr>
              <w:t>长期</w:t>
            </w:r>
          </w:p>
        </w:tc>
        <w:tc>
          <w:tcPr>
            <w:tcW w:w="211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lang w:val="en-US" w:eastAsia="zh-CN"/>
              </w:rPr>
              <w:t>长期</w:t>
            </w:r>
          </w:p>
        </w:tc>
      </w:tr>
      <w:tr>
        <w:tblPrEx>
          <w:tblLayout w:type="fixed"/>
          <w:tblCellMar>
            <w:top w:w="0" w:type="dxa"/>
            <w:left w:w="108" w:type="dxa"/>
            <w:bottom w:w="0" w:type="dxa"/>
            <w:right w:w="108" w:type="dxa"/>
          </w:tblCellMar>
        </w:tblPrEx>
        <w:trPr>
          <w:trHeight w:val="259"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满意度指标</w:t>
            </w:r>
          </w:p>
        </w:tc>
        <w:tc>
          <w:tcPr>
            <w:tcW w:w="1307"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满意度指标</w:t>
            </w:r>
          </w:p>
        </w:tc>
        <w:tc>
          <w:tcPr>
            <w:tcW w:w="2101"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rPr>
              <w:t>加强法律</w:t>
            </w:r>
            <w:r>
              <w:rPr>
                <w:rFonts w:hint="eastAsia" w:ascii="宋体" w:hAnsi="宋体" w:cs="宋体"/>
                <w:kern w:val="0"/>
                <w:sz w:val="24"/>
                <w:lang w:eastAsia="zh-CN"/>
              </w:rPr>
              <w:t>打击力度</w:t>
            </w:r>
            <w:r>
              <w:rPr>
                <w:rFonts w:hint="eastAsia" w:ascii="宋体" w:hAnsi="宋体" w:cs="宋体"/>
                <w:kern w:val="0"/>
                <w:sz w:val="24"/>
              </w:rPr>
              <w:t>，维护</w:t>
            </w:r>
            <w:r>
              <w:rPr>
                <w:rFonts w:hint="eastAsia" w:ascii="宋体" w:hAnsi="宋体" w:cs="宋体"/>
                <w:kern w:val="0"/>
                <w:sz w:val="24"/>
                <w:lang w:eastAsia="zh-CN"/>
              </w:rPr>
              <w:t>社会稳定</w:t>
            </w:r>
            <w:r>
              <w:rPr>
                <w:rFonts w:hint="eastAsia" w:ascii="宋体" w:hAnsi="宋体" w:cs="宋体"/>
                <w:kern w:val="0"/>
                <w:sz w:val="24"/>
              </w:rPr>
              <w:t>满意度</w:t>
            </w:r>
          </w:p>
        </w:tc>
        <w:tc>
          <w:tcPr>
            <w:tcW w:w="133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&gt;90%</w:t>
            </w:r>
          </w:p>
        </w:tc>
        <w:tc>
          <w:tcPr>
            <w:tcW w:w="211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&gt;90%</w:t>
            </w:r>
          </w:p>
        </w:tc>
      </w:tr>
    </w:tbl>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41CBD3C-23DF-4BA2-8C49-568F1588BEF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EF3FF86D-3B7B-462F-B22D-0348940D3AC8}"/>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C5B940E6-0463-49F8-9DA1-EC76D48C3C56}"/>
  </w:font>
  <w:font w:name="华文中宋">
    <w:altName w:val="微软雅黑"/>
    <w:panose1 w:val="02010600040101010101"/>
    <w:charset w:val="86"/>
    <w:family w:val="auto"/>
    <w:pitch w:val="default"/>
    <w:sig w:usb0="00000000" w:usb1="00000000" w:usb2="00000010" w:usb3="00000000" w:csb0="0004009F" w:csb1="00000000"/>
    <w:embedRegular r:id="rId4" w:fontKey="{F02AE1B0-15D5-413A-93FA-CD9806F39170}"/>
  </w:font>
  <w:font w:name="方正小标宋_GBK">
    <w:panose1 w:val="02000000000000000000"/>
    <w:charset w:val="86"/>
    <w:family w:val="script"/>
    <w:pitch w:val="default"/>
    <w:sig w:usb0="00000000" w:usb1="00000000" w:usb2="00000000" w:usb3="00000000" w:csb0="00000000" w:csb1="00000000"/>
    <w:embedRegular r:id="rId5" w:fontKey="{47818842-D42B-412A-91A0-C711F09C6BE8}"/>
  </w:font>
  <w:font w:name="仿宋_GB2312">
    <w:altName w:val="仿宋"/>
    <w:panose1 w:val="00000000000000000000"/>
    <w:charset w:val="86"/>
    <w:family w:val="modern"/>
    <w:pitch w:val="default"/>
    <w:sig w:usb0="00000000" w:usb1="00000000" w:usb2="00000010" w:usb3="00000000" w:csb0="00040000" w:csb1="00000000"/>
    <w:embedRegular r:id="rId6" w:fontKey="{76650C6F-534B-476B-BDF6-451355AEF330}"/>
  </w:font>
  <w:font w:name="楷体">
    <w:panose1 w:val="02010609060101010101"/>
    <w:charset w:val="86"/>
    <w:family w:val="modern"/>
    <w:pitch w:val="default"/>
    <w:sig w:usb0="800002BF" w:usb1="38CF7CFA" w:usb2="00000016" w:usb3="00000000" w:csb0="00040001" w:csb1="00000000"/>
    <w:embedRegular r:id="rId7" w:fontKey="{64787430-A0C9-42BB-A023-92643AE2F377}"/>
  </w:font>
  <w:font w:name="方正仿宋_GBK">
    <w:altName w:val="宋体"/>
    <w:panose1 w:val="03000509000000000000"/>
    <w:charset w:val="86"/>
    <w:family w:val="script"/>
    <w:pitch w:val="default"/>
    <w:sig w:usb0="00000000" w:usb1="00000000" w:usb2="00000000" w:usb3="00000000" w:csb0="00040000" w:csb1="00000000"/>
    <w:embedRegular r:id="rId8" w:fontKey="{9A7AB2E8-1DEF-4261-9DF2-47C17286B8F3}"/>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3</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0FB1CA"/>
    <w:multiLevelType w:val="singleLevel"/>
    <w:tmpl w:val="5D0FB1C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TrueTypeFonts/>
  <w:saveSubset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4816"/>
    <w:rsid w:val="00051D6B"/>
    <w:rsid w:val="00056465"/>
    <w:rsid w:val="000E7402"/>
    <w:rsid w:val="00121AE4"/>
    <w:rsid w:val="00146AAD"/>
    <w:rsid w:val="001B3A40"/>
    <w:rsid w:val="002977E8"/>
    <w:rsid w:val="003337E0"/>
    <w:rsid w:val="003C18BC"/>
    <w:rsid w:val="004366A8"/>
    <w:rsid w:val="00464900"/>
    <w:rsid w:val="004852B0"/>
    <w:rsid w:val="00502BA7"/>
    <w:rsid w:val="005162F1"/>
    <w:rsid w:val="00535153"/>
    <w:rsid w:val="00542434"/>
    <w:rsid w:val="00554F82"/>
    <w:rsid w:val="0056390D"/>
    <w:rsid w:val="005719B0"/>
    <w:rsid w:val="005C50AE"/>
    <w:rsid w:val="005D10D6"/>
    <w:rsid w:val="006F709F"/>
    <w:rsid w:val="007806A5"/>
    <w:rsid w:val="007A7588"/>
    <w:rsid w:val="007C5E51"/>
    <w:rsid w:val="007D1D4C"/>
    <w:rsid w:val="00855E3A"/>
    <w:rsid w:val="008858F2"/>
    <w:rsid w:val="008C60C2"/>
    <w:rsid w:val="008D24C5"/>
    <w:rsid w:val="008F7A1D"/>
    <w:rsid w:val="00922CB9"/>
    <w:rsid w:val="009C4E03"/>
    <w:rsid w:val="009E5CD9"/>
    <w:rsid w:val="009F4AB5"/>
    <w:rsid w:val="00A26421"/>
    <w:rsid w:val="00A337BA"/>
    <w:rsid w:val="00A4293B"/>
    <w:rsid w:val="00A67D50"/>
    <w:rsid w:val="00A8691A"/>
    <w:rsid w:val="00AA2202"/>
    <w:rsid w:val="00AC1946"/>
    <w:rsid w:val="00AF2231"/>
    <w:rsid w:val="00B40063"/>
    <w:rsid w:val="00B41F61"/>
    <w:rsid w:val="00BA46E6"/>
    <w:rsid w:val="00C042BC"/>
    <w:rsid w:val="00C56C72"/>
    <w:rsid w:val="00CA6457"/>
    <w:rsid w:val="00CC4FD7"/>
    <w:rsid w:val="00D17F2E"/>
    <w:rsid w:val="00D209D1"/>
    <w:rsid w:val="00D2223F"/>
    <w:rsid w:val="00D30354"/>
    <w:rsid w:val="00D82C00"/>
    <w:rsid w:val="00DF42A0"/>
    <w:rsid w:val="00E0665E"/>
    <w:rsid w:val="00E46C51"/>
    <w:rsid w:val="00E769FE"/>
    <w:rsid w:val="00EA2CBE"/>
    <w:rsid w:val="00EE7710"/>
    <w:rsid w:val="00EF2659"/>
    <w:rsid w:val="00F2607F"/>
    <w:rsid w:val="00F32FEE"/>
    <w:rsid w:val="00FB10BB"/>
    <w:rsid w:val="00FD0AD7"/>
    <w:rsid w:val="02F8127E"/>
    <w:rsid w:val="0EF14172"/>
    <w:rsid w:val="1FB86B1B"/>
    <w:rsid w:val="2A0F5EF2"/>
    <w:rsid w:val="2AE233A4"/>
    <w:rsid w:val="30271EF5"/>
    <w:rsid w:val="370C0CF7"/>
    <w:rsid w:val="451C6713"/>
    <w:rsid w:val="4A3B3295"/>
    <w:rsid w:val="4B730481"/>
    <w:rsid w:val="538C1CD3"/>
    <w:rsid w:val="553C40C4"/>
    <w:rsid w:val="63C42FF6"/>
    <w:rsid w:val="67296FF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qFormat/>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qFormat/>
    <w:uiPriority w:val="99"/>
    <w:rPr>
      <w:rFonts w:ascii="Calibri" w:hAnsi="Calibri" w:cs="Times New Roman"/>
      <w:b/>
      <w:i/>
      <w:iCs/>
    </w:rPr>
  </w:style>
  <w:style w:type="character" w:customStyle="1" w:styleId="21">
    <w:name w:val="标题 1 Char"/>
    <w:link w:val="2"/>
    <w:qFormat/>
    <w:locked/>
    <w:uiPriority w:val="99"/>
    <w:rPr>
      <w:rFonts w:ascii="Cambria" w:hAnsi="Cambria" w:eastAsia="宋体" w:cs="Times New Roman"/>
      <w:b/>
      <w:bCs/>
      <w:kern w:val="32"/>
      <w:sz w:val="32"/>
      <w:szCs w:val="32"/>
    </w:rPr>
  </w:style>
  <w:style w:type="character" w:customStyle="1" w:styleId="22">
    <w:name w:val="标题 2 Char"/>
    <w:link w:val="3"/>
    <w:semiHidden/>
    <w:qFormat/>
    <w:locked/>
    <w:uiPriority w:val="99"/>
    <w:rPr>
      <w:rFonts w:ascii="Cambria" w:hAnsi="Cambria" w:eastAsia="宋体" w:cs="Times New Roman"/>
      <w:b/>
      <w:bCs/>
      <w:i/>
      <w:iCs/>
      <w:sz w:val="28"/>
      <w:szCs w:val="28"/>
    </w:rPr>
  </w:style>
  <w:style w:type="character" w:customStyle="1" w:styleId="23">
    <w:name w:val="标题 3 Char"/>
    <w:link w:val="4"/>
    <w:semiHidden/>
    <w:qFormat/>
    <w:locked/>
    <w:uiPriority w:val="99"/>
    <w:rPr>
      <w:rFonts w:ascii="Cambria" w:hAnsi="Cambria" w:eastAsia="宋体" w:cs="Times New Roman"/>
      <w:b/>
      <w:bCs/>
      <w:sz w:val="26"/>
      <w:szCs w:val="26"/>
    </w:rPr>
  </w:style>
  <w:style w:type="character" w:customStyle="1" w:styleId="24">
    <w:name w:val="标题 4 Char"/>
    <w:link w:val="5"/>
    <w:semiHidden/>
    <w:qFormat/>
    <w:locked/>
    <w:uiPriority w:val="99"/>
    <w:rPr>
      <w:rFonts w:cs="Times New Roman"/>
      <w:b/>
      <w:bCs/>
      <w:sz w:val="28"/>
      <w:szCs w:val="28"/>
    </w:rPr>
  </w:style>
  <w:style w:type="character" w:customStyle="1" w:styleId="25">
    <w:name w:val="标题 5 Char"/>
    <w:link w:val="6"/>
    <w:semiHidden/>
    <w:qFormat/>
    <w:locked/>
    <w:uiPriority w:val="99"/>
    <w:rPr>
      <w:rFonts w:cs="Times New Roman"/>
      <w:b/>
      <w:bCs/>
      <w:i/>
      <w:iCs/>
      <w:sz w:val="26"/>
      <w:szCs w:val="26"/>
    </w:rPr>
  </w:style>
  <w:style w:type="character" w:customStyle="1" w:styleId="26">
    <w:name w:val="标题 6 Char"/>
    <w:link w:val="7"/>
    <w:semiHidden/>
    <w:qFormat/>
    <w:locked/>
    <w:uiPriority w:val="99"/>
    <w:rPr>
      <w:rFonts w:cs="Times New Roman"/>
      <w:b/>
      <w:bCs/>
    </w:rPr>
  </w:style>
  <w:style w:type="character" w:customStyle="1" w:styleId="27">
    <w:name w:val="标题 7 Char"/>
    <w:link w:val="8"/>
    <w:semiHidden/>
    <w:qFormat/>
    <w:locked/>
    <w:uiPriority w:val="99"/>
    <w:rPr>
      <w:rFonts w:cs="Times New Roman"/>
      <w:sz w:val="24"/>
      <w:szCs w:val="24"/>
    </w:rPr>
  </w:style>
  <w:style w:type="character" w:customStyle="1" w:styleId="28">
    <w:name w:val="标题 8 Char"/>
    <w:link w:val="9"/>
    <w:semiHidden/>
    <w:qFormat/>
    <w:locked/>
    <w:uiPriority w:val="99"/>
    <w:rPr>
      <w:rFonts w:cs="Times New Roman"/>
      <w:i/>
      <w:iCs/>
      <w:sz w:val="24"/>
      <w:szCs w:val="24"/>
    </w:rPr>
  </w:style>
  <w:style w:type="character" w:customStyle="1" w:styleId="29">
    <w:name w:val="标题 9 Char"/>
    <w:link w:val="10"/>
    <w:semiHidden/>
    <w:qFormat/>
    <w:locked/>
    <w:uiPriority w:val="99"/>
    <w:rPr>
      <w:rFonts w:ascii="Cambria" w:hAnsi="Cambria" w:eastAsia="宋体" w:cs="Times New Roman"/>
    </w:rPr>
  </w:style>
  <w:style w:type="character" w:customStyle="1" w:styleId="30">
    <w:name w:val="批注框文本 Char"/>
    <w:link w:val="11"/>
    <w:semiHidden/>
    <w:qFormat/>
    <w:locked/>
    <w:uiPriority w:val="99"/>
    <w:rPr>
      <w:rFonts w:ascii="Times New Roman" w:hAnsi="Times New Roman" w:eastAsia="宋体" w:cs="Times New Roman"/>
      <w:kern w:val="2"/>
      <w:sz w:val="18"/>
      <w:szCs w:val="18"/>
    </w:rPr>
  </w:style>
  <w:style w:type="character" w:customStyle="1" w:styleId="31">
    <w:name w:val="页脚 Char"/>
    <w:link w:val="12"/>
    <w:qFormat/>
    <w:locked/>
    <w:uiPriority w:val="99"/>
    <w:rPr>
      <w:rFonts w:ascii="Calibri" w:hAnsi="Calibri" w:eastAsia="宋体" w:cs="Times New Roman"/>
      <w:kern w:val="2"/>
      <w:sz w:val="18"/>
      <w:szCs w:val="18"/>
    </w:rPr>
  </w:style>
  <w:style w:type="character" w:customStyle="1" w:styleId="32">
    <w:name w:val="页眉 Char"/>
    <w:link w:val="13"/>
    <w:qFormat/>
    <w:locked/>
    <w:uiPriority w:val="99"/>
    <w:rPr>
      <w:rFonts w:ascii="Calibri" w:hAnsi="Calibri" w:eastAsia="宋体" w:cs="Times New Roman"/>
      <w:kern w:val="2"/>
      <w:sz w:val="18"/>
      <w:szCs w:val="18"/>
    </w:rPr>
  </w:style>
  <w:style w:type="character" w:customStyle="1" w:styleId="33">
    <w:name w:val="副标题 Char"/>
    <w:link w:val="14"/>
    <w:qFormat/>
    <w:locked/>
    <w:uiPriority w:val="99"/>
    <w:rPr>
      <w:rFonts w:ascii="Cambria" w:hAnsi="Cambria" w:eastAsia="宋体" w:cs="Times New Roman"/>
      <w:sz w:val="24"/>
      <w:szCs w:val="24"/>
    </w:rPr>
  </w:style>
  <w:style w:type="character" w:customStyle="1" w:styleId="34">
    <w:name w:val="标题 Char"/>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qFormat/>
    <w:uiPriority w:val="99"/>
    <w:rPr>
      <w:rFonts w:cs="Times New Roman"/>
      <w:b/>
      <w:i/>
      <w:sz w:val="24"/>
      <w:szCs w:val="24"/>
      <w:u w:val="single"/>
    </w:rPr>
  </w:style>
  <w:style w:type="character" w:customStyle="1" w:styleId="43">
    <w:name w:val="不明显参考1"/>
    <w:qFormat/>
    <w:uiPriority w:val="99"/>
    <w:rPr>
      <w:rFonts w:cs="Times New Roman"/>
      <w:sz w:val="24"/>
      <w:szCs w:val="24"/>
      <w:u w:val="single"/>
    </w:rPr>
  </w:style>
  <w:style w:type="character" w:customStyle="1" w:styleId="44">
    <w:name w:val="明显参考1"/>
    <w:qFormat/>
    <w:uiPriority w:val="99"/>
    <w:rPr>
      <w:rFonts w:cs="Times New Roman"/>
      <w:b/>
      <w:sz w:val="24"/>
      <w:u w:val="single"/>
    </w:rPr>
  </w:style>
  <w:style w:type="character" w:customStyle="1" w:styleId="45">
    <w:name w:val="书籍标题1"/>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355</Words>
  <Characters>2028</Characters>
  <Lines>16</Lines>
  <Paragraphs>4</Paragraphs>
  <TotalTime>2</TotalTime>
  <ScaleCrop>false</ScaleCrop>
  <LinksUpToDate>false</LinksUpToDate>
  <CharactersWithSpaces>2379</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2019-10-25T12:55:35Z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