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ascii="仿宋" w:hAnsi="仿宋" w:eastAsia="仿宋" w:cs="宋体"/>
          <w:kern w:val="0"/>
          <w:sz w:val="32"/>
          <w:szCs w:val="32"/>
        </w:rPr>
        <w:t>1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</w:t>
      </w:r>
      <w:r>
        <w:rPr>
          <w:rFonts w:hint="eastAsia" w:hAnsi="宋体" w:eastAsia="仿宋_GB2312" w:cs="宋体"/>
          <w:kern w:val="0"/>
          <w:sz w:val="36"/>
          <w:szCs w:val="36"/>
        </w:rPr>
        <w:t>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财政对城乡居民基本养老保险基金的补助</w:t>
      </w:r>
    </w:p>
    <w:p>
      <w:pPr>
        <w:spacing w:line="700" w:lineRule="exact"/>
        <w:ind w:firstLine="720" w:firstLineChars="2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实施单位（公章）：玛纳斯县社保局</w:t>
      </w:r>
    </w:p>
    <w:p>
      <w:pPr>
        <w:spacing w:line="700" w:lineRule="exact"/>
        <w:ind w:firstLine="720" w:firstLineChars="200"/>
        <w:jc w:val="left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主管部门（公章）：玛纳斯县人力资源社会保障局</w:t>
      </w:r>
    </w:p>
    <w:p>
      <w:pPr>
        <w:spacing w:line="700" w:lineRule="exact"/>
        <w:ind w:firstLine="720" w:firstLineChars="2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项目负责人（签章）：张莉</w:t>
      </w:r>
    </w:p>
    <w:p>
      <w:pPr>
        <w:spacing w:line="700" w:lineRule="exact"/>
        <w:ind w:firstLine="720" w:firstLineChars="200"/>
        <w:jc w:val="left"/>
        <w:rPr>
          <w:rFonts w:hAnsi="宋体" w:eastAsia="仿宋_GB2312" w:cs="宋体"/>
          <w:kern w:val="0"/>
          <w:sz w:val="36"/>
          <w:szCs w:val="36"/>
        </w:rPr>
      </w:pPr>
      <w:bookmarkStart w:id="0" w:name="_GoBack"/>
      <w:bookmarkEnd w:id="0"/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>201</w:t>
      </w:r>
      <w:r>
        <w:rPr>
          <w:rFonts w:hint="eastAsia" w:hAnsi="宋体" w:eastAsia="仿宋_GB2312" w:cs="宋体"/>
          <w:kern w:val="0"/>
          <w:sz w:val="36"/>
          <w:szCs w:val="36"/>
        </w:rPr>
        <w:t>9年2</w:t>
      </w:r>
      <w:r>
        <w:rPr>
          <w:rFonts w:hAnsi="宋体" w:eastAsia="仿宋_GB2312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>月10</w:t>
      </w:r>
      <w:r>
        <w:rPr>
          <w:rFonts w:hAnsi="宋体" w:eastAsia="仿宋_GB2312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玛纳斯县社保局负责《中华人民共和国社会保险法》和各项社会保险政策的宣传、执行和贯彻落实。负责社会保险基金的管理。具体负责全县社会保险各项基金管理制度的制定、测算、筹集、管理、上解、划拨、待遇审核支付、会计核算与精算、财务报表、基金预算决算的管理和使用等。</w:t>
      </w:r>
    </w:p>
    <w:p>
      <w:pPr>
        <w:spacing w:line="540" w:lineRule="exact"/>
        <w:ind w:firstLine="567" w:firstLineChars="181"/>
        <w:rPr>
          <w:rStyle w:val="19"/>
          <w:rFonts w:ascii="仿宋" w:hAnsi="仿宋" w:eastAsia="仿宋" w:cs="仿宋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spacing w:val="-4"/>
          <w:sz w:val="32"/>
          <w:szCs w:val="32"/>
        </w:rPr>
        <w:t>（二）项目预算绩效目标设定情况</w:t>
      </w:r>
    </w:p>
    <w:p>
      <w:pPr>
        <w:spacing w:line="540" w:lineRule="exact"/>
        <w:ind w:firstLine="64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财政对城乡居民基本养老保险基金的补助</w:t>
      </w:r>
    </w:p>
    <w:p>
      <w:pPr>
        <w:spacing w:line="540" w:lineRule="exact"/>
        <w:ind w:firstLine="640"/>
        <w:rPr>
          <w:rStyle w:val="19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9"/>
          <w:rFonts w:ascii="仿宋" w:hAnsi="仿宋" w:eastAsia="仿宋" w:cs="仿宋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567" w:firstLineChars="181"/>
        <w:rPr>
          <w:rStyle w:val="19"/>
          <w:rFonts w:ascii="仿宋" w:hAnsi="仿宋" w:eastAsia="仿宋" w:cs="仿宋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spacing w:val="-4"/>
          <w:sz w:val="32"/>
          <w:szCs w:val="32"/>
        </w:rPr>
        <w:t>2018年</w:t>
      </w:r>
      <w:r>
        <w:rPr>
          <w:rFonts w:hint="eastAsia" w:ascii="仿宋" w:hAnsi="仿宋" w:eastAsia="仿宋" w:cs="仿宋"/>
          <w:kern w:val="0"/>
          <w:sz w:val="32"/>
          <w:szCs w:val="32"/>
        </w:rPr>
        <w:t>财政</w:t>
      </w:r>
      <w:r>
        <w:rPr>
          <w:rFonts w:hint="eastAsia" w:ascii="仿宋" w:hAnsi="仿宋" w:eastAsia="仿宋" w:cs="仿宋"/>
          <w:sz w:val="32"/>
          <w:szCs w:val="32"/>
        </w:rPr>
        <w:t>负责城乡居民基本养老保险县级配套资金补助。包括缴费补贴、缴费档次补贴、村干部补助、死亡丧葬费补助、特殊群体补助低保户残疾人补助业务共计</w:t>
      </w:r>
      <w:r>
        <w:rPr>
          <w:rFonts w:hint="eastAsia" w:ascii="仿宋" w:hAnsi="仿宋" w:eastAsia="仿宋" w:cs="仿宋"/>
          <w:kern w:val="0"/>
          <w:sz w:val="32"/>
          <w:szCs w:val="32"/>
        </w:rPr>
        <w:t>2538.24万元。</w:t>
      </w:r>
    </w:p>
    <w:p>
      <w:pPr>
        <w:spacing w:line="540" w:lineRule="exact"/>
        <w:ind w:firstLine="567" w:firstLineChars="181"/>
        <w:rPr>
          <w:rStyle w:val="19"/>
          <w:rFonts w:ascii="仿宋" w:hAnsi="仿宋" w:eastAsia="仿宋" w:cs="仿宋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567" w:firstLineChars="181"/>
        <w:rPr>
          <w:rStyle w:val="19"/>
          <w:rFonts w:ascii="仿宋" w:hAnsi="仿宋" w:eastAsia="仿宋" w:cs="仿宋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spacing w:val="-4"/>
          <w:sz w:val="32"/>
          <w:szCs w:val="32"/>
        </w:rPr>
        <w:t>2018年财政</w:t>
      </w:r>
      <w:r>
        <w:rPr>
          <w:rFonts w:hint="eastAsia" w:ascii="仿宋" w:hAnsi="仿宋" w:eastAsia="仿宋" w:cs="仿宋"/>
          <w:sz w:val="32"/>
          <w:szCs w:val="32"/>
        </w:rPr>
        <w:t>对城乡居民基本养老保险县级配套资金补助。包括缴费补贴，缴费档次补贴，村干部补助，死亡丧葬费补助，特殊群体补助低保户残疾人补助业务，</w:t>
      </w:r>
      <w:r>
        <w:rPr>
          <w:rFonts w:hint="eastAsia" w:ascii="仿宋" w:hAnsi="仿宋" w:eastAsia="仿宋" w:cs="仿宋"/>
          <w:kern w:val="0"/>
          <w:sz w:val="32"/>
          <w:szCs w:val="32"/>
        </w:rPr>
        <w:t>已经全部落实到位。</w:t>
      </w:r>
    </w:p>
    <w:p>
      <w:pPr>
        <w:spacing w:line="540" w:lineRule="exact"/>
        <w:ind w:firstLine="567" w:firstLineChars="181"/>
        <w:rPr>
          <w:rStyle w:val="19"/>
          <w:rFonts w:ascii="仿宋" w:hAnsi="仿宋" w:eastAsia="仿宋" w:cs="仿宋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24" w:firstLineChars="200"/>
        <w:rPr>
          <w:rStyle w:val="19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b w:val="0"/>
          <w:spacing w:val="-4"/>
          <w:sz w:val="32"/>
          <w:szCs w:val="32"/>
        </w:rPr>
        <w:t>为了加强项目资金管理、规范项目资金运作，提高资金使用效率，实行统一使用，集中管理，以收定支，收支两条线管理。</w:t>
      </w:r>
    </w:p>
    <w:p>
      <w:pPr>
        <w:spacing w:line="540" w:lineRule="exact"/>
        <w:ind w:firstLine="624" w:firstLineChars="200"/>
        <w:rPr>
          <w:rStyle w:val="19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9"/>
          <w:rFonts w:ascii="仿宋" w:hAnsi="仿宋" w:eastAsia="仿宋" w:cs="仿宋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567" w:firstLineChars="181"/>
        <w:rPr>
          <w:rStyle w:val="19"/>
          <w:rFonts w:ascii="仿宋" w:hAnsi="仿宋" w:eastAsia="仿宋" w:cs="仿宋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spacing w:val="-4"/>
          <w:sz w:val="32"/>
          <w:szCs w:val="32"/>
        </w:rPr>
        <w:t>2018年财政</w:t>
      </w:r>
      <w:r>
        <w:rPr>
          <w:rFonts w:hint="eastAsia" w:ascii="仿宋" w:hAnsi="仿宋" w:eastAsia="仿宋" w:cs="仿宋"/>
          <w:sz w:val="32"/>
          <w:szCs w:val="32"/>
        </w:rPr>
        <w:t>对城乡居民基本养老保险县级配套资金补助。包括缴费补贴，缴费档次补贴，村干部补助，死亡丧葬费补助，特殊群体补助低保户残疾人补助业务，</w:t>
      </w:r>
      <w:r>
        <w:rPr>
          <w:rFonts w:hint="eastAsia" w:ascii="仿宋" w:hAnsi="仿宋" w:eastAsia="仿宋" w:cs="仿宋"/>
          <w:kern w:val="0"/>
          <w:sz w:val="32"/>
          <w:szCs w:val="32"/>
        </w:rPr>
        <w:t>已经全部落实到位。</w:t>
      </w:r>
      <w:r>
        <w:rPr>
          <w:rStyle w:val="19"/>
          <w:rFonts w:hint="eastAsia" w:ascii="仿宋" w:hAnsi="仿宋" w:eastAsia="仿宋" w:cs="仿宋"/>
          <w:b w:val="0"/>
          <w:spacing w:val="-4"/>
          <w:sz w:val="32"/>
          <w:szCs w:val="32"/>
        </w:rPr>
        <w:t>属专项基金，专款专用。</w:t>
      </w:r>
    </w:p>
    <w:p>
      <w:pPr>
        <w:spacing w:line="540" w:lineRule="exact"/>
        <w:ind w:firstLine="567" w:firstLineChars="181"/>
        <w:rPr>
          <w:rStyle w:val="19"/>
          <w:rFonts w:ascii="仿宋" w:hAnsi="仿宋" w:eastAsia="仿宋" w:cs="仿宋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567" w:firstLineChars="181"/>
        <w:rPr>
          <w:rStyle w:val="19"/>
          <w:rFonts w:ascii="仿宋" w:hAnsi="仿宋" w:eastAsia="仿宋" w:cs="仿宋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spacing w:val="-4"/>
          <w:sz w:val="32"/>
          <w:szCs w:val="32"/>
        </w:rPr>
        <w:t>2018年财政</w:t>
      </w:r>
      <w:r>
        <w:rPr>
          <w:rFonts w:hint="eastAsia" w:ascii="仿宋" w:hAnsi="仿宋" w:eastAsia="仿宋" w:cs="仿宋"/>
          <w:sz w:val="32"/>
          <w:szCs w:val="32"/>
        </w:rPr>
        <w:t>对城乡居民基本养老保险县级配套资金补助。包括缴费补贴，缴费档次补贴，村干部补助，死亡丧葬费补助，特殊群体补助低保户残疾人补助业务，</w:t>
      </w:r>
      <w:r>
        <w:rPr>
          <w:rFonts w:hint="eastAsia" w:ascii="仿宋" w:hAnsi="仿宋" w:eastAsia="仿宋" w:cs="仿宋"/>
          <w:kern w:val="0"/>
          <w:sz w:val="32"/>
          <w:szCs w:val="32"/>
        </w:rPr>
        <w:t>已经全部落实到位。</w:t>
      </w:r>
    </w:p>
    <w:p>
      <w:pPr>
        <w:spacing w:line="540" w:lineRule="exact"/>
        <w:ind w:firstLine="640"/>
        <w:rPr>
          <w:rStyle w:val="19"/>
          <w:rFonts w:ascii="仿宋" w:hAnsi="仿宋" w:eastAsia="仿宋" w:cs="仿宋"/>
          <w:sz w:val="32"/>
          <w:szCs w:val="32"/>
        </w:rPr>
      </w:pPr>
      <w:r>
        <w:rPr>
          <w:rStyle w:val="19"/>
          <w:rFonts w:hint="eastAsia" w:ascii="仿宋" w:hAnsi="仿宋" w:eastAsia="仿宋" w:cs="仿宋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Fonts w:ascii="仿宋" w:hAnsi="仿宋" w:eastAsia="仿宋" w:cs="仿宋"/>
          <w:b/>
          <w:spacing w:val="-4"/>
          <w:sz w:val="32"/>
          <w:szCs w:val="32"/>
        </w:rPr>
      </w:pPr>
      <w:r>
        <w:rPr>
          <w:rFonts w:hint="eastAsia" w:ascii="仿宋" w:hAnsi="仿宋" w:eastAsia="仿宋" w:cs="仿宋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567" w:firstLineChars="181"/>
        <w:rPr>
          <w:rStyle w:val="19"/>
          <w:rFonts w:ascii="仿宋" w:hAnsi="仿宋" w:eastAsia="仿宋" w:cs="仿宋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spacing w:val="-4"/>
          <w:sz w:val="32"/>
          <w:szCs w:val="32"/>
        </w:rPr>
        <w:t>2018年财政</w:t>
      </w:r>
      <w:r>
        <w:rPr>
          <w:rFonts w:hint="eastAsia" w:ascii="仿宋" w:hAnsi="仿宋" w:eastAsia="仿宋" w:cs="仿宋"/>
          <w:sz w:val="32"/>
          <w:szCs w:val="32"/>
        </w:rPr>
        <w:t>对城乡居民基本养老保险县级配套资金补助。包括缴费补贴，缴费档次补贴，村干部补助，死亡丧葬费补助，特殊群体补助低保户残疾人补助业务，</w:t>
      </w:r>
      <w:r>
        <w:rPr>
          <w:rFonts w:hint="eastAsia" w:ascii="仿宋" w:hAnsi="仿宋" w:eastAsia="仿宋" w:cs="仿宋"/>
          <w:kern w:val="0"/>
          <w:sz w:val="32"/>
          <w:szCs w:val="32"/>
        </w:rPr>
        <w:t>已经全部落实到位。</w:t>
      </w:r>
    </w:p>
    <w:p>
      <w:pPr>
        <w:spacing w:line="540" w:lineRule="exact"/>
        <w:ind w:firstLine="567" w:firstLineChars="181"/>
        <w:rPr>
          <w:rFonts w:ascii="仿宋" w:hAnsi="仿宋" w:eastAsia="仿宋" w:cs="仿宋"/>
          <w:b/>
          <w:spacing w:val="-4"/>
          <w:sz w:val="32"/>
          <w:szCs w:val="32"/>
        </w:rPr>
      </w:pPr>
      <w:r>
        <w:rPr>
          <w:rFonts w:hint="eastAsia" w:ascii="仿宋" w:hAnsi="仿宋" w:eastAsia="仿宋" w:cs="仿宋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已完成</w:t>
      </w:r>
    </w:p>
    <w:p>
      <w:pPr>
        <w:spacing w:line="540" w:lineRule="exact"/>
        <w:ind w:firstLine="640"/>
        <w:rPr>
          <w:rStyle w:val="19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仿宋" w:hAnsi="仿宋" w:eastAsia="仿宋" w:cs="仿宋"/>
          <w:b/>
          <w:spacing w:val="-4"/>
          <w:sz w:val="32"/>
          <w:szCs w:val="32"/>
        </w:rPr>
      </w:pPr>
      <w:r>
        <w:rPr>
          <w:rFonts w:hint="eastAsia" w:ascii="仿宋" w:hAnsi="仿宋" w:eastAsia="仿宋" w:cs="仿宋"/>
          <w:b/>
          <w:spacing w:val="-4"/>
          <w:sz w:val="32"/>
          <w:szCs w:val="32"/>
        </w:rPr>
        <w:t>（一）后续工作计划无</w:t>
      </w:r>
    </w:p>
    <w:p>
      <w:pPr>
        <w:spacing w:line="540" w:lineRule="exact"/>
        <w:ind w:firstLine="567" w:firstLineChars="181"/>
        <w:rPr>
          <w:rFonts w:ascii="仿宋" w:hAnsi="仿宋" w:eastAsia="仿宋" w:cs="仿宋"/>
          <w:b/>
          <w:spacing w:val="-4"/>
          <w:sz w:val="32"/>
          <w:szCs w:val="32"/>
        </w:rPr>
      </w:pPr>
      <w:r>
        <w:rPr>
          <w:rFonts w:hint="eastAsia" w:ascii="仿宋" w:hAnsi="仿宋" w:eastAsia="仿宋" w:cs="仿宋"/>
          <w:b/>
          <w:spacing w:val="-4"/>
          <w:sz w:val="32"/>
          <w:szCs w:val="32"/>
        </w:rPr>
        <w:t>（二）主要经验及做法、存在问题和建议   无</w:t>
      </w:r>
    </w:p>
    <w:p>
      <w:pPr>
        <w:spacing w:line="540" w:lineRule="exact"/>
        <w:ind w:firstLine="564" w:firstLineChars="181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（包括资金安排、使用过程中的经验、做法、存在问题、改进措施和有关建议等）</w:t>
      </w:r>
    </w:p>
    <w:p>
      <w:pPr>
        <w:spacing w:line="540" w:lineRule="exact"/>
        <w:ind w:firstLine="567" w:firstLineChars="181"/>
        <w:rPr>
          <w:rFonts w:ascii="仿宋" w:hAnsi="仿宋" w:eastAsia="仿宋" w:cs="仿宋"/>
          <w:b/>
          <w:spacing w:val="-4"/>
          <w:sz w:val="32"/>
          <w:szCs w:val="32"/>
        </w:rPr>
      </w:pPr>
      <w:r>
        <w:rPr>
          <w:rFonts w:hint="eastAsia" w:ascii="仿宋" w:hAnsi="仿宋" w:eastAsia="仿宋" w:cs="仿宋"/>
          <w:b/>
          <w:spacing w:val="-4"/>
          <w:sz w:val="32"/>
          <w:szCs w:val="32"/>
        </w:rPr>
        <w:t>（三）其他无</w:t>
      </w:r>
    </w:p>
    <w:p>
      <w:pPr>
        <w:spacing w:line="540" w:lineRule="exact"/>
        <w:ind w:firstLine="640"/>
        <w:rPr>
          <w:rStyle w:val="19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b w:val="0"/>
          <w:spacing w:val="-4"/>
          <w:sz w:val="32"/>
          <w:szCs w:val="32"/>
        </w:rPr>
        <w:t>六、项目评价工作情况</w:t>
      </w:r>
    </w:p>
    <w:p>
      <w:pPr>
        <w:ind w:firstLine="624" w:firstLineChars="2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包括评价基础数据收集、资料来源和依据等佐证材料情况，项目现场勘验检查核实等情况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1463" w:firstLineChars="469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《玛纳斯县财政项目支出绩效自评表》</w:t>
      </w: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7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13"/>
        <w:gridCol w:w="427"/>
        <w:gridCol w:w="565"/>
        <w:gridCol w:w="795"/>
        <w:gridCol w:w="1080"/>
        <w:gridCol w:w="880"/>
        <w:gridCol w:w="228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6"/>
                <w:szCs w:val="36"/>
              </w:rPr>
              <w:t>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（2018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Style w:val="19"/>
                <w:rFonts w:hint="eastAsia" w:ascii="宋体" w:hAnsi="宋体" w:cs="仿宋"/>
                <w:b w:val="0"/>
                <w:bCs w:val="0"/>
                <w:spacing w:val="-4"/>
                <w:szCs w:val="21"/>
              </w:rPr>
              <w:t>财政</w:t>
            </w:r>
            <w:r>
              <w:rPr>
                <w:rFonts w:hint="eastAsia" w:ascii="宋体" w:hAnsi="宋体" w:cs="仿宋"/>
                <w:szCs w:val="21"/>
              </w:rPr>
              <w:t>对城乡居民基本养老保险县级配套资金补助</w:t>
            </w:r>
            <w:r>
              <w:rPr>
                <w:rFonts w:hint="eastAsia" w:ascii="宋体" w:hAnsi="宋体" w:cs="仿宋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玛纳斯县社保局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预算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执行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情况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（万元）</w:t>
            </w:r>
          </w:p>
        </w:tc>
        <w:tc>
          <w:tcPr>
            <w:tcW w:w="25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2538.24万元　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 xml:space="preserve"> 执行数：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right="480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2538.24万元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25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其中：中央财政拨款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其中：中央财政拨款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25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自治区财政安排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</w:t>
            </w: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自治区财政安排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25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州财政安排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州财政安排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cs="仿宋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25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县财政配套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2538.24万元</w:t>
            </w: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县财政配套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2538.24万元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25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其他资金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cs="仿宋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年度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目标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完成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情况</w:t>
            </w:r>
          </w:p>
        </w:tc>
        <w:tc>
          <w:tcPr>
            <w:tcW w:w="44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44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15"/>
              <w:spacing w:line="240" w:lineRule="exact"/>
              <w:ind w:firstLine="480"/>
              <w:rPr>
                <w:rFonts w:cs="仿宋"/>
                <w:sz w:val="21"/>
                <w:szCs w:val="21"/>
              </w:rPr>
            </w:pPr>
            <w:r>
              <w:rPr>
                <w:rFonts w:hint="eastAsia" w:cs="仿宋"/>
                <w:sz w:val="21"/>
                <w:szCs w:val="21"/>
              </w:rPr>
              <w:t>　</w:t>
            </w:r>
            <w:r>
              <w:rPr>
                <w:rFonts w:hint="eastAsia" w:cs="仿宋"/>
                <w:color w:val="0F0F0F"/>
                <w:sz w:val="21"/>
                <w:szCs w:val="21"/>
              </w:rPr>
              <w:t>十九大报告提出，加强社会保障体系建设，按照兜底线、织密网、建机制的要求，全面建成覆盖全民、城乡统筹、权责清晰、保障适度、可持续的多层次社会保障体系。推动城乡居民养老保险水平随经济的发展逐步提高。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2018年12月，</w:t>
            </w:r>
            <w:r>
              <w:rPr>
                <w:rFonts w:hint="eastAsia" w:ascii="宋体" w:hAnsi="宋体" w:cs="仿宋"/>
                <w:szCs w:val="21"/>
              </w:rPr>
              <w:t>城乡居民基本养老保险县级配套补助资金已全部到位</w:t>
            </w:r>
            <w:r>
              <w:rPr>
                <w:rFonts w:hint="eastAsia" w:ascii="宋体" w:hAnsi="宋体" w:cs="仿宋"/>
                <w:kern w:val="0"/>
                <w:szCs w:val="21"/>
              </w:rPr>
              <w:t>，确保按时足额的发放了退休人员养老保险待遇。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年度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绩效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指标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完成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情况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一级指标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二级指标</w:t>
            </w:r>
          </w:p>
        </w:tc>
        <w:tc>
          <w:tcPr>
            <w:tcW w:w="27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三级指标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预期指标值（包含数字及文字描述）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7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项目完成指标</w:t>
            </w:r>
          </w:p>
        </w:tc>
        <w:tc>
          <w:tcPr>
            <w:tcW w:w="992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数量指标</w:t>
            </w:r>
          </w:p>
        </w:tc>
        <w:tc>
          <w:tcPr>
            <w:tcW w:w="27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 xml:space="preserve"> 指标1：待遇享受人数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12400人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12534人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7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质量指标</w:t>
            </w:r>
          </w:p>
        </w:tc>
        <w:tc>
          <w:tcPr>
            <w:tcW w:w="27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 xml:space="preserve"> 指标1：提高基础养老金标准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与</w:t>
            </w:r>
            <w:r>
              <w:rPr>
                <w:rFonts w:hint="eastAsia" w:ascii="宋体" w:hAnsi="宋体" w:cs="仿宋"/>
                <w:color w:val="0F0F0F"/>
                <w:szCs w:val="21"/>
              </w:rPr>
              <w:t>经济发展水平相适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7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时效指标</w:t>
            </w:r>
          </w:p>
        </w:tc>
        <w:tc>
          <w:tcPr>
            <w:tcW w:w="27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 xml:space="preserve"> 指标1：养老金发放到位率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7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成本指标</w:t>
            </w:r>
          </w:p>
        </w:tc>
        <w:tc>
          <w:tcPr>
            <w:tcW w:w="27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 xml:space="preserve"> 指标1：预算总额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2400万元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2538.24万元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71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项目效果指标</w:t>
            </w:r>
          </w:p>
        </w:tc>
        <w:tc>
          <w:tcPr>
            <w:tcW w:w="992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经济效益指标</w:t>
            </w:r>
          </w:p>
        </w:tc>
        <w:tc>
          <w:tcPr>
            <w:tcW w:w="27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7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社会效益指标</w:t>
            </w:r>
          </w:p>
        </w:tc>
        <w:tc>
          <w:tcPr>
            <w:tcW w:w="27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 xml:space="preserve"> 指标1：实现社会稳定和长治久安的总目标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持续推动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持续推动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7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生态效益指标</w:t>
            </w:r>
          </w:p>
        </w:tc>
        <w:tc>
          <w:tcPr>
            <w:tcW w:w="27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7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可持续影响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指标</w:t>
            </w:r>
          </w:p>
        </w:tc>
        <w:tc>
          <w:tcPr>
            <w:tcW w:w="27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 xml:space="preserve"> 指标1：对城乡居民基本养老保险制度可持续发展参保人员　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　有效推动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有效推动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71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满意度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指标</w:t>
            </w:r>
          </w:p>
        </w:tc>
        <w:tc>
          <w:tcPr>
            <w:tcW w:w="992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满意度指标</w:t>
            </w:r>
          </w:p>
        </w:tc>
        <w:tc>
          <w:tcPr>
            <w:tcW w:w="27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 xml:space="preserve"> 指标1：政策知晓率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≥95%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98%</w:t>
            </w:r>
          </w:p>
        </w:tc>
      </w:tr>
    </w:tbl>
    <w:p>
      <w:pPr>
        <w:spacing w:line="240" w:lineRule="exact"/>
        <w:ind w:firstLine="567"/>
        <w:rPr>
          <w:rStyle w:val="19"/>
          <w:rFonts w:ascii="仿宋" w:hAnsi="仿宋" w:eastAsia="仿宋" w:cs="仿宋"/>
          <w:b w:val="0"/>
          <w:spacing w:val="-4"/>
          <w:szCs w:val="21"/>
        </w:rPr>
      </w:pPr>
    </w:p>
    <w:sectPr>
      <w:headerReference r:id="rId3" w:type="default"/>
      <w:footerReference r:id="rId4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rPr>
        <w:lang w:val="zh-CN"/>
      </w:rPr>
      <w:fldChar w:fldCharType="end"/>
    </w:r>
  </w:p>
  <w:p>
    <w:pPr>
      <w:pStyle w:val="1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135E8"/>
    <w:rsid w:val="00056465"/>
    <w:rsid w:val="00060ECD"/>
    <w:rsid w:val="0012050C"/>
    <w:rsid w:val="00121AE4"/>
    <w:rsid w:val="00146AAD"/>
    <w:rsid w:val="001543FB"/>
    <w:rsid w:val="00186AFF"/>
    <w:rsid w:val="001A56E5"/>
    <w:rsid w:val="001B28DC"/>
    <w:rsid w:val="001B3A40"/>
    <w:rsid w:val="001B4039"/>
    <w:rsid w:val="001D4DE8"/>
    <w:rsid w:val="00201CA6"/>
    <w:rsid w:val="0022737F"/>
    <w:rsid w:val="00233EAD"/>
    <w:rsid w:val="002363FB"/>
    <w:rsid w:val="002755BA"/>
    <w:rsid w:val="00277F1C"/>
    <w:rsid w:val="002855AB"/>
    <w:rsid w:val="002A434D"/>
    <w:rsid w:val="002B004E"/>
    <w:rsid w:val="002C3FF0"/>
    <w:rsid w:val="00302265"/>
    <w:rsid w:val="003137A8"/>
    <w:rsid w:val="00316AA2"/>
    <w:rsid w:val="003B7726"/>
    <w:rsid w:val="003C18BC"/>
    <w:rsid w:val="004366A8"/>
    <w:rsid w:val="00464900"/>
    <w:rsid w:val="00502BA7"/>
    <w:rsid w:val="005162F1"/>
    <w:rsid w:val="00523EDB"/>
    <w:rsid w:val="00535153"/>
    <w:rsid w:val="00554F82"/>
    <w:rsid w:val="0056390D"/>
    <w:rsid w:val="005719B0"/>
    <w:rsid w:val="005768C9"/>
    <w:rsid w:val="005D10D6"/>
    <w:rsid w:val="005D2C98"/>
    <w:rsid w:val="005E168C"/>
    <w:rsid w:val="006B4FFA"/>
    <w:rsid w:val="006B6E36"/>
    <w:rsid w:val="006B7C2F"/>
    <w:rsid w:val="0070654E"/>
    <w:rsid w:val="007806A5"/>
    <w:rsid w:val="007A09B1"/>
    <w:rsid w:val="00816E08"/>
    <w:rsid w:val="008219E5"/>
    <w:rsid w:val="00855E3A"/>
    <w:rsid w:val="00857F28"/>
    <w:rsid w:val="008B7857"/>
    <w:rsid w:val="00906B3D"/>
    <w:rsid w:val="00922CB9"/>
    <w:rsid w:val="00945366"/>
    <w:rsid w:val="009E5CD9"/>
    <w:rsid w:val="00A035D6"/>
    <w:rsid w:val="00A26421"/>
    <w:rsid w:val="00A4293B"/>
    <w:rsid w:val="00A45A8A"/>
    <w:rsid w:val="00A67D50"/>
    <w:rsid w:val="00A8691A"/>
    <w:rsid w:val="00AA2A86"/>
    <w:rsid w:val="00AC1946"/>
    <w:rsid w:val="00AE22CA"/>
    <w:rsid w:val="00B0578B"/>
    <w:rsid w:val="00B0638F"/>
    <w:rsid w:val="00B40063"/>
    <w:rsid w:val="00B41F61"/>
    <w:rsid w:val="00B710A4"/>
    <w:rsid w:val="00BA46E6"/>
    <w:rsid w:val="00BD4FCD"/>
    <w:rsid w:val="00C06239"/>
    <w:rsid w:val="00C129B5"/>
    <w:rsid w:val="00C314F3"/>
    <w:rsid w:val="00C56C72"/>
    <w:rsid w:val="00C8537B"/>
    <w:rsid w:val="00CA6457"/>
    <w:rsid w:val="00CB238C"/>
    <w:rsid w:val="00CF5396"/>
    <w:rsid w:val="00D17F2E"/>
    <w:rsid w:val="00D23C0B"/>
    <w:rsid w:val="00D277AB"/>
    <w:rsid w:val="00D30354"/>
    <w:rsid w:val="00D85F0A"/>
    <w:rsid w:val="00DD7934"/>
    <w:rsid w:val="00DE09A4"/>
    <w:rsid w:val="00DE4043"/>
    <w:rsid w:val="00DF42A0"/>
    <w:rsid w:val="00E271A0"/>
    <w:rsid w:val="00E45B01"/>
    <w:rsid w:val="00E46C51"/>
    <w:rsid w:val="00E5154D"/>
    <w:rsid w:val="00E769FE"/>
    <w:rsid w:val="00E8178B"/>
    <w:rsid w:val="00EA2CBE"/>
    <w:rsid w:val="00ED7E1C"/>
    <w:rsid w:val="00F01FF5"/>
    <w:rsid w:val="00F03FFF"/>
    <w:rsid w:val="00F32FEE"/>
    <w:rsid w:val="00F663FC"/>
    <w:rsid w:val="00FB10BB"/>
    <w:rsid w:val="00FB34C3"/>
    <w:rsid w:val="00FE2E0A"/>
    <w:rsid w:val="00FF07C4"/>
    <w:rsid w:val="0B960100"/>
    <w:rsid w:val="153477AA"/>
    <w:rsid w:val="23E259E4"/>
    <w:rsid w:val="27575BB4"/>
    <w:rsid w:val="2E2C074C"/>
    <w:rsid w:val="32C26568"/>
    <w:rsid w:val="3B8A429A"/>
    <w:rsid w:val="4DF16AC3"/>
    <w:rsid w:val="553C40C4"/>
    <w:rsid w:val="5A2B1A2E"/>
    <w:rsid w:val="622F2629"/>
    <w:rsid w:val="63C42FF6"/>
    <w:rsid w:val="6F2C5693"/>
    <w:rsid w:val="6F9D2D39"/>
    <w:rsid w:val="7814297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qFormat="1" w:uiPriority="1" w:semiHidden="0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nhideWhenUsed="0" w:uiPriority="99" w:semiHidden="0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0" w:semiHidden="0" w:name="Table Grid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4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5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6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7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8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9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30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8">
    <w:name w:val="Default Paragraph Font"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31"/>
    <w:semiHidden/>
    <w:qFormat/>
    <w:uiPriority w:val="99"/>
    <w:rPr>
      <w:sz w:val="18"/>
      <w:szCs w:val="18"/>
    </w:rPr>
  </w:style>
  <w:style w:type="paragraph" w:styleId="12">
    <w:name w:val="footer"/>
    <w:basedOn w:val="1"/>
    <w:link w:val="32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3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4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5">
    <w:name w:val="Normal (Web)"/>
    <w:basedOn w:val="1"/>
    <w:locked/>
    <w:uiPriority w:val="99"/>
    <w:pPr>
      <w:widowControl/>
      <w:spacing w:before="100" w:beforeAutospacing="1" w:after="100" w:afterAutospacing="1" w:line="480" w:lineRule="auto"/>
      <w:jc w:val="left"/>
    </w:pPr>
    <w:rPr>
      <w:rFonts w:ascii="宋体" w:hAnsi="宋体" w:cs="宋体"/>
      <w:kern w:val="0"/>
      <w:sz w:val="22"/>
      <w:szCs w:val="22"/>
    </w:rPr>
  </w:style>
  <w:style w:type="paragraph" w:styleId="16">
    <w:name w:val="Title"/>
    <w:basedOn w:val="1"/>
    <w:next w:val="1"/>
    <w:link w:val="35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9">
    <w:name w:val="Strong"/>
    <w:qFormat/>
    <w:uiPriority w:val="99"/>
    <w:rPr>
      <w:rFonts w:cs="Times New Roman"/>
      <w:b/>
      <w:bCs/>
    </w:rPr>
  </w:style>
  <w:style w:type="character" w:styleId="20">
    <w:name w:val="Emphasis"/>
    <w:qFormat/>
    <w:uiPriority w:val="99"/>
    <w:rPr>
      <w:rFonts w:ascii="Calibri" w:hAnsi="Calibri" w:cs="Times New Roman"/>
      <w:b/>
      <w:i/>
      <w:iCs/>
    </w:rPr>
  </w:style>
  <w:style w:type="character" w:styleId="21">
    <w:name w:val="Hyperlink"/>
    <w:qFormat/>
    <w:locked/>
    <w:uiPriority w:val="99"/>
    <w:rPr>
      <w:rFonts w:cs="Times New Roman"/>
      <w:color w:val="0000FF"/>
      <w:u w:val="none"/>
    </w:rPr>
  </w:style>
  <w:style w:type="character" w:customStyle="1" w:styleId="22">
    <w:name w:val="标题 1 Char"/>
    <w:link w:val="2"/>
    <w:qFormat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3">
    <w:name w:val="标题 2 Char"/>
    <w:link w:val="3"/>
    <w:semiHidden/>
    <w:qFormat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4">
    <w:name w:val="标题 3 Char"/>
    <w:link w:val="4"/>
    <w:semiHidden/>
    <w:qFormat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5">
    <w:name w:val="标题 4 Char"/>
    <w:link w:val="5"/>
    <w:semiHidden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26">
    <w:name w:val="标题 5 Char"/>
    <w:link w:val="6"/>
    <w:semiHidden/>
    <w:qFormat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7">
    <w:name w:val="标题 6 Char"/>
    <w:link w:val="7"/>
    <w:semiHidden/>
    <w:qFormat/>
    <w:locked/>
    <w:uiPriority w:val="99"/>
    <w:rPr>
      <w:rFonts w:cs="Times New Roman"/>
      <w:b/>
      <w:bCs/>
    </w:rPr>
  </w:style>
  <w:style w:type="character" w:customStyle="1" w:styleId="28">
    <w:name w:val="标题 7 Char"/>
    <w:link w:val="8"/>
    <w:semiHidden/>
    <w:locked/>
    <w:uiPriority w:val="99"/>
    <w:rPr>
      <w:rFonts w:cs="Times New Roman"/>
      <w:sz w:val="24"/>
      <w:szCs w:val="24"/>
    </w:rPr>
  </w:style>
  <w:style w:type="character" w:customStyle="1" w:styleId="29">
    <w:name w:val="标题 8 Char"/>
    <w:link w:val="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30">
    <w:name w:val="标题 9 Char"/>
    <w:link w:val="10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31">
    <w:name w:val="批注框文本 Char"/>
    <w:link w:val="11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2">
    <w:name w:val="页脚 Char"/>
    <w:link w:val="12"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3">
    <w:name w:val="页眉 Char"/>
    <w:link w:val="1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4">
    <w:name w:val="副标题 Char"/>
    <w:link w:val="14"/>
    <w:qFormat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5">
    <w:name w:val="标题 Char"/>
    <w:link w:val="16"/>
    <w:qFormat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styleId="36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37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38">
    <w:name w:val="Quote"/>
    <w:basedOn w:val="1"/>
    <w:next w:val="1"/>
    <w:link w:val="39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9">
    <w:name w:val="引用 Char"/>
    <w:link w:val="38"/>
    <w:qFormat/>
    <w:locked/>
    <w:uiPriority w:val="99"/>
    <w:rPr>
      <w:rFonts w:cs="Times New Roman"/>
      <w:i/>
      <w:sz w:val="24"/>
      <w:szCs w:val="24"/>
    </w:rPr>
  </w:style>
  <w:style w:type="paragraph" w:styleId="40">
    <w:name w:val="Intense Quote"/>
    <w:basedOn w:val="1"/>
    <w:next w:val="1"/>
    <w:link w:val="41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41">
    <w:name w:val="明显引用 Char"/>
    <w:link w:val="40"/>
    <w:qFormat/>
    <w:locked/>
    <w:uiPriority w:val="99"/>
    <w:rPr>
      <w:rFonts w:cs="Times New Roman"/>
      <w:b/>
      <w:i/>
      <w:sz w:val="24"/>
    </w:rPr>
  </w:style>
  <w:style w:type="character" w:customStyle="1" w:styleId="42">
    <w:name w:val="Subtle Emphasis1"/>
    <w:qFormat/>
    <w:uiPriority w:val="99"/>
    <w:rPr>
      <w:i/>
      <w:color w:val="595959"/>
    </w:rPr>
  </w:style>
  <w:style w:type="character" w:customStyle="1" w:styleId="43">
    <w:name w:val="Intense Emphasis1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44">
    <w:name w:val="Subtle Reference1"/>
    <w:qFormat/>
    <w:uiPriority w:val="99"/>
    <w:rPr>
      <w:rFonts w:cs="Times New Roman"/>
      <w:sz w:val="24"/>
      <w:szCs w:val="24"/>
      <w:u w:val="single"/>
    </w:rPr>
  </w:style>
  <w:style w:type="character" w:customStyle="1" w:styleId="45">
    <w:name w:val="Intense Reference1"/>
    <w:qFormat/>
    <w:uiPriority w:val="99"/>
    <w:rPr>
      <w:rFonts w:cs="Times New Roman"/>
      <w:b/>
      <w:sz w:val="24"/>
      <w:u w:val="single"/>
    </w:rPr>
  </w:style>
  <w:style w:type="character" w:customStyle="1" w:styleId="46">
    <w:name w:val="Book Title1"/>
    <w:qFormat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7">
    <w:name w:val="TOC Heading1"/>
    <w:basedOn w:val="2"/>
    <w:next w:val="1"/>
    <w:semiHidden/>
    <w:qFormat/>
    <w:uiPriority w:val="99"/>
    <w:pPr>
      <w:outlineLvl w:val="9"/>
    </w:pPr>
    <w:rPr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286</Words>
  <Characters>1636</Characters>
  <Lines>13</Lines>
  <Paragraphs>3</Paragraphs>
  <TotalTime>10</TotalTime>
  <ScaleCrop>false</ScaleCrop>
  <LinksUpToDate>false</LinksUpToDate>
  <CharactersWithSpaces>1919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2019-01-15T03:34:00Z</dcterms:created>
  <dc:creator>赵 恺（预算处）</dc:creator>
  <cp:lastModifiedBy>64666</cp:lastModifiedBy>
  <cp:lastPrinted>2019-01-13T12:20:00Z</cp:lastPrinted>
  <dcterms:modified xsi:type="dcterms:W3CDTF">2024-08-29T04:27:35Z</dcterms:modified>
  <dc:title>附件1：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