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项目名称：中央转移支付装备经费</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2019</w:t>
      </w:r>
      <w:r>
        <w:rPr>
          <w:rFonts w:hint="eastAsia" w:hAnsi="宋体" w:eastAsia="仿宋_GB2312" w:cs="宋体"/>
          <w:kern w:val="0"/>
          <w:sz w:val="36"/>
          <w:szCs w:val="36"/>
        </w:rPr>
        <w:t>年</w:t>
      </w:r>
      <w:r>
        <w:rPr>
          <w:rFonts w:hAnsi="宋体" w:eastAsia="仿宋_GB2312" w:cs="宋体"/>
          <w:kern w:val="0"/>
          <w:sz w:val="36"/>
          <w:szCs w:val="36"/>
        </w:rPr>
        <w:t>1</w:t>
      </w:r>
      <w:r>
        <w:rPr>
          <w:rFonts w:hint="eastAsia" w:hAnsi="宋体" w:eastAsia="仿宋_GB2312" w:cs="宋体"/>
          <w:kern w:val="0"/>
          <w:sz w:val="36"/>
          <w:szCs w:val="36"/>
        </w:rPr>
        <w:t>月</w:t>
      </w:r>
      <w:r>
        <w:rPr>
          <w:rFonts w:hAnsi="宋体" w:eastAsia="仿宋_GB2312" w:cs="宋体"/>
          <w:kern w:val="0"/>
          <w:sz w:val="36"/>
          <w:szCs w:val="36"/>
        </w:rPr>
        <w:t>15</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主要职能：（1）、保持严打高压，继续深化对敌斗争；（2）、坚持多措并举，强化社会治安防控；（3）、坚持综合施策，强化行政服务管理；（4）、深化四项建设，打牢公安基层基础</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机构情况：我单位机构数1个、共有职能部门30个。</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（二）项目预算绩效目标设定情况</w:t>
      </w:r>
    </w:p>
    <w:p>
      <w:pPr>
        <w:spacing w:line="540" w:lineRule="exact"/>
        <w:ind w:firstLine="564" w:firstLineChars="181"/>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rPr>
        <w:t>预期目标及阶段性目标</w:t>
      </w:r>
      <w:r>
        <w:rPr>
          <w:rStyle w:val="18"/>
          <w:rFonts w:hint="eastAsia" w:ascii="仿宋" w:hAnsi="仿宋" w:eastAsia="仿宋"/>
          <w:b w:val="0"/>
          <w:spacing w:val="-4"/>
          <w:sz w:val="32"/>
          <w:szCs w:val="32"/>
          <w:lang w:eastAsia="zh-CN"/>
        </w:rPr>
        <w:t>：中央转移支付装备经费是政法日常执法的重要内容，确保了有效履行职责，促进经济社会稳定发展。</w:t>
      </w:r>
    </w:p>
    <w:p>
      <w:pPr>
        <w:spacing w:line="540" w:lineRule="exact"/>
        <w:ind w:firstLine="564" w:firstLineChars="181"/>
        <w:rPr>
          <w:rFonts w:hint="eastAsia" w:ascii="仿宋" w:hAnsi="仿宋" w:eastAsia="仿宋"/>
          <w:color w:val="auto"/>
          <w:spacing w:val="-4"/>
          <w:sz w:val="32"/>
          <w:szCs w:val="32"/>
        </w:rPr>
      </w:pPr>
      <w:r>
        <w:rPr>
          <w:rStyle w:val="18"/>
          <w:rFonts w:hint="eastAsia" w:ascii="仿宋" w:hAnsi="仿宋" w:eastAsia="仿宋"/>
          <w:b w:val="0"/>
          <w:spacing w:val="-4"/>
          <w:sz w:val="32"/>
          <w:szCs w:val="32"/>
        </w:rPr>
        <w:t>项目基本性质、用途和主要内容、涉及范围</w:t>
      </w:r>
      <w:r>
        <w:rPr>
          <w:rStyle w:val="18"/>
          <w:rFonts w:hint="eastAsia" w:ascii="仿宋" w:hAnsi="仿宋" w:eastAsia="仿宋"/>
          <w:b w:val="0"/>
          <w:spacing w:val="-4"/>
          <w:sz w:val="32"/>
          <w:szCs w:val="32"/>
          <w:lang w:eastAsia="zh-CN"/>
        </w:rPr>
        <w:t>：经费主要用于公安局</w:t>
      </w:r>
      <w:r>
        <w:rPr>
          <w:rFonts w:hint="eastAsia" w:ascii="仿宋" w:hAnsi="仿宋" w:eastAsia="仿宋"/>
          <w:spacing w:val="-4"/>
          <w:sz w:val="32"/>
          <w:szCs w:val="32"/>
        </w:rPr>
        <w:t>购置指挥通讯装备，增强破案率，</w:t>
      </w:r>
      <w:r>
        <w:rPr>
          <w:rFonts w:hint="eastAsia" w:ascii="仿宋" w:hAnsi="仿宋" w:eastAsia="仿宋"/>
          <w:spacing w:val="-4"/>
          <w:sz w:val="32"/>
          <w:szCs w:val="32"/>
          <w:lang w:eastAsia="zh-CN"/>
        </w:rPr>
        <w:t>提高公安机关破案办</w:t>
      </w:r>
      <w:r>
        <w:rPr>
          <w:rFonts w:hint="eastAsia" w:ascii="仿宋" w:hAnsi="仿宋" w:eastAsia="仿宋"/>
          <w:color w:val="auto"/>
          <w:spacing w:val="-4"/>
          <w:sz w:val="32"/>
          <w:szCs w:val="32"/>
          <w:lang w:eastAsia="zh-CN"/>
        </w:rPr>
        <w:t>案效率和质量，</w:t>
      </w:r>
      <w:r>
        <w:rPr>
          <w:rFonts w:hint="eastAsia" w:ascii="仿宋" w:hAnsi="仿宋" w:eastAsia="仿宋"/>
          <w:color w:val="auto"/>
          <w:spacing w:val="-4"/>
          <w:sz w:val="32"/>
          <w:szCs w:val="32"/>
        </w:rPr>
        <w:t>有效打击犯罪行为</w:t>
      </w:r>
      <w:r>
        <w:rPr>
          <w:rFonts w:hint="eastAsia" w:ascii="仿宋" w:hAnsi="仿宋" w:eastAsia="仿宋"/>
          <w:color w:val="auto"/>
          <w:spacing w:val="-4"/>
          <w:sz w:val="32"/>
          <w:szCs w:val="32"/>
          <w:lang w:eastAsia="zh-CN"/>
        </w:rPr>
        <w:t>，赢得广大群众的赞誉</w:t>
      </w:r>
      <w:r>
        <w:rPr>
          <w:rFonts w:hint="eastAsia" w:ascii="仿宋" w:hAnsi="仿宋" w:eastAsia="仿宋"/>
          <w:color w:val="auto"/>
          <w:spacing w:val="-4"/>
          <w:sz w:val="32"/>
          <w:szCs w:val="32"/>
        </w:rPr>
        <w:t>。</w:t>
      </w:r>
      <w:r>
        <w:rPr>
          <w:rStyle w:val="18"/>
          <w:rFonts w:hint="eastAsia" w:ascii="仿宋" w:hAnsi="仿宋" w:eastAsia="仿宋"/>
          <w:b w:val="0"/>
          <w:color w:val="auto"/>
          <w:spacing w:val="-4"/>
          <w:sz w:val="32"/>
          <w:szCs w:val="32"/>
          <w:lang w:val="en-US" w:eastAsia="zh-CN"/>
        </w:rPr>
        <w:t>本项目共设置一级指标3个、二级指标9个、三级指标10个指标。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564" w:firstLineChars="181"/>
        <w:rPr>
          <w:rFonts w:hint="eastAsia" w:ascii="仿宋" w:hAnsi="仿宋" w:eastAsia="仿宋"/>
          <w:spacing w:val="-4"/>
          <w:sz w:val="32"/>
          <w:szCs w:val="32"/>
        </w:rPr>
      </w:pPr>
      <w:r>
        <w:rPr>
          <w:rStyle w:val="18"/>
          <w:rFonts w:hint="eastAsia" w:ascii="仿宋" w:hAnsi="仿宋" w:eastAsia="仿宋"/>
          <w:b w:val="0"/>
          <w:spacing w:val="-4"/>
          <w:sz w:val="32"/>
          <w:szCs w:val="32"/>
          <w:lang w:eastAsia="zh-CN"/>
        </w:rPr>
        <w:t>玛纳斯县公安局中央转移支付装备经费项目</w:t>
      </w:r>
      <w:r>
        <w:rPr>
          <w:rStyle w:val="18"/>
          <w:rFonts w:hint="eastAsia" w:ascii="仿宋" w:hAnsi="仿宋" w:eastAsia="仿宋"/>
          <w:b w:val="0"/>
          <w:spacing w:val="-4"/>
          <w:sz w:val="32"/>
          <w:szCs w:val="32"/>
          <w:lang w:val="en-US" w:eastAsia="zh-CN"/>
        </w:rPr>
        <w:t>2018年安排总金额90万元。项目资金为</w:t>
      </w:r>
      <w:r>
        <w:rPr>
          <w:rStyle w:val="18"/>
          <w:rFonts w:hint="eastAsia" w:ascii="仿宋" w:hAnsi="仿宋" w:eastAsia="仿宋"/>
          <w:b w:val="0"/>
          <w:bCs/>
          <w:spacing w:val="-4"/>
          <w:sz w:val="32"/>
          <w:szCs w:val="32"/>
          <w:lang w:val="en-US" w:eastAsia="zh-CN"/>
        </w:rPr>
        <w:t>自治区</w:t>
      </w:r>
      <w:r>
        <w:rPr>
          <w:rStyle w:val="18"/>
          <w:rFonts w:hint="eastAsia" w:ascii="仿宋" w:hAnsi="仿宋" w:eastAsia="仿宋"/>
          <w:b w:val="0"/>
          <w:bCs/>
          <w:spacing w:val="-4"/>
          <w:sz w:val="32"/>
          <w:szCs w:val="32"/>
          <w:lang w:eastAsia="zh-CN"/>
        </w:rPr>
        <w:t>财政安排</w:t>
      </w:r>
      <w:r>
        <w:rPr>
          <w:rStyle w:val="18"/>
          <w:rFonts w:hint="eastAsia" w:ascii="仿宋" w:hAnsi="仿宋" w:eastAsia="仿宋"/>
          <w:b w:val="0"/>
          <w:bCs/>
          <w:spacing w:val="-4"/>
          <w:sz w:val="32"/>
          <w:szCs w:val="32"/>
          <w:lang w:val="en-US" w:eastAsia="zh-CN"/>
        </w:rPr>
        <w:t>90万元，</w:t>
      </w:r>
      <w:r>
        <w:rPr>
          <w:rStyle w:val="18"/>
          <w:rFonts w:hint="eastAsia" w:ascii="仿宋" w:hAnsi="仿宋" w:eastAsia="仿宋"/>
          <w:b w:val="0"/>
          <w:spacing w:val="-4"/>
          <w:sz w:val="32"/>
          <w:szCs w:val="32"/>
          <w:lang w:eastAsia="zh-CN"/>
        </w:rPr>
        <w:t>根据公安厅下达资金指标，由我局统一向财政局申请</w:t>
      </w:r>
      <w:r>
        <w:rPr>
          <w:rFonts w:hint="eastAsia" w:ascii="仿宋" w:hAnsi="仿宋" w:eastAsia="仿宋"/>
          <w:spacing w:val="-4"/>
          <w:sz w:val="32"/>
          <w:szCs w:val="32"/>
        </w:rPr>
        <w:t>，按文件要求报销相关票据。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564" w:firstLineChars="181"/>
        <w:rPr>
          <w:rStyle w:val="18"/>
          <w:rFonts w:hint="eastAsia" w:ascii="仿宋" w:hAnsi="仿宋" w:eastAsia="仿宋"/>
          <w:b w:val="0"/>
          <w:spacing w:val="-4"/>
          <w:sz w:val="32"/>
          <w:szCs w:val="32"/>
        </w:rPr>
      </w:pPr>
      <w:r>
        <w:rPr>
          <w:rStyle w:val="18"/>
          <w:rFonts w:hint="eastAsia" w:ascii="仿宋" w:hAnsi="仿宋" w:eastAsia="仿宋"/>
          <w:b w:val="0"/>
          <w:spacing w:val="-4"/>
          <w:sz w:val="32"/>
          <w:szCs w:val="32"/>
          <w:lang w:eastAsia="zh-CN"/>
        </w:rPr>
        <w:t>本项目资金总计</w:t>
      </w:r>
      <w:r>
        <w:rPr>
          <w:rStyle w:val="18"/>
          <w:rFonts w:hint="eastAsia" w:ascii="仿宋" w:hAnsi="仿宋" w:eastAsia="仿宋"/>
          <w:b w:val="0"/>
          <w:spacing w:val="-4"/>
          <w:sz w:val="32"/>
          <w:szCs w:val="32"/>
          <w:lang w:val="en-US" w:eastAsia="zh-CN"/>
        </w:rPr>
        <w:t>90万元，</w:t>
      </w:r>
      <w:r>
        <w:rPr>
          <w:rStyle w:val="18"/>
          <w:rFonts w:hint="eastAsia" w:ascii="仿宋" w:hAnsi="仿宋" w:eastAsia="仿宋"/>
          <w:b w:val="0"/>
          <w:spacing w:val="-4"/>
          <w:sz w:val="32"/>
          <w:szCs w:val="32"/>
        </w:rPr>
        <w:t>预算执行率</w:t>
      </w:r>
      <w:r>
        <w:rPr>
          <w:rStyle w:val="18"/>
          <w:rFonts w:hint="eastAsia" w:ascii="仿宋" w:hAnsi="仿宋" w:eastAsia="仿宋"/>
          <w:b w:val="0"/>
          <w:spacing w:val="-4"/>
          <w:sz w:val="32"/>
          <w:szCs w:val="32"/>
          <w:lang w:val="en-US" w:eastAsia="zh-CN"/>
        </w:rPr>
        <w:t>100</w:t>
      </w:r>
      <w:r>
        <w:rPr>
          <w:rStyle w:val="18"/>
          <w:rFonts w:hint="eastAsia" w:ascii="仿宋" w:hAnsi="仿宋" w:eastAsia="仿宋"/>
          <w:b w:val="0"/>
          <w:spacing w:val="-4"/>
          <w:sz w:val="32"/>
          <w:szCs w:val="32"/>
        </w:rPr>
        <w:t>%，项目资金主要用于支付</w:t>
      </w:r>
      <w:r>
        <w:rPr>
          <w:rFonts w:hint="eastAsia" w:ascii="仿宋" w:hAnsi="仿宋" w:eastAsia="仿宋"/>
          <w:spacing w:val="-4"/>
          <w:sz w:val="32"/>
          <w:szCs w:val="32"/>
        </w:rPr>
        <w:t>专业设备购置款项共支付90万元</w:t>
      </w:r>
      <w:r>
        <w:rPr>
          <w:rFonts w:hint="eastAsia" w:ascii="仿宋" w:hAnsi="仿宋" w:eastAsia="仿宋"/>
          <w:spacing w:val="-4"/>
          <w:sz w:val="32"/>
          <w:szCs w:val="32"/>
          <w:lang w:val="en-US" w:eastAsia="zh-CN"/>
        </w:rPr>
        <w:t>,</w:t>
      </w:r>
      <w:r>
        <w:rPr>
          <w:rStyle w:val="18"/>
          <w:rFonts w:hint="eastAsia" w:ascii="仿宋" w:hAnsi="仿宋" w:eastAsia="仿宋"/>
          <w:b w:val="0"/>
          <w:spacing w:val="-4"/>
          <w:sz w:val="32"/>
          <w:szCs w:val="32"/>
          <w:lang w:val="en-US" w:eastAsia="zh-CN"/>
        </w:rPr>
        <w:t>资金已全部到位，执行率100%，</w:t>
      </w:r>
      <w:r>
        <w:rPr>
          <w:rStyle w:val="18"/>
          <w:rFonts w:hint="eastAsia" w:ascii="仿宋" w:hAnsi="仿宋" w:eastAsia="仿宋"/>
          <w:b w:val="0"/>
          <w:spacing w:val="-4"/>
          <w:sz w:val="32"/>
          <w:szCs w:val="32"/>
        </w:rPr>
        <w:t>并且按照公安厅要求使用资金</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rPr>
        <w:t>年末财政拨款无结余。</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564" w:firstLineChars="181"/>
        <w:rPr>
          <w:rFonts w:hint="eastAsia" w:ascii="仿宋" w:hAnsi="仿宋" w:eastAsia="仿宋"/>
          <w:spacing w:val="-4"/>
          <w:sz w:val="32"/>
          <w:szCs w:val="32"/>
        </w:rPr>
      </w:pPr>
      <w:r>
        <w:rPr>
          <w:rStyle w:val="18"/>
          <w:rFonts w:hint="eastAsia" w:ascii="仿宋" w:hAnsi="仿宋" w:eastAsia="仿宋"/>
          <w:b w:val="0"/>
          <w:spacing w:val="-4"/>
          <w:sz w:val="32"/>
          <w:szCs w:val="32"/>
        </w:rPr>
        <w:t>本项目支出符合玛纳斯县</w:t>
      </w:r>
      <w:r>
        <w:rPr>
          <w:rStyle w:val="18"/>
          <w:rFonts w:hint="eastAsia" w:ascii="仿宋" w:hAnsi="仿宋" w:eastAsia="仿宋"/>
          <w:b w:val="0"/>
          <w:spacing w:val="-4"/>
          <w:sz w:val="32"/>
          <w:szCs w:val="32"/>
          <w:lang w:eastAsia="zh-CN"/>
        </w:rPr>
        <w:t>公安局</w:t>
      </w:r>
      <w:r>
        <w:rPr>
          <w:rStyle w:val="18"/>
          <w:rFonts w:hint="eastAsia" w:ascii="仿宋" w:hAnsi="仿宋" w:eastAsia="仿宋"/>
          <w:b w:val="0"/>
          <w:spacing w:val="-4"/>
          <w:sz w:val="32"/>
          <w:szCs w:val="32"/>
        </w:rPr>
        <w:t>相关财务管理制度</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rPr>
        <w:t>我局根据上级主管部门要求项目资金的使用严格按照各项规章制度执行运转</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rPr>
        <w:t>财务收支审批制度、财务稽核制度、会计主管岗位职责等制度规定</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rPr>
        <w:t>“三重一大”管理规定</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rPr>
        <w:t>专项资金使用管理办法等</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rPr>
        <w:t>资金的拨付有完整的审批程序和手续，不存在截留、挤占、挪用等情况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Fonts w:hint="eastAsia" w:ascii="仿宋" w:hAnsi="仿宋" w:eastAsia="仿宋"/>
          <w:spacing w:val="-4"/>
          <w:sz w:val="32"/>
          <w:szCs w:val="32"/>
        </w:rPr>
      </w:pPr>
      <w:r>
        <w:rPr>
          <w:rFonts w:hint="eastAsia" w:ascii="仿宋" w:hAnsi="仿宋" w:eastAsia="仿宋"/>
          <w:spacing w:val="-4"/>
          <w:sz w:val="32"/>
          <w:szCs w:val="32"/>
        </w:rPr>
        <w:t>项目投标情况：</w:t>
      </w:r>
      <w:r>
        <w:rPr>
          <w:rStyle w:val="18"/>
          <w:rFonts w:hint="eastAsia" w:ascii="仿宋" w:hAnsi="仿宋" w:eastAsia="仿宋"/>
          <w:b w:val="0"/>
          <w:spacing w:val="-4"/>
          <w:sz w:val="32"/>
          <w:szCs w:val="32"/>
        </w:rPr>
        <w:t>由本单位自行组织实施。实施过程均按照</w:t>
      </w:r>
      <w:r>
        <w:rPr>
          <w:rStyle w:val="18"/>
          <w:rFonts w:hint="eastAsia" w:ascii="仿宋" w:hAnsi="仿宋" w:eastAsia="仿宋"/>
          <w:b w:val="0"/>
          <w:spacing w:val="-4"/>
          <w:sz w:val="32"/>
          <w:szCs w:val="32"/>
          <w:lang w:eastAsia="zh-CN"/>
        </w:rPr>
        <w:t>公安局</w:t>
      </w:r>
      <w:r>
        <w:rPr>
          <w:rStyle w:val="18"/>
          <w:rFonts w:hint="eastAsia" w:ascii="仿宋" w:hAnsi="仿宋" w:eastAsia="仿宋"/>
          <w:b w:val="0"/>
          <w:spacing w:val="-4"/>
          <w:sz w:val="32"/>
          <w:szCs w:val="32"/>
        </w:rPr>
        <w:t>制定的项目管理制度执行。</w:t>
      </w:r>
      <w:r>
        <w:rPr>
          <w:rFonts w:hint="eastAsia" w:ascii="仿宋" w:hAnsi="仿宋" w:eastAsia="仿宋"/>
          <w:spacing w:val="-4"/>
          <w:sz w:val="32"/>
          <w:szCs w:val="32"/>
        </w:rPr>
        <w:t>已办理相关采购手续，并已存档。我局资金使用严格执行我局各项规章制度，资金落实到位，不拖欠，不做项目外的其他支出。2018年项目资金无调整情况。</w:t>
      </w:r>
    </w:p>
    <w:p>
      <w:pPr>
        <w:spacing w:line="540" w:lineRule="exact"/>
        <w:ind w:firstLine="567" w:firstLineChars="181"/>
        <w:rPr>
          <w:rStyle w:val="18"/>
          <w:rFonts w:ascii="仿宋" w:hAnsi="仿宋" w:eastAsia="仿宋"/>
          <w:b w:val="0"/>
          <w:spacing w:val="-4"/>
          <w:sz w:val="32"/>
          <w:szCs w:val="32"/>
        </w:rPr>
      </w:pPr>
      <w:r>
        <w:rPr>
          <w:rStyle w:val="18"/>
          <w:rFonts w:hint="eastAsia" w:ascii="楷体" w:hAnsi="楷体" w:eastAsia="楷体"/>
          <w:spacing w:val="-4"/>
          <w:sz w:val="32"/>
          <w:szCs w:val="32"/>
        </w:rPr>
        <w:t>（二）项目管理情况分析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1</w:t>
      </w:r>
      <w:r>
        <w:rPr>
          <w:rFonts w:hint="eastAsia" w:ascii="仿宋" w:hAnsi="仿宋" w:eastAsia="仿宋"/>
          <w:spacing w:val="-4"/>
          <w:sz w:val="32"/>
          <w:szCs w:val="32"/>
        </w:rPr>
        <w:t>、</w:t>
      </w:r>
      <w:r>
        <w:rPr>
          <w:rStyle w:val="18"/>
          <w:rFonts w:hint="eastAsia" w:ascii="仿宋" w:hAnsi="仿宋" w:eastAsia="仿宋"/>
          <w:b w:val="0"/>
          <w:spacing w:val="-4"/>
          <w:sz w:val="32"/>
          <w:szCs w:val="32"/>
        </w:rPr>
        <w:t>项目管理制度建设：</w:t>
      </w:r>
      <w:r>
        <w:rPr>
          <w:rFonts w:hint="eastAsia" w:ascii="仿宋" w:hAnsi="仿宋" w:eastAsia="仿宋"/>
          <w:spacing w:val="-4"/>
          <w:sz w:val="32"/>
          <w:szCs w:val="32"/>
        </w:rPr>
        <w:t>按照公安厅及上级部门制订的相关财务制度，我局也根据单位的实际情况制定了切实可行的《财务管理制度》、《财务岗位职责》</w:t>
      </w:r>
      <w:r>
        <w:rPr>
          <w:rFonts w:hint="eastAsia" w:ascii="仿宋" w:hAnsi="仿宋" w:eastAsia="仿宋"/>
          <w:spacing w:val="-4"/>
          <w:sz w:val="32"/>
          <w:szCs w:val="32"/>
          <w:lang w:eastAsia="zh-CN"/>
        </w:rPr>
        <w:t>、</w:t>
      </w:r>
      <w:r>
        <w:rPr>
          <w:rFonts w:hint="eastAsia" w:ascii="仿宋" w:hAnsi="仿宋" w:eastAsia="仿宋"/>
          <w:spacing w:val="-4"/>
          <w:sz w:val="32"/>
          <w:szCs w:val="32"/>
        </w:rPr>
        <w:t>《差旅费报销制度》等会计制度，及时学习更新相关规定，根据内部管理的需要，明确了工作岗位职责和权限。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2</w:t>
      </w:r>
      <w:r>
        <w:rPr>
          <w:rFonts w:hint="eastAsia" w:ascii="仿宋" w:hAnsi="仿宋" w:eastAsia="仿宋"/>
          <w:spacing w:val="-4"/>
          <w:sz w:val="32"/>
          <w:szCs w:val="32"/>
        </w:rPr>
        <w:t>、</w:t>
      </w:r>
      <w:r>
        <w:rPr>
          <w:rStyle w:val="18"/>
          <w:rFonts w:hint="eastAsia" w:ascii="仿宋" w:hAnsi="仿宋" w:eastAsia="仿宋"/>
          <w:b w:val="0"/>
          <w:spacing w:val="-4"/>
          <w:sz w:val="32"/>
          <w:szCs w:val="32"/>
        </w:rPr>
        <w:t>日常检查监督管理</w:t>
      </w:r>
      <w:r>
        <w:rPr>
          <w:rStyle w:val="18"/>
          <w:rFonts w:hint="eastAsia" w:ascii="仿宋" w:hAnsi="仿宋" w:eastAsia="仿宋"/>
          <w:b w:val="0"/>
          <w:spacing w:val="-4"/>
          <w:sz w:val="32"/>
          <w:szCs w:val="32"/>
          <w:lang w:eastAsia="zh-CN"/>
        </w:rPr>
        <w:t>：</w:t>
      </w:r>
      <w:r>
        <w:rPr>
          <w:rFonts w:hint="eastAsia" w:ascii="仿宋" w:hAnsi="仿宋" w:eastAsia="仿宋"/>
          <w:spacing w:val="-4"/>
          <w:sz w:val="32"/>
          <w:szCs w:val="32"/>
        </w:rPr>
        <w:t>为进一步规范财政资金管理，强化单位责任意识，进一步完善专项资金管理，提高财政资金使用效益，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val="en-US" w:eastAsia="zh-CN"/>
        </w:rPr>
        <w:t>本项目共设置一级指标3个、二级指标9个、三级指标10个指标。</w:t>
      </w:r>
      <w:r>
        <w:rPr>
          <w:rStyle w:val="18"/>
          <w:rFonts w:hint="eastAsia" w:ascii="仿宋" w:hAnsi="仿宋" w:eastAsia="仿宋"/>
          <w:b w:val="0"/>
          <w:spacing w:val="-4"/>
          <w:sz w:val="32"/>
          <w:szCs w:val="32"/>
          <w:lang w:eastAsia="zh-CN"/>
        </w:rPr>
        <w:t>其中已完成三级指标</w:t>
      </w:r>
      <w:r>
        <w:rPr>
          <w:rStyle w:val="18"/>
          <w:rFonts w:hint="eastAsia" w:ascii="仿宋" w:hAnsi="仿宋" w:eastAsia="仿宋"/>
          <w:b w:val="0"/>
          <w:spacing w:val="-4"/>
          <w:sz w:val="32"/>
          <w:szCs w:val="32"/>
          <w:lang w:val="en-US" w:eastAsia="zh-CN"/>
        </w:rPr>
        <w:t>10</w:t>
      </w:r>
      <w:r>
        <w:rPr>
          <w:rStyle w:val="18"/>
          <w:rFonts w:hint="eastAsia" w:ascii="仿宋" w:hAnsi="仿宋" w:eastAsia="仿宋"/>
          <w:b w:val="0"/>
          <w:spacing w:val="-4"/>
          <w:sz w:val="32"/>
          <w:szCs w:val="32"/>
          <w:lang w:eastAsia="zh-CN"/>
        </w:rPr>
        <w:t>个。指标完成率为</w:t>
      </w:r>
      <w:r>
        <w:rPr>
          <w:rStyle w:val="18"/>
          <w:rFonts w:hint="eastAsia" w:ascii="仿宋" w:hAnsi="仿宋" w:eastAsia="仿宋"/>
          <w:b w:val="0"/>
          <w:spacing w:val="-4"/>
          <w:sz w:val="32"/>
          <w:szCs w:val="32"/>
          <w:lang w:val="en-US" w:eastAsia="zh-CN"/>
        </w:rPr>
        <w:t>100</w:t>
      </w:r>
      <w:r>
        <w:rPr>
          <w:rStyle w:val="18"/>
          <w:rFonts w:hint="eastAsia" w:ascii="仿宋" w:hAnsi="仿宋" w:eastAsia="仿宋"/>
          <w:b w:val="0"/>
          <w:spacing w:val="-4"/>
          <w:sz w:val="32"/>
          <w:szCs w:val="32"/>
          <w:lang w:eastAsia="zh-CN"/>
        </w:rPr>
        <w:t>%。</w:t>
      </w:r>
    </w:p>
    <w:p>
      <w:pPr>
        <w:keepNext w:val="0"/>
        <w:keepLines w:val="0"/>
        <w:pageBreakBefore w:val="0"/>
        <w:widowControl w:val="0"/>
        <w:numPr>
          <w:ilvl w:val="0"/>
          <w:numId w:val="0"/>
        </w:numPr>
        <w:kinsoku/>
        <w:wordWrap/>
        <w:overflowPunct/>
        <w:topLinePunct w:val="0"/>
        <w:autoSpaceDE/>
        <w:autoSpaceDN/>
        <w:bidi w:val="0"/>
        <w:spacing w:after="0" w:line="540" w:lineRule="exact"/>
        <w:ind w:firstLine="627" w:firstLineChars="200"/>
        <w:textAlignment w:val="auto"/>
        <w:outlineLvl w:val="9"/>
        <w:rPr>
          <w:rStyle w:val="18"/>
          <w:rFonts w:hint="eastAsia" w:ascii="仿宋" w:hAnsi="仿宋" w:eastAsia="仿宋"/>
          <w:b/>
          <w:bCs w:val="0"/>
          <w:spacing w:val="-4"/>
          <w:sz w:val="32"/>
          <w:szCs w:val="32"/>
          <w:highlight w:val="none"/>
        </w:rPr>
      </w:pPr>
      <w:r>
        <w:rPr>
          <w:rStyle w:val="18"/>
          <w:rFonts w:hint="eastAsia" w:ascii="仿宋" w:hAnsi="仿宋" w:eastAsia="仿宋"/>
          <w:b/>
          <w:bCs w:val="0"/>
          <w:spacing w:val="-4"/>
          <w:sz w:val="32"/>
          <w:szCs w:val="32"/>
          <w:highlight w:val="none"/>
          <w:lang w:val="en-US" w:eastAsia="zh-CN"/>
        </w:rPr>
        <w:t>1、</w:t>
      </w:r>
      <w:r>
        <w:rPr>
          <w:rStyle w:val="18"/>
          <w:rFonts w:hint="eastAsia" w:ascii="仿宋" w:hAnsi="仿宋" w:eastAsia="仿宋"/>
          <w:b/>
          <w:bCs w:val="0"/>
          <w:spacing w:val="-4"/>
          <w:sz w:val="32"/>
          <w:szCs w:val="32"/>
          <w:highlight w:val="none"/>
        </w:rPr>
        <w:t>产出指标完成情况分析。</w:t>
      </w:r>
    </w:p>
    <w:p>
      <w:pPr>
        <w:spacing w:line="540" w:lineRule="exact"/>
        <w:ind w:firstLine="564" w:firstLineChars="181"/>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val="en-US" w:eastAsia="zh-CN"/>
        </w:rPr>
        <w:t>（1）项目完成数量。一购置指挥通讯装备90，指标完成率100%。保障工作正常运行，实际已按照目标全部完成，完成率100%。</w:t>
      </w:r>
    </w:p>
    <w:p>
      <w:pPr>
        <w:spacing w:line="540" w:lineRule="exact"/>
        <w:ind w:firstLine="564" w:firstLineChars="181"/>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val="en-US" w:eastAsia="zh-CN"/>
        </w:rPr>
        <w:t>（2）项目完成质量。提高公安机关办案效率和质量，办案率明显提高，完成率100%。</w:t>
      </w:r>
    </w:p>
    <w:p>
      <w:pPr>
        <w:spacing w:line="540" w:lineRule="exact"/>
        <w:ind w:firstLine="564" w:firstLineChars="181"/>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val="en-US" w:eastAsia="zh-CN"/>
        </w:rPr>
        <w:t>（3）项目时效。资金执行率100%，完成率100%。</w:t>
      </w:r>
    </w:p>
    <w:p>
      <w:pPr>
        <w:spacing w:line="540" w:lineRule="exact"/>
        <w:ind w:firstLine="564" w:firstLineChars="181"/>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val="en-US" w:eastAsia="zh-CN"/>
        </w:rPr>
        <w:t>（4）项目成本。上级专项资金金额90万元，完成率100%。</w:t>
      </w:r>
    </w:p>
    <w:p>
      <w:pPr>
        <w:keepNext w:val="0"/>
        <w:keepLines w:val="0"/>
        <w:pageBreakBefore w:val="0"/>
        <w:widowControl w:val="0"/>
        <w:kinsoku/>
        <w:wordWrap/>
        <w:overflowPunct/>
        <w:topLinePunct w:val="0"/>
        <w:autoSpaceDE/>
        <w:autoSpaceDN/>
        <w:bidi w:val="0"/>
        <w:spacing w:after="0" w:line="540" w:lineRule="exact"/>
        <w:ind w:firstLine="567" w:firstLineChars="181"/>
        <w:textAlignment w:val="auto"/>
        <w:outlineLvl w:val="9"/>
        <w:rPr>
          <w:rStyle w:val="18"/>
          <w:rFonts w:hint="eastAsia" w:ascii="仿宋" w:hAnsi="仿宋" w:eastAsia="仿宋"/>
          <w:b/>
          <w:bCs w:val="0"/>
          <w:color w:val="000000" w:themeColor="text1"/>
          <w:spacing w:val="-4"/>
          <w:sz w:val="32"/>
          <w:szCs w:val="32"/>
        </w:rPr>
      </w:pPr>
      <w:r>
        <w:rPr>
          <w:rStyle w:val="18"/>
          <w:rFonts w:hint="eastAsia" w:ascii="仿宋" w:hAnsi="仿宋" w:eastAsia="仿宋"/>
          <w:b/>
          <w:bCs w:val="0"/>
          <w:color w:val="000000" w:themeColor="text1"/>
          <w:spacing w:val="-4"/>
          <w:sz w:val="32"/>
          <w:szCs w:val="32"/>
          <w:lang w:val="en-US" w:eastAsia="zh-CN"/>
        </w:rPr>
        <w:t>2</w:t>
      </w:r>
      <w:r>
        <w:rPr>
          <w:rStyle w:val="18"/>
          <w:rFonts w:hint="eastAsia" w:ascii="仿宋" w:hAnsi="仿宋" w:eastAsia="仿宋"/>
          <w:b/>
          <w:bCs w:val="0"/>
          <w:color w:val="000000" w:themeColor="text1"/>
          <w:spacing w:val="-4"/>
          <w:sz w:val="32"/>
          <w:szCs w:val="32"/>
        </w:rPr>
        <w:t>.效益</w:t>
      </w:r>
      <w:r>
        <w:rPr>
          <w:rStyle w:val="18"/>
          <w:rFonts w:hint="eastAsia" w:ascii="仿宋" w:hAnsi="仿宋" w:eastAsia="仿宋"/>
          <w:b/>
          <w:bCs w:val="0"/>
          <w:spacing w:val="-4"/>
          <w:sz w:val="32"/>
          <w:szCs w:val="32"/>
          <w:highlight w:val="none"/>
        </w:rPr>
        <w:t>指</w:t>
      </w:r>
      <w:r>
        <w:rPr>
          <w:rStyle w:val="18"/>
          <w:rFonts w:hint="eastAsia" w:ascii="仿宋" w:hAnsi="仿宋" w:eastAsia="仿宋"/>
          <w:b/>
          <w:bCs w:val="0"/>
          <w:color w:val="000000" w:themeColor="text1"/>
          <w:spacing w:val="-4"/>
          <w:sz w:val="32"/>
          <w:szCs w:val="32"/>
        </w:rPr>
        <w:t>标完成情况</w:t>
      </w:r>
    </w:p>
    <w:p>
      <w:pPr>
        <w:spacing w:line="540" w:lineRule="exact"/>
        <w:ind w:firstLine="564" w:firstLineChars="181"/>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val="en-US" w:eastAsia="zh-CN"/>
        </w:rPr>
        <w:t>（1）</w:t>
      </w:r>
      <w:r>
        <w:rPr>
          <w:rFonts w:hint="eastAsia" w:ascii="仿宋" w:hAnsi="仿宋" w:eastAsia="仿宋" w:cs="仿宋"/>
          <w:b w:val="0"/>
          <w:bCs/>
          <w:color w:val="auto"/>
          <w:kern w:val="0"/>
          <w:sz w:val="32"/>
          <w:szCs w:val="32"/>
          <w:lang w:eastAsia="zh-CN"/>
        </w:rPr>
        <w:t>项目实施的社会效益指标。</w:t>
      </w:r>
      <w:r>
        <w:rPr>
          <w:rStyle w:val="18"/>
          <w:rFonts w:hint="eastAsia" w:ascii="仿宋" w:hAnsi="仿宋" w:eastAsia="仿宋"/>
          <w:b w:val="0"/>
          <w:spacing w:val="-4"/>
          <w:sz w:val="32"/>
          <w:szCs w:val="32"/>
          <w:lang w:val="en-US" w:eastAsia="zh-CN"/>
        </w:rPr>
        <w:t>提高公安办案效率和质量，社会犯罪明显减少，公安队伍建设提高，干警素质和服务质量明显提升，赢得群众赞誉，提升公安队伍整体形象。</w:t>
      </w:r>
    </w:p>
    <w:p>
      <w:pPr>
        <w:spacing w:line="540" w:lineRule="exact"/>
        <w:ind w:firstLine="564" w:firstLineChars="181"/>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val="en-US" w:eastAsia="zh-CN"/>
        </w:rPr>
        <w:t>（2）项目实施的可持续影响分析。长期维护社会面管控，已完成该项目指标，完成率100%。</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8"/>
          <w:rFonts w:hint="eastAsia" w:ascii="方正仿宋_GBK" w:hAnsi="方正仿宋_GBK" w:eastAsia="方正仿宋_GBK" w:cs="方正仿宋_GBK"/>
          <w:b/>
          <w:bCs/>
          <w:sz w:val="32"/>
          <w:szCs w:val="32"/>
        </w:rPr>
      </w:pPr>
      <w:r>
        <w:rPr>
          <w:rStyle w:val="18"/>
          <w:rFonts w:hint="eastAsia" w:ascii="方正仿宋_GBK" w:hAnsi="方正仿宋_GBK" w:eastAsia="方正仿宋_GBK" w:cs="方正仿宋_GBK"/>
          <w:b/>
          <w:bCs/>
          <w:sz w:val="32"/>
          <w:szCs w:val="32"/>
        </w:rPr>
        <w:t>3</w:t>
      </w:r>
      <w:r>
        <w:rPr>
          <w:rStyle w:val="18"/>
          <w:rFonts w:hint="eastAsia" w:ascii="方正仿宋_GBK" w:hAnsi="方正仿宋_GBK" w:eastAsia="方正仿宋_GBK" w:cs="方正仿宋_GBK"/>
          <w:b/>
          <w:bCs/>
          <w:sz w:val="32"/>
          <w:szCs w:val="32"/>
          <w:lang w:eastAsia="zh-CN"/>
        </w:rPr>
        <w:t>、</w:t>
      </w:r>
      <w:r>
        <w:rPr>
          <w:rStyle w:val="18"/>
          <w:rFonts w:hint="eastAsia" w:ascii="方正仿宋_GBK" w:hAnsi="方正仿宋_GBK" w:eastAsia="方正仿宋_GBK" w:cs="方正仿宋_GBK"/>
          <w:b/>
          <w:bCs/>
          <w:sz w:val="32"/>
          <w:szCs w:val="32"/>
        </w:rPr>
        <w:t>满意度指标完成情况分析</w:t>
      </w:r>
    </w:p>
    <w:p>
      <w:pPr>
        <w:spacing w:line="600" w:lineRule="exact"/>
        <w:ind w:firstLine="611" w:firstLineChars="196"/>
        <w:jc w:val="left"/>
        <w:rPr>
          <w:rFonts w:hint="eastAsia" w:ascii="仿宋" w:hAnsi="仿宋" w:eastAsia="仿宋" w:cs="仿宋"/>
          <w:b w:val="0"/>
          <w:bCs/>
          <w:color w:val="auto"/>
          <w:kern w:val="0"/>
          <w:sz w:val="32"/>
          <w:szCs w:val="32"/>
          <w:lang w:val="en-US" w:eastAsia="zh-CN"/>
        </w:rPr>
      </w:pPr>
      <w:r>
        <w:rPr>
          <w:rStyle w:val="18"/>
          <w:rFonts w:hint="eastAsia" w:ascii="仿宋" w:hAnsi="仿宋" w:eastAsia="仿宋"/>
          <w:b w:val="0"/>
          <w:spacing w:val="-4"/>
          <w:sz w:val="32"/>
          <w:szCs w:val="32"/>
          <w:lang w:val="en-US" w:eastAsia="zh-CN"/>
        </w:rPr>
        <w:t>该项目指标全部完成，预计维护社会面稳定群众满意度＞</w:t>
      </w:r>
      <w:r>
        <w:rPr>
          <w:rFonts w:hint="eastAsia" w:ascii="仿宋" w:hAnsi="仿宋" w:eastAsia="仿宋" w:cs="仿宋"/>
          <w:b w:val="0"/>
          <w:bCs/>
          <w:color w:val="auto"/>
          <w:kern w:val="0"/>
          <w:sz w:val="32"/>
          <w:szCs w:val="32"/>
          <w:lang w:eastAsia="zh-CN"/>
        </w:rPr>
        <w:t>95%，实际群众满意度</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eastAsia="zh-CN"/>
        </w:rPr>
      </w:pPr>
      <w:r>
        <w:rPr>
          <w:rFonts w:hint="eastAsia" w:ascii="方正仿宋_GBK" w:hAnsi="方正仿宋_GBK" w:eastAsia="方正仿宋_GBK" w:cs="方正仿宋_GBK"/>
          <w:b/>
          <w:bCs/>
          <w:sz w:val="32"/>
          <w:szCs w:val="32"/>
          <w:highlight w:val="none"/>
          <w:lang w:eastAsia="zh-CN"/>
        </w:rPr>
        <w:t>（二）项目绩效目标未完成原因分析。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val="en-US" w:eastAsia="zh-CN"/>
        </w:rPr>
      </w:pPr>
      <w:r>
        <w:rPr>
          <w:rFonts w:hint="eastAsia" w:ascii="方正仿宋_GBK" w:hAnsi="方正仿宋_GBK" w:eastAsia="方正仿宋_GBK" w:cs="方正仿宋_GBK"/>
          <w:b/>
          <w:bCs/>
          <w:sz w:val="32"/>
          <w:szCs w:val="32"/>
          <w:highlight w:val="none"/>
          <w:lang w:val="en-US" w:eastAsia="zh-CN"/>
        </w:rPr>
        <w:t>（三）预算执行进度与绩效指标偏差分析。</w:t>
      </w:r>
    </w:p>
    <w:p>
      <w:pPr>
        <w:keepNext w:val="0"/>
        <w:keepLines w:val="0"/>
        <w:pageBreakBefore w:val="0"/>
        <w:widowControl w:val="0"/>
        <w:numPr>
          <w:ilvl w:val="0"/>
          <w:numId w:val="0"/>
        </w:numPr>
        <w:kinsoku/>
        <w:wordWrap/>
        <w:overflowPunct/>
        <w:topLinePunct w:val="0"/>
        <w:autoSpaceDE/>
        <w:autoSpaceDN/>
        <w:bidi w:val="0"/>
        <w:adjustRightInd w:val="0"/>
        <w:spacing w:line="600" w:lineRule="exact"/>
        <w:ind w:right="0" w:rightChars="0" w:firstLine="640" w:firstLineChars="200"/>
        <w:textAlignment w:val="auto"/>
        <w:rPr>
          <w:rFonts w:hint="eastAsia"/>
          <w:lang w:val="en-US" w:eastAsia="zh-CN"/>
        </w:rPr>
      </w:pPr>
      <w:r>
        <w:rPr>
          <w:rFonts w:hint="eastAsia" w:ascii="仿宋" w:hAnsi="仿宋" w:eastAsia="仿宋" w:cs="仿宋"/>
          <w:b w:val="0"/>
          <w:bCs w:val="0"/>
          <w:kern w:val="2"/>
          <w:sz w:val="32"/>
          <w:szCs w:val="32"/>
          <w:highlight w:val="none"/>
          <w:lang w:val="en-US" w:eastAsia="zh-CN" w:bidi="ar-SA"/>
        </w:rPr>
        <w:t>该项目预算执行进度与绩效指标总体完成率无偏差。</w:t>
      </w:r>
    </w:p>
    <w:p>
      <w:pPr>
        <w:spacing w:line="540" w:lineRule="exact"/>
        <w:ind w:firstLine="564" w:firstLineChars="181"/>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学习更新相关规定，根据内部管理的需要，明确工作岗位职责和权限</w:t>
      </w:r>
      <w:r>
        <w:rPr>
          <w:rFonts w:hint="eastAsia" w:ascii="仿宋" w:hAnsi="仿宋" w:eastAsia="仿宋"/>
          <w:spacing w:val="-4"/>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经验及做法：对专项资金，我局严格按照财务管理制度、专项资金管理办法以及本部门厉行节约制度执行，各项专项资金，做到了财政、上级、本部门的三方共同管理、监督，专款专用极大有效的预防和惩治违法犯罪行为，保护了公民身心健康，抑制了犯罪数，维护社会稳定和经济发展。</w:t>
      </w:r>
    </w:p>
    <w:p>
      <w:pPr>
        <w:keepNext w:val="0"/>
        <w:keepLines w:val="0"/>
        <w:pageBreakBefore w:val="0"/>
        <w:widowControl w:val="0"/>
        <w:numPr>
          <w:ilvl w:val="0"/>
          <w:numId w:val="1"/>
        </w:numPr>
        <w:kinsoku/>
        <w:wordWrap/>
        <w:overflowPunct/>
        <w:topLinePunct w:val="0"/>
        <w:autoSpaceDE/>
        <w:autoSpaceDN/>
        <w:bidi w:val="0"/>
        <w:adjustRightInd w:val="0"/>
        <w:snapToGrid w:val="0"/>
        <w:spacing w:line="540" w:lineRule="exact"/>
        <w:ind w:firstLine="624" w:firstLineChars="200"/>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存在的问题</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textAlignment w:val="auto"/>
        <w:outlineLvl w:val="9"/>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val="en-US" w:eastAsia="zh-CN"/>
        </w:rPr>
        <w:t xml:space="preserve">     随者社会的发展、经济水平的发展以及公安业务发展的需要，用于（办案）业务经费和装备经费的开支呈现刚性增长，实际上级资金拨付较少，造成了该部分资金紧张。</w:t>
      </w:r>
    </w:p>
    <w:p>
      <w:pPr>
        <w:keepNext w:val="0"/>
        <w:keepLines w:val="0"/>
        <w:pageBreakBefore w:val="0"/>
        <w:widowControl w:val="0"/>
        <w:numPr>
          <w:ilvl w:val="0"/>
          <w:numId w:val="1"/>
        </w:numPr>
        <w:kinsoku/>
        <w:wordWrap/>
        <w:overflowPunct/>
        <w:topLinePunct w:val="0"/>
        <w:autoSpaceDE/>
        <w:autoSpaceDN/>
        <w:bidi w:val="0"/>
        <w:adjustRightInd w:val="0"/>
        <w:snapToGrid w:val="0"/>
        <w:spacing w:line="540" w:lineRule="exact"/>
        <w:ind w:left="0" w:leftChars="0" w:firstLine="624" w:firstLineChars="200"/>
        <w:textAlignment w:val="auto"/>
        <w:outlineLvl w:val="9"/>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val="en-US" w:eastAsia="zh-CN"/>
        </w:rPr>
        <w:t>建议</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leftChars="200"/>
        <w:textAlignment w:val="auto"/>
        <w:outlineLvl w:val="9"/>
        <w:rPr>
          <w:rFonts w:hint="eastAsia" w:ascii="仿宋" w:hAnsi="仿宋" w:eastAsia="仿宋"/>
          <w:spacing w:val="-4"/>
          <w:sz w:val="32"/>
          <w:szCs w:val="32"/>
        </w:rPr>
      </w:pPr>
      <w:r>
        <w:rPr>
          <w:rStyle w:val="18"/>
          <w:rFonts w:hint="eastAsia" w:ascii="仿宋" w:hAnsi="仿宋" w:eastAsia="仿宋"/>
          <w:b w:val="0"/>
          <w:spacing w:val="-4"/>
          <w:sz w:val="32"/>
          <w:szCs w:val="32"/>
          <w:lang w:val="en-US" w:eastAsia="zh-CN"/>
        </w:rPr>
        <w:t xml:space="preserve">   加大公安装备投入，提高公安装备的科技含量，提升公安机关的战斗力。最终达到公安装备在各项公安工作中“人尽其才，物尽其用”的目的。</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rPr>
        <w:t>无其他说明内容</w:t>
      </w:r>
      <w:r>
        <w:rPr>
          <w:rStyle w:val="18"/>
          <w:rFonts w:hint="eastAsia" w:ascii="仿宋" w:hAnsi="仿宋" w:eastAsia="仿宋"/>
          <w:b w:val="0"/>
          <w:spacing w:val="-4"/>
          <w:sz w:val="32"/>
          <w:szCs w:val="32"/>
          <w:lang w:eastAsia="zh-CN"/>
        </w:rPr>
        <w:t>。</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我局严格按照上级部门下达的资金使用方式使用资金，切实做到每笔资金都由我局领导逐级审批，合理规范资金使用情况，确保资金落到实处，使资金使用效益达到最大化，切实保障办案部门正常运转。</w:t>
      </w:r>
    </w:p>
    <w:p>
      <w:pPr>
        <w:spacing w:line="540" w:lineRule="exact"/>
        <w:ind w:firstLine="564" w:firstLineChars="181"/>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rPr>
        <w:t>项目资金管理过程规范，程序到位，完成了预期绩效目标，群众满意，社会反响好。取得了巨大的社会效益</w:t>
      </w:r>
      <w:r>
        <w:rPr>
          <w:rStyle w:val="18"/>
          <w:rFonts w:hint="eastAsia" w:ascii="仿宋" w:hAnsi="仿宋" w:eastAsia="仿宋"/>
          <w:b w:val="0"/>
          <w:spacing w:val="-4"/>
          <w:sz w:val="32"/>
          <w:szCs w:val="32"/>
          <w:lang w:eastAsia="zh-CN"/>
        </w:rPr>
        <w:t>。</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tbl>
      <w:tblPr>
        <w:tblStyle w:val="20"/>
        <w:tblW w:w="9400" w:type="dxa"/>
        <w:tblInd w:w="93" w:type="dxa"/>
        <w:tblLayout w:type="fixed"/>
        <w:tblCellMar>
          <w:top w:w="0" w:type="dxa"/>
          <w:left w:w="108" w:type="dxa"/>
          <w:bottom w:w="0" w:type="dxa"/>
          <w:right w:w="108" w:type="dxa"/>
        </w:tblCellMar>
      </w:tblPr>
      <w:tblGrid>
        <w:gridCol w:w="720"/>
        <w:gridCol w:w="1068"/>
        <w:gridCol w:w="1434"/>
        <w:gridCol w:w="818"/>
        <w:gridCol w:w="1948"/>
        <w:gridCol w:w="1334"/>
        <w:gridCol w:w="2078"/>
      </w:tblGrid>
      <w:tr>
        <w:tblPrEx>
          <w:tblLayout w:type="fixed"/>
          <w:tblCellMar>
            <w:top w:w="0" w:type="dxa"/>
            <w:left w:w="108" w:type="dxa"/>
            <w:bottom w:w="0" w:type="dxa"/>
            <w:right w:w="108" w:type="dxa"/>
          </w:tblCellMar>
        </w:tblPrEx>
        <w:trPr>
          <w:trHeight w:val="285" w:hRule="atLeast"/>
        </w:trPr>
        <w:tc>
          <w:tcPr>
            <w:tcW w:w="940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40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068"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434"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818"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948"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34"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2078" w:type="dxa"/>
            <w:tcBorders>
              <w:top w:val="nil"/>
              <w:left w:val="nil"/>
              <w:bottom w:val="nil"/>
              <w:right w:val="nil"/>
            </w:tcBorders>
            <w:shd w:val="clear" w:color="auto" w:fill="auto"/>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435" w:hRule="atLeast"/>
        </w:trPr>
        <w:tc>
          <w:tcPr>
            <w:tcW w:w="32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项目名称</w:t>
            </w:r>
          </w:p>
        </w:tc>
        <w:tc>
          <w:tcPr>
            <w:tcW w:w="6178"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中央转移支付装备经费</w:t>
            </w:r>
          </w:p>
        </w:tc>
      </w:tr>
      <w:tr>
        <w:tblPrEx>
          <w:tblLayout w:type="fixed"/>
          <w:tblCellMar>
            <w:top w:w="0" w:type="dxa"/>
            <w:left w:w="108" w:type="dxa"/>
            <w:bottom w:w="0" w:type="dxa"/>
            <w:right w:w="108" w:type="dxa"/>
          </w:tblCellMar>
        </w:tblPrEx>
        <w:trPr>
          <w:trHeight w:val="435" w:hRule="atLeast"/>
        </w:trPr>
        <w:tc>
          <w:tcPr>
            <w:tcW w:w="32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预算单位</w:t>
            </w:r>
          </w:p>
        </w:tc>
        <w:tc>
          <w:tcPr>
            <w:tcW w:w="6178"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玛纳斯县公安局</w:t>
            </w:r>
          </w:p>
        </w:tc>
      </w:tr>
      <w:tr>
        <w:tblPrEx>
          <w:tblLayout w:type="fixed"/>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预算执行情况（万元）</w:t>
            </w:r>
          </w:p>
        </w:tc>
        <w:tc>
          <w:tcPr>
            <w:tcW w:w="250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预算数：</w:t>
            </w:r>
          </w:p>
        </w:tc>
        <w:tc>
          <w:tcPr>
            <w:tcW w:w="276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3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执行数：</w:t>
            </w:r>
          </w:p>
        </w:tc>
        <w:tc>
          <w:tcPr>
            <w:tcW w:w="2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90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50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76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3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90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50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76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3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年度目标完成情况</w:t>
            </w:r>
          </w:p>
        </w:tc>
        <w:tc>
          <w:tcPr>
            <w:tcW w:w="5268"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预期目标</w:t>
            </w:r>
          </w:p>
        </w:tc>
        <w:tc>
          <w:tcPr>
            <w:tcW w:w="341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实际完成目标</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5268" w:type="dxa"/>
            <w:gridSpan w:val="4"/>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用于购置指挥通讯装备，增强破案率，有效打击犯罪行为</w:t>
            </w:r>
          </w:p>
        </w:tc>
        <w:tc>
          <w:tcPr>
            <w:tcW w:w="3412"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增强了破案率，有效打击了犯罪行为</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5268"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412"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5268"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412"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870" w:hRule="atLeast"/>
        </w:trPr>
        <w:tc>
          <w:tcPr>
            <w:tcW w:w="72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年度绩效指标完成情况</w:t>
            </w:r>
          </w:p>
        </w:tc>
        <w:tc>
          <w:tcPr>
            <w:tcW w:w="10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一级指标</w:t>
            </w:r>
          </w:p>
        </w:tc>
        <w:tc>
          <w:tcPr>
            <w:tcW w:w="14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二级指标</w:t>
            </w:r>
          </w:p>
        </w:tc>
        <w:tc>
          <w:tcPr>
            <w:tcW w:w="276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三级指标</w:t>
            </w:r>
          </w:p>
        </w:tc>
        <w:tc>
          <w:tcPr>
            <w:tcW w:w="13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预期指标值（包含数字及文字描述）</w:t>
            </w:r>
          </w:p>
        </w:tc>
        <w:tc>
          <w:tcPr>
            <w:tcW w:w="2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实际完成指标值（包含数字及文字描述）</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068"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4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数量指标　</w:t>
            </w:r>
          </w:p>
        </w:tc>
        <w:tc>
          <w:tcPr>
            <w:tcW w:w="276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购置指挥通讯装备</w:t>
            </w:r>
          </w:p>
        </w:tc>
        <w:tc>
          <w:tcPr>
            <w:tcW w:w="1334"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90</w:t>
            </w:r>
          </w:p>
        </w:tc>
        <w:tc>
          <w:tcPr>
            <w:tcW w:w="2078"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90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068"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34"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276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eastAsia="zh-CN"/>
              </w:rPr>
              <w:t>提高公安机关办案效率和质量</w:t>
            </w:r>
          </w:p>
        </w:tc>
        <w:tc>
          <w:tcPr>
            <w:tcW w:w="1334"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eastAsia="zh-CN"/>
              </w:rPr>
              <w:t>办案率明显提高</w:t>
            </w:r>
          </w:p>
        </w:tc>
        <w:tc>
          <w:tcPr>
            <w:tcW w:w="2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办案率明显提高</w:t>
            </w:r>
          </w:p>
        </w:tc>
      </w:tr>
      <w:tr>
        <w:tblPrEx>
          <w:tblLayout w:type="fixed"/>
          <w:tblCellMar>
            <w:top w:w="0" w:type="dxa"/>
            <w:left w:w="108" w:type="dxa"/>
            <w:bottom w:w="0" w:type="dxa"/>
            <w:right w:w="108" w:type="dxa"/>
          </w:tblCellMar>
        </w:tblPrEx>
        <w:trPr>
          <w:trHeight w:val="734"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068"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34"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时效指标</w:t>
            </w:r>
          </w:p>
        </w:tc>
        <w:tc>
          <w:tcPr>
            <w:tcW w:w="276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资金执行率</w:t>
            </w:r>
          </w:p>
        </w:tc>
        <w:tc>
          <w:tcPr>
            <w:tcW w:w="13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c>
          <w:tcPr>
            <w:tcW w:w="2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068"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34"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276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上级专项资金金额</w:t>
            </w:r>
          </w:p>
        </w:tc>
        <w:tc>
          <w:tcPr>
            <w:tcW w:w="1334"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90</w:t>
            </w:r>
          </w:p>
        </w:tc>
        <w:tc>
          <w:tcPr>
            <w:tcW w:w="2078"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90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068"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项目效果指标</w:t>
            </w:r>
          </w:p>
        </w:tc>
        <w:tc>
          <w:tcPr>
            <w:tcW w:w="1434"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经济效益指标</w:t>
            </w:r>
          </w:p>
        </w:tc>
        <w:tc>
          <w:tcPr>
            <w:tcW w:w="276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p>
        </w:tc>
        <w:tc>
          <w:tcPr>
            <w:tcW w:w="13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2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763"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068"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34"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社会效益指标</w:t>
            </w:r>
          </w:p>
        </w:tc>
        <w:tc>
          <w:tcPr>
            <w:tcW w:w="276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rPr>
              <w:t xml:space="preserve"> </w:t>
            </w:r>
            <w:r>
              <w:rPr>
                <w:rFonts w:hint="eastAsia" w:ascii="宋体" w:hAnsi="宋体" w:cs="宋体"/>
                <w:kern w:val="0"/>
                <w:sz w:val="24"/>
                <w:lang w:eastAsia="zh-CN"/>
              </w:rPr>
              <w:t>提高公安办案效率和质量</w:t>
            </w:r>
          </w:p>
        </w:tc>
        <w:tc>
          <w:tcPr>
            <w:tcW w:w="1334"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eastAsia="zh-CN"/>
              </w:rPr>
              <w:t>社会犯罪明显减少</w:t>
            </w:r>
          </w:p>
        </w:tc>
        <w:tc>
          <w:tcPr>
            <w:tcW w:w="2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社会犯罪明显减少</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068"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34"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276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eastAsia="zh-CN"/>
              </w:rPr>
              <w:t>公安队伍建设提高，干警素质和服务质量明显提升，赢得群众赞誉</w:t>
            </w:r>
          </w:p>
        </w:tc>
        <w:tc>
          <w:tcPr>
            <w:tcW w:w="1334"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eastAsia="zh-CN"/>
              </w:rPr>
              <w:t>提升公安队伍整体形象</w:t>
            </w:r>
          </w:p>
        </w:tc>
        <w:tc>
          <w:tcPr>
            <w:tcW w:w="2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提升公安队伍整体</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068"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34"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生态效益指标</w:t>
            </w:r>
          </w:p>
        </w:tc>
        <w:tc>
          <w:tcPr>
            <w:tcW w:w="276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p>
        </w:tc>
        <w:tc>
          <w:tcPr>
            <w:tcW w:w="13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068"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34"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可持续影响指标</w:t>
            </w:r>
          </w:p>
        </w:tc>
        <w:tc>
          <w:tcPr>
            <w:tcW w:w="276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cs="宋体"/>
                <w:kern w:val="0"/>
                <w:sz w:val="24"/>
                <w:lang w:eastAsia="zh-CN"/>
              </w:rPr>
            </w:pPr>
            <w:r>
              <w:rPr>
                <w:rFonts w:hint="eastAsia" w:ascii="宋体" w:hAnsi="宋体" w:cs="宋体"/>
                <w:kern w:val="0"/>
                <w:sz w:val="24"/>
                <w:lang w:val="en-US" w:eastAsia="zh-CN"/>
              </w:rPr>
              <w:t xml:space="preserve"> 社会面管控</w:t>
            </w:r>
          </w:p>
        </w:tc>
        <w:tc>
          <w:tcPr>
            <w:tcW w:w="1334"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4"/>
                <w:lang w:eastAsia="zh-CN"/>
              </w:rPr>
            </w:pPr>
            <w:r>
              <w:rPr>
                <w:rFonts w:hint="eastAsia" w:ascii="宋体" w:hAnsi="宋体" w:cs="宋体"/>
                <w:kern w:val="0"/>
                <w:sz w:val="24"/>
                <w:lang w:val="en-US" w:eastAsia="zh-CN"/>
              </w:rPr>
              <w:t>长期</w:t>
            </w:r>
          </w:p>
        </w:tc>
        <w:tc>
          <w:tcPr>
            <w:tcW w:w="207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4"/>
                <w:lang w:eastAsia="zh-CN"/>
              </w:rPr>
            </w:pPr>
            <w:r>
              <w:rPr>
                <w:rFonts w:hint="eastAsia" w:ascii="宋体" w:hAnsi="宋体" w:cs="宋体"/>
                <w:kern w:val="0"/>
                <w:sz w:val="24"/>
                <w:lang w:val="en-US" w:eastAsia="zh-CN"/>
              </w:rPr>
              <w:t>长期</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0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14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276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rPr>
              <w:t>维护社会稳定</w:t>
            </w:r>
            <w:r>
              <w:rPr>
                <w:rFonts w:hint="eastAsia" w:ascii="宋体" w:hAnsi="宋体" w:cs="宋体"/>
                <w:kern w:val="0"/>
                <w:sz w:val="24"/>
                <w:lang w:eastAsia="zh-CN"/>
              </w:rPr>
              <w:t>，</w:t>
            </w:r>
          </w:p>
        </w:tc>
        <w:tc>
          <w:tcPr>
            <w:tcW w:w="13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群众满意率</w:t>
            </w:r>
          </w:p>
        </w:tc>
        <w:tc>
          <w:tcPr>
            <w:tcW w:w="2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E2720A2-B20E-46E8-BDED-70782243876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9F74032B-3E65-4444-9F1D-351B1B037F93}"/>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77993257-38F3-4104-B5DF-7C72A5430655}"/>
  </w:font>
  <w:font w:name="华文中宋">
    <w:panose1 w:val="02010600040101010101"/>
    <w:charset w:val="86"/>
    <w:family w:val="auto"/>
    <w:pitch w:val="default"/>
    <w:sig w:usb0="00000287" w:usb1="080F0000" w:usb2="00000000" w:usb3="00000000" w:csb0="0004009F" w:csb1="DFD70000"/>
    <w:embedRegular r:id="rId4" w:fontKey="{171A2FB8-110F-4441-AF1A-CC9BBB61621C}"/>
  </w:font>
  <w:font w:name="方正小标宋_GBK">
    <w:panose1 w:val="02000000000000000000"/>
    <w:charset w:val="86"/>
    <w:family w:val="script"/>
    <w:pitch w:val="default"/>
    <w:sig w:usb0="00000000" w:usb1="00000000" w:usb2="00000000" w:usb3="00000000" w:csb0="00000000" w:csb1="00000000"/>
    <w:embedRegular r:id="rId5" w:fontKey="{E8A99CFC-53E7-4EFE-A47F-6ABA0849A53B}"/>
  </w:font>
  <w:font w:name="仿宋_GB2312">
    <w:altName w:val="仿宋"/>
    <w:panose1 w:val="00000000000000000000"/>
    <w:charset w:val="86"/>
    <w:family w:val="modern"/>
    <w:pitch w:val="default"/>
    <w:sig w:usb0="00000000" w:usb1="00000000" w:usb2="00000010" w:usb3="00000000" w:csb0="00040000" w:csb1="00000000"/>
    <w:embedRegular r:id="rId6" w:fontKey="{E4A54890-AB15-47E8-8EB4-DE8203A533BB}"/>
  </w:font>
  <w:font w:name="楷体">
    <w:panose1 w:val="02010609060101010101"/>
    <w:charset w:val="86"/>
    <w:family w:val="modern"/>
    <w:pitch w:val="default"/>
    <w:sig w:usb0="800002BF" w:usb1="38CF7CFA" w:usb2="00000016" w:usb3="00000000" w:csb0="00040001" w:csb1="00000000"/>
    <w:embedRegular r:id="rId7" w:fontKey="{F2BB0DD0-2280-4538-8B30-65F9AFAC28EE}"/>
  </w:font>
  <w:font w:name="方正仿宋_GBK">
    <w:altName w:val="宋体"/>
    <w:panose1 w:val="03000509000000000000"/>
    <w:charset w:val="86"/>
    <w:family w:val="script"/>
    <w:pitch w:val="default"/>
    <w:sig w:usb0="00000000" w:usb1="00000000" w:usb2="00000000" w:usb3="00000000" w:csb0="00040000" w:csb1="00000000"/>
    <w:embedRegular r:id="rId8" w:fontKey="{499F222C-A40B-4259-BE38-7AB02DD2595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2</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821177"/>
    <w:multiLevelType w:val="singleLevel"/>
    <w:tmpl w:val="9082117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TrueTypeFonts/>
  <w:saveSubsetFonts/>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065AC1"/>
    <w:rsid w:val="000E7402"/>
    <w:rsid w:val="000F7341"/>
    <w:rsid w:val="00121AE4"/>
    <w:rsid w:val="00146AAD"/>
    <w:rsid w:val="00165B78"/>
    <w:rsid w:val="001B3A40"/>
    <w:rsid w:val="002977E8"/>
    <w:rsid w:val="003337E0"/>
    <w:rsid w:val="003C18BC"/>
    <w:rsid w:val="004366A8"/>
    <w:rsid w:val="00464900"/>
    <w:rsid w:val="00502BA7"/>
    <w:rsid w:val="005162F1"/>
    <w:rsid w:val="00535153"/>
    <w:rsid w:val="00542434"/>
    <w:rsid w:val="00554F82"/>
    <w:rsid w:val="0056390D"/>
    <w:rsid w:val="005719B0"/>
    <w:rsid w:val="005D10D6"/>
    <w:rsid w:val="00623316"/>
    <w:rsid w:val="006D6220"/>
    <w:rsid w:val="006F709F"/>
    <w:rsid w:val="00727729"/>
    <w:rsid w:val="007806A5"/>
    <w:rsid w:val="007A7588"/>
    <w:rsid w:val="007C5E51"/>
    <w:rsid w:val="007D1D4C"/>
    <w:rsid w:val="0080157F"/>
    <w:rsid w:val="00855E3A"/>
    <w:rsid w:val="008858F2"/>
    <w:rsid w:val="00922CB9"/>
    <w:rsid w:val="009C4E03"/>
    <w:rsid w:val="009E5CD9"/>
    <w:rsid w:val="009F4AB5"/>
    <w:rsid w:val="00A26421"/>
    <w:rsid w:val="00A337BA"/>
    <w:rsid w:val="00A4293B"/>
    <w:rsid w:val="00A67D50"/>
    <w:rsid w:val="00A8691A"/>
    <w:rsid w:val="00A96D01"/>
    <w:rsid w:val="00AA2202"/>
    <w:rsid w:val="00AC001D"/>
    <w:rsid w:val="00AC1946"/>
    <w:rsid w:val="00B40063"/>
    <w:rsid w:val="00B41F61"/>
    <w:rsid w:val="00BA46E6"/>
    <w:rsid w:val="00C042BC"/>
    <w:rsid w:val="00C16F77"/>
    <w:rsid w:val="00C562A9"/>
    <w:rsid w:val="00C56C72"/>
    <w:rsid w:val="00CA6457"/>
    <w:rsid w:val="00CC4FD7"/>
    <w:rsid w:val="00CD35C8"/>
    <w:rsid w:val="00D17F2E"/>
    <w:rsid w:val="00D209D1"/>
    <w:rsid w:val="00D2223F"/>
    <w:rsid w:val="00D30354"/>
    <w:rsid w:val="00D82C00"/>
    <w:rsid w:val="00DF42A0"/>
    <w:rsid w:val="00E0665E"/>
    <w:rsid w:val="00E46C51"/>
    <w:rsid w:val="00E769FE"/>
    <w:rsid w:val="00EA2CBE"/>
    <w:rsid w:val="00EE7710"/>
    <w:rsid w:val="00EF2659"/>
    <w:rsid w:val="00F2607F"/>
    <w:rsid w:val="00F32FEE"/>
    <w:rsid w:val="00FB10BB"/>
    <w:rsid w:val="00FD0AD7"/>
    <w:rsid w:val="0AFF7226"/>
    <w:rsid w:val="1F9B3137"/>
    <w:rsid w:val="243426FC"/>
    <w:rsid w:val="28706D81"/>
    <w:rsid w:val="400E1D56"/>
    <w:rsid w:val="493902A6"/>
    <w:rsid w:val="4B52174D"/>
    <w:rsid w:val="4CC7760A"/>
    <w:rsid w:val="553C40C4"/>
    <w:rsid w:val="598327D1"/>
    <w:rsid w:val="5BD269D1"/>
    <w:rsid w:val="5E3C6BD1"/>
    <w:rsid w:val="63C42FF6"/>
    <w:rsid w:val="6D7A5E02"/>
    <w:rsid w:val="7742133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7">
    <w:name w:val="Default Paragraph Font"/>
    <w:semiHidden/>
    <w:unhideWhenUsed/>
    <w:qFormat/>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qFormat/>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8">
    <w:name w:val="Strong"/>
    <w:basedOn w:val="17"/>
    <w:qFormat/>
    <w:uiPriority w:val="99"/>
    <w:rPr>
      <w:rFonts w:cs="Times New Roman"/>
      <w:b/>
      <w:bCs/>
    </w:rPr>
  </w:style>
  <w:style w:type="character" w:styleId="19">
    <w:name w:val="Emphasis"/>
    <w:qFormat/>
    <w:uiPriority w:val="99"/>
    <w:rPr>
      <w:rFonts w:ascii="Calibri" w:hAnsi="Calibri" w:cs="Times New Roman"/>
      <w:b/>
      <w:i/>
      <w:iCs/>
    </w:rPr>
  </w:style>
  <w:style w:type="character" w:customStyle="1" w:styleId="21">
    <w:name w:val="标题 1 Char"/>
    <w:link w:val="2"/>
    <w:qFormat/>
    <w:locked/>
    <w:uiPriority w:val="99"/>
    <w:rPr>
      <w:rFonts w:ascii="Cambria" w:hAnsi="Cambria" w:eastAsia="宋体" w:cs="Times New Roman"/>
      <w:b/>
      <w:bCs/>
      <w:kern w:val="32"/>
      <w:sz w:val="32"/>
      <w:szCs w:val="32"/>
    </w:rPr>
  </w:style>
  <w:style w:type="character" w:customStyle="1" w:styleId="22">
    <w:name w:val="标题 2 Char"/>
    <w:link w:val="3"/>
    <w:semiHidden/>
    <w:qFormat/>
    <w:locked/>
    <w:uiPriority w:val="99"/>
    <w:rPr>
      <w:rFonts w:ascii="Cambria" w:hAnsi="Cambria" w:eastAsia="宋体" w:cs="Times New Roman"/>
      <w:b/>
      <w:bCs/>
      <w:i/>
      <w:iCs/>
      <w:sz w:val="28"/>
      <w:szCs w:val="28"/>
    </w:rPr>
  </w:style>
  <w:style w:type="character" w:customStyle="1" w:styleId="23">
    <w:name w:val="标题 3 Char"/>
    <w:link w:val="4"/>
    <w:semiHidden/>
    <w:qFormat/>
    <w:locked/>
    <w:uiPriority w:val="99"/>
    <w:rPr>
      <w:rFonts w:ascii="Cambria" w:hAnsi="Cambria" w:eastAsia="宋体" w:cs="Times New Roman"/>
      <w:b/>
      <w:bCs/>
      <w:sz w:val="26"/>
      <w:szCs w:val="26"/>
    </w:rPr>
  </w:style>
  <w:style w:type="character" w:customStyle="1" w:styleId="24">
    <w:name w:val="标题 4 Char"/>
    <w:link w:val="5"/>
    <w:semiHidden/>
    <w:qFormat/>
    <w:locked/>
    <w:uiPriority w:val="99"/>
    <w:rPr>
      <w:rFonts w:cs="Times New Roman"/>
      <w:b/>
      <w:bCs/>
      <w:sz w:val="28"/>
      <w:szCs w:val="28"/>
    </w:rPr>
  </w:style>
  <w:style w:type="character" w:customStyle="1" w:styleId="25">
    <w:name w:val="标题 5 Char"/>
    <w:link w:val="6"/>
    <w:semiHidden/>
    <w:qFormat/>
    <w:locked/>
    <w:uiPriority w:val="99"/>
    <w:rPr>
      <w:rFonts w:cs="Times New Roman"/>
      <w:b/>
      <w:bCs/>
      <w:i/>
      <w:iCs/>
      <w:sz w:val="26"/>
      <w:szCs w:val="26"/>
    </w:rPr>
  </w:style>
  <w:style w:type="character" w:customStyle="1" w:styleId="26">
    <w:name w:val="标题 6 Char"/>
    <w:link w:val="7"/>
    <w:semiHidden/>
    <w:qFormat/>
    <w:locked/>
    <w:uiPriority w:val="99"/>
    <w:rPr>
      <w:rFonts w:cs="Times New Roman"/>
      <w:b/>
      <w:bCs/>
    </w:rPr>
  </w:style>
  <w:style w:type="character" w:customStyle="1" w:styleId="27">
    <w:name w:val="标题 7 Char"/>
    <w:link w:val="8"/>
    <w:semiHidden/>
    <w:qFormat/>
    <w:locked/>
    <w:uiPriority w:val="99"/>
    <w:rPr>
      <w:rFonts w:cs="Times New Roman"/>
      <w:sz w:val="24"/>
      <w:szCs w:val="24"/>
    </w:rPr>
  </w:style>
  <w:style w:type="character" w:customStyle="1" w:styleId="28">
    <w:name w:val="标题 8 Char"/>
    <w:link w:val="9"/>
    <w:semiHidden/>
    <w:qFormat/>
    <w:locked/>
    <w:uiPriority w:val="99"/>
    <w:rPr>
      <w:rFonts w:cs="Times New Roman"/>
      <w:i/>
      <w:iCs/>
      <w:sz w:val="24"/>
      <w:szCs w:val="24"/>
    </w:rPr>
  </w:style>
  <w:style w:type="character" w:customStyle="1" w:styleId="29">
    <w:name w:val="标题 9 Char"/>
    <w:link w:val="10"/>
    <w:semiHidden/>
    <w:qFormat/>
    <w:locked/>
    <w:uiPriority w:val="99"/>
    <w:rPr>
      <w:rFonts w:ascii="Cambria" w:hAnsi="Cambria" w:eastAsia="宋体" w:cs="Times New Roman"/>
    </w:rPr>
  </w:style>
  <w:style w:type="character" w:customStyle="1" w:styleId="30">
    <w:name w:val="批注框文本 Char"/>
    <w:link w:val="11"/>
    <w:semiHidden/>
    <w:qFormat/>
    <w:locked/>
    <w:uiPriority w:val="99"/>
    <w:rPr>
      <w:rFonts w:ascii="Times New Roman" w:hAnsi="Times New Roman" w:eastAsia="宋体" w:cs="Times New Roman"/>
      <w:kern w:val="2"/>
      <w:sz w:val="18"/>
      <w:szCs w:val="18"/>
    </w:rPr>
  </w:style>
  <w:style w:type="character" w:customStyle="1" w:styleId="31">
    <w:name w:val="页脚 Char"/>
    <w:link w:val="12"/>
    <w:qFormat/>
    <w:locked/>
    <w:uiPriority w:val="99"/>
    <w:rPr>
      <w:rFonts w:ascii="Calibri" w:hAnsi="Calibri" w:eastAsia="宋体" w:cs="Times New Roman"/>
      <w:kern w:val="2"/>
      <w:sz w:val="18"/>
      <w:szCs w:val="18"/>
    </w:rPr>
  </w:style>
  <w:style w:type="character" w:customStyle="1" w:styleId="32">
    <w:name w:val="页眉 Char"/>
    <w:link w:val="13"/>
    <w:qFormat/>
    <w:locked/>
    <w:uiPriority w:val="99"/>
    <w:rPr>
      <w:rFonts w:ascii="Calibri" w:hAnsi="Calibri" w:eastAsia="宋体" w:cs="Times New Roman"/>
      <w:kern w:val="2"/>
      <w:sz w:val="18"/>
      <w:szCs w:val="18"/>
    </w:rPr>
  </w:style>
  <w:style w:type="character" w:customStyle="1" w:styleId="33">
    <w:name w:val="副标题 Char"/>
    <w:link w:val="14"/>
    <w:qFormat/>
    <w:locked/>
    <w:uiPriority w:val="99"/>
    <w:rPr>
      <w:rFonts w:ascii="Cambria" w:hAnsi="Cambria" w:eastAsia="宋体" w:cs="Times New Roman"/>
      <w:sz w:val="24"/>
      <w:szCs w:val="24"/>
    </w:rPr>
  </w:style>
  <w:style w:type="character" w:customStyle="1" w:styleId="34">
    <w:name w:val="标题 Char"/>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qFormat/>
    <w:uiPriority w:val="99"/>
    <w:rPr>
      <w:rFonts w:cs="Times New Roman"/>
      <w:b/>
      <w:i/>
      <w:sz w:val="24"/>
      <w:szCs w:val="24"/>
      <w:u w:val="single"/>
    </w:rPr>
  </w:style>
  <w:style w:type="character" w:customStyle="1" w:styleId="43">
    <w:name w:val="不明显参考1"/>
    <w:qFormat/>
    <w:uiPriority w:val="99"/>
    <w:rPr>
      <w:rFonts w:cs="Times New Roman"/>
      <w:sz w:val="24"/>
      <w:szCs w:val="24"/>
      <w:u w:val="single"/>
    </w:rPr>
  </w:style>
  <w:style w:type="character" w:customStyle="1" w:styleId="44">
    <w:name w:val="明显参考1"/>
    <w:qFormat/>
    <w:uiPriority w:val="99"/>
    <w:rPr>
      <w:rFonts w:cs="Times New Roman"/>
      <w:b/>
      <w:sz w:val="24"/>
      <w:u w:val="single"/>
    </w:rPr>
  </w:style>
  <w:style w:type="character" w:customStyle="1" w:styleId="45">
    <w:name w:val="书籍标题1"/>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320</Words>
  <Characters>1826</Characters>
  <Lines>15</Lines>
  <Paragraphs>4</Paragraphs>
  <TotalTime>0</TotalTime>
  <ScaleCrop>false</ScaleCrop>
  <LinksUpToDate>false</LinksUpToDate>
  <CharactersWithSpaces>2142</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2019-10-29T14:34:21Z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