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2656" w:leftChars="0" w:hanging="2656" w:hangingChars="738"/>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财政转移支付资金、村治保主任工资、综改工作经费</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实施单位（公章）：玛纳斯县</w:t>
      </w:r>
      <w:r>
        <w:rPr>
          <w:rFonts w:hint="eastAsia" w:hAnsi="宋体" w:eastAsia="仿宋_GB2312" w:cs="宋体"/>
          <w:kern w:val="0"/>
          <w:sz w:val="36"/>
          <w:szCs w:val="36"/>
          <w:lang w:eastAsia="zh-CN"/>
        </w:rPr>
        <w:t>乡财局（综改办）</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w:t>
      </w:r>
      <w:r>
        <w:rPr>
          <w:rFonts w:hint="eastAsia" w:hAnsi="宋体" w:eastAsia="仿宋_GB2312" w:cs="宋体"/>
          <w:kern w:val="0"/>
          <w:sz w:val="36"/>
          <w:szCs w:val="36"/>
          <w:lang w:eastAsia="zh-CN"/>
        </w:rPr>
        <w:t>财政局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吕校江</w:t>
      </w:r>
    </w:p>
    <w:p>
      <w:pPr>
        <w:spacing w:line="700" w:lineRule="exact"/>
        <w:ind w:firstLine="849" w:firstLineChars="236"/>
        <w:jc w:val="left"/>
        <w:rPr>
          <w:rFonts w:hint="eastAsia"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 </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 xml:space="preserve"> 月 </w:t>
      </w:r>
      <w:r>
        <w:rPr>
          <w:rFonts w:hint="eastAsia" w:hAnsi="宋体" w:eastAsia="仿宋_GB2312" w:cs="宋体"/>
          <w:kern w:val="0"/>
          <w:sz w:val="36"/>
          <w:szCs w:val="36"/>
          <w:lang w:val="en-US" w:eastAsia="zh-CN"/>
        </w:rPr>
        <w:t>10</w:t>
      </w:r>
      <w:r>
        <w:rPr>
          <w:rFonts w:hint="eastAsia" w:hAnsi="宋体" w:eastAsia="仿宋_GB2312" w:cs="宋体"/>
          <w:kern w:val="0"/>
          <w:sz w:val="36"/>
          <w:szCs w:val="36"/>
        </w:rPr>
        <w:t xml:space="preserve"> 日</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hint="eastAsia" w:ascii="黑体" w:hAnsi="黑体" w:eastAsia="黑体" w:cs="黑体"/>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hint="eastAsia" w:ascii="黑体" w:hAnsi="黑体" w:eastAsia="黑体" w:cs="黑体"/>
          <w:b w:val="0"/>
          <w:spacing w:val="-4"/>
          <w:sz w:val="32"/>
          <w:szCs w:val="32"/>
        </w:rPr>
      </w:pPr>
      <w:r>
        <w:rPr>
          <w:rStyle w:val="18"/>
          <w:rFonts w:hint="eastAsia" w:ascii="黑体" w:hAnsi="黑体" w:eastAsia="黑体" w:cs="黑体"/>
          <w:b w:val="0"/>
          <w:spacing w:val="-4"/>
          <w:sz w:val="32"/>
          <w:szCs w:val="32"/>
        </w:rPr>
        <w:t>一、项目概况</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 w:hAnsi="仿宋" w:eastAsia="仿宋" w:cs="仿宋"/>
          <w:spacing w:val="-4"/>
          <w:sz w:val="32"/>
          <w:szCs w:val="32"/>
        </w:rPr>
      </w:pPr>
      <w:r>
        <w:rPr>
          <w:rStyle w:val="18"/>
          <w:rFonts w:hint="eastAsia" w:ascii="仿宋" w:hAnsi="仿宋" w:eastAsia="仿宋" w:cs="仿宋"/>
          <w:spacing w:val="-4"/>
          <w:sz w:val="32"/>
          <w:szCs w:val="32"/>
        </w:rPr>
        <w:t>（一）项目单位基本情况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567"/>
        <w:jc w:val="both"/>
        <w:textAlignment w:val="auto"/>
        <w:rPr>
          <w:rFonts w:hint="eastAsia" w:ascii="仿宋" w:hAnsi="仿宋" w:eastAsia="仿宋" w:cs="仿宋"/>
          <w:b w:val="0"/>
          <w:bCs/>
          <w:spacing w:val="-4"/>
          <w:kern w:val="2"/>
          <w:sz w:val="32"/>
          <w:szCs w:val="32"/>
          <w:lang w:val="en-US" w:eastAsia="zh-CN" w:bidi="ar"/>
        </w:rPr>
      </w:pPr>
      <w:r>
        <w:rPr>
          <w:rStyle w:val="18"/>
          <w:rFonts w:hint="eastAsia" w:ascii="仿宋" w:hAnsi="仿宋" w:eastAsia="仿宋" w:cs="仿宋"/>
          <w:b w:val="0"/>
          <w:bCs w:val="0"/>
          <w:spacing w:val="-4"/>
          <w:sz w:val="32"/>
          <w:szCs w:val="32"/>
          <w:lang w:eastAsia="zh-CN"/>
        </w:rPr>
        <w:t>玛纳斯县</w:t>
      </w:r>
      <w:r>
        <w:rPr>
          <w:rFonts w:hint="eastAsia" w:ascii="仿宋" w:hAnsi="仿宋" w:eastAsia="仿宋" w:cs="仿宋"/>
          <w:b w:val="0"/>
          <w:bCs/>
          <w:spacing w:val="-4"/>
          <w:kern w:val="2"/>
          <w:sz w:val="32"/>
          <w:szCs w:val="32"/>
          <w:lang w:val="en-US" w:eastAsia="zh-CN" w:bidi="ar"/>
        </w:rPr>
        <w:t>全县总面积1.1万平方公里，辖14个乡镇场站、5个驻县团场。有汉、回、哈萨克、维吾尔等32个民族，总人口28万人。</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8"/>
          <w:rFonts w:hint="eastAsia" w:ascii="仿宋" w:hAnsi="仿宋" w:eastAsia="仿宋" w:cs="仿宋"/>
          <w:spacing w:val="-4"/>
          <w:sz w:val="32"/>
          <w:szCs w:val="32"/>
        </w:rPr>
      </w:pPr>
      <w:r>
        <w:rPr>
          <w:rStyle w:val="18"/>
          <w:rFonts w:hint="eastAsia" w:ascii="仿宋" w:hAnsi="仿宋" w:eastAsia="仿宋" w:cs="仿宋"/>
          <w:spacing w:val="-4"/>
          <w:sz w:val="32"/>
          <w:szCs w:val="32"/>
        </w:rPr>
        <w:t>（二）项目预算绩效目标设定情况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579" w:firstLineChars="181"/>
        <w:jc w:val="both"/>
        <w:textAlignment w:val="auto"/>
        <w:rPr>
          <w:rFonts w:hint="eastAsia" w:ascii="仿宋" w:hAnsi="仿宋" w:eastAsia="仿宋" w:cs="仿宋"/>
          <w:color w:val="000000"/>
          <w:sz w:val="32"/>
          <w:szCs w:val="32"/>
          <w:lang w:val="en-US" w:bidi="ar"/>
        </w:rPr>
      </w:pPr>
      <w:r>
        <w:rPr>
          <w:rFonts w:hint="eastAsia" w:ascii="仿宋" w:hAnsi="仿宋" w:eastAsia="仿宋" w:cs="仿宋"/>
          <w:color w:val="000000"/>
          <w:kern w:val="2"/>
          <w:sz w:val="32"/>
          <w:szCs w:val="32"/>
          <w:lang w:val="en-US" w:eastAsia="zh-CN" w:bidi="ar"/>
        </w:rPr>
        <w:t>1、预期目标及阶段性目标：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567"/>
        <w:jc w:val="both"/>
        <w:textAlignment w:val="auto"/>
        <w:rPr>
          <w:rFonts w:hint="eastAsia" w:ascii="仿宋" w:hAnsi="仿宋" w:eastAsia="仿宋" w:cs="仿宋"/>
          <w:b w:val="0"/>
          <w:bCs/>
          <w:spacing w:val="-4"/>
          <w:kern w:val="2"/>
          <w:sz w:val="32"/>
          <w:szCs w:val="32"/>
          <w:lang w:val="en-US" w:eastAsia="zh-CN" w:bidi="ar"/>
        </w:rPr>
      </w:pPr>
      <w:r>
        <w:rPr>
          <w:rFonts w:hint="eastAsia" w:ascii="仿宋" w:hAnsi="仿宋" w:eastAsia="仿宋" w:cs="仿宋"/>
          <w:b w:val="0"/>
          <w:bCs/>
          <w:spacing w:val="-4"/>
          <w:kern w:val="2"/>
          <w:sz w:val="32"/>
          <w:szCs w:val="32"/>
          <w:lang w:val="en-US" w:eastAsia="zh-CN" w:bidi="ar"/>
        </w:rPr>
        <w:t>（1）预期目标：切实加强农村税费改革转移支付资金、村治保主任工资、农村综合改革工作经费的监督管理，提高资金使用效率，全面落实中央和自治区“三个确保”的要求，促进农村和谐社会建设和基层民主法制建设。</w:t>
      </w:r>
    </w:p>
    <w:p>
      <w:pPr>
        <w:keepNext w:val="0"/>
        <w:keepLines w:val="0"/>
        <w:pageBreakBefore w:val="0"/>
        <w:widowControl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（2）阶段性目标：及时下达拨付转移支付资金、村治保主任工资及农村综合改革工作经费，规范转移支付资金使用范围，确保农村税费改革转移支付等资金落到实处。</w:t>
      </w:r>
    </w:p>
    <w:p>
      <w:pPr>
        <w:keepNext w:val="0"/>
        <w:keepLines w:val="0"/>
        <w:pageBreakBefore w:val="0"/>
        <w:widowControl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2、项目基本性质、用途：财政转移支付资金、村治保主任工资、农村综合改革工作经费为非扶贫类财政补助性资金，主要用于农村义务教育、人口与计划生育、乡村道路建设、村干部报酬、村治保主任工资等支出。</w:t>
      </w:r>
    </w:p>
    <w:p>
      <w:pPr>
        <w:keepNext w:val="0"/>
        <w:keepLines w:val="0"/>
        <w:pageBreakBefore w:val="0"/>
        <w:widowControl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3、项目主要内容及涉及范围：财政转移支付资金、村治保主任工资及综改工作经费主要用于</w:t>
      </w:r>
      <w:r>
        <w:rPr>
          <w:rFonts w:hint="eastAsia" w:ascii="仿宋_GB2312" w:hAnsi="Arial" w:eastAsia="仿宋_GB2312" w:cs="Arial"/>
          <w:color w:val="000000"/>
          <w:kern w:val="0"/>
          <w:sz w:val="30"/>
          <w:szCs w:val="30"/>
        </w:rPr>
        <w:t>农村义务教育、人口与计划生育、农村“五保”供养、乡村道路建设、村干部报酬和村级办公</w:t>
      </w:r>
      <w:r>
        <w:rPr>
          <w:rFonts w:hint="eastAsia" w:ascii="仿宋_GB2312" w:hAnsi="Arial" w:eastAsia="仿宋_GB2312" w:cs="Arial"/>
          <w:color w:val="000000"/>
          <w:kern w:val="0"/>
          <w:sz w:val="30"/>
          <w:szCs w:val="30"/>
          <w:lang w:eastAsia="zh-CN"/>
        </w:rPr>
        <w:t>、治保主任工资、农村综合改革</w:t>
      </w:r>
      <w:r>
        <w:rPr>
          <w:rFonts w:hint="eastAsia" w:ascii="仿宋_GB2312" w:hAnsi="Arial" w:eastAsia="仿宋_GB2312" w:cs="Arial"/>
          <w:color w:val="000000"/>
          <w:kern w:val="0"/>
          <w:sz w:val="30"/>
          <w:szCs w:val="30"/>
        </w:rPr>
        <w:t>等</w:t>
      </w:r>
      <w:r>
        <w:rPr>
          <w:rFonts w:hint="eastAsia" w:ascii="仿宋_GB2312" w:hAnsi="Arial" w:eastAsia="仿宋_GB2312" w:cs="Arial"/>
          <w:color w:val="000000"/>
          <w:kern w:val="0"/>
          <w:sz w:val="30"/>
          <w:szCs w:val="30"/>
          <w:lang w:eastAsia="zh-CN"/>
        </w:rPr>
        <w:t>各</w:t>
      </w:r>
      <w:r>
        <w:rPr>
          <w:rFonts w:hint="eastAsia" w:ascii="仿宋_GB2312" w:hAnsi="Arial" w:eastAsia="仿宋_GB2312" w:cs="Arial"/>
          <w:color w:val="000000"/>
          <w:kern w:val="0"/>
          <w:sz w:val="30"/>
          <w:szCs w:val="30"/>
        </w:rPr>
        <w:t>方面</w:t>
      </w:r>
      <w:r>
        <w:rPr>
          <w:rFonts w:hint="eastAsia" w:ascii="仿宋" w:hAnsi="仿宋" w:eastAsia="仿宋" w:cs="仿宋"/>
          <w:kern w:val="2"/>
          <w:sz w:val="32"/>
          <w:szCs w:val="32"/>
          <w:lang w:val="en-US" w:eastAsia="zh-CN" w:bidi="ar"/>
        </w:rPr>
        <w:t>支出。</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hint="eastAsia" w:ascii="黑体" w:hAnsi="黑体" w:eastAsia="黑体" w:cs="黑体"/>
          <w:b w:val="0"/>
          <w:spacing w:val="-4"/>
          <w:sz w:val="32"/>
          <w:szCs w:val="32"/>
        </w:rPr>
      </w:pPr>
      <w:r>
        <w:rPr>
          <w:rStyle w:val="18"/>
          <w:rFonts w:hint="eastAsia" w:ascii="黑体" w:hAnsi="黑体" w:eastAsia="黑体" w:cs="黑体"/>
          <w:b w:val="0"/>
          <w:spacing w:val="-4"/>
          <w:sz w:val="32"/>
          <w:szCs w:val="32"/>
        </w:rPr>
        <w:t>二、项目资金使用及管理情况</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8"/>
          <w:rFonts w:hint="eastAsia" w:ascii="仿宋" w:hAnsi="仿宋" w:eastAsia="仿宋" w:cs="仿宋"/>
          <w:spacing w:val="-4"/>
          <w:sz w:val="32"/>
          <w:szCs w:val="32"/>
        </w:rPr>
      </w:pPr>
      <w:r>
        <w:rPr>
          <w:rStyle w:val="18"/>
          <w:rFonts w:hint="eastAsia" w:ascii="仿宋" w:hAnsi="仿宋" w:eastAsia="仿宋" w:cs="仿宋"/>
          <w:spacing w:val="-4"/>
          <w:sz w:val="32"/>
          <w:szCs w:val="32"/>
        </w:rPr>
        <w:t>（一）项目资金安排落实、总投入等情况分析</w:t>
      </w:r>
    </w:p>
    <w:p>
      <w:pPr>
        <w:keepNext w:val="0"/>
        <w:keepLines w:val="0"/>
        <w:pageBreakBefore w:val="0"/>
        <w:widowControl w:val="0"/>
        <w:kinsoku/>
        <w:wordWrap/>
        <w:overflowPunct/>
        <w:topLinePunct w:val="0"/>
        <w:autoSpaceDE/>
        <w:autoSpaceDN/>
        <w:bidi w:val="0"/>
        <w:adjustRightInd/>
        <w:snapToGrid/>
        <w:spacing w:line="560" w:lineRule="exact"/>
        <w:ind w:left="319" w:leftChars="152" w:firstLine="320" w:firstLineChars="100"/>
        <w:textAlignment w:val="auto"/>
        <w:rPr>
          <w:rStyle w:val="18"/>
          <w:rFonts w:hint="eastAsia" w:ascii="仿宋" w:hAnsi="仿宋" w:eastAsia="仿宋" w:cs="仿宋"/>
          <w:b w:val="0"/>
          <w:spacing w:val="-4"/>
          <w:sz w:val="32"/>
          <w:szCs w:val="32"/>
        </w:rPr>
      </w:pPr>
      <w:r>
        <w:rPr>
          <w:rFonts w:hint="eastAsia" w:ascii="仿宋" w:hAnsi="仿宋" w:eastAsia="仿宋" w:cs="仿宋"/>
          <w:kern w:val="2"/>
          <w:sz w:val="32"/>
          <w:szCs w:val="32"/>
          <w:lang w:val="en-US" w:eastAsia="zh-CN" w:bidi="ar"/>
        </w:rPr>
        <w:t>2018年，玛纳斯县总计下达财政转移支付资金、村治保主任工资及农村综合改革工作经</w:t>
      </w:r>
      <w:r>
        <w:rPr>
          <w:rFonts w:hint="eastAsia" w:ascii="仿宋" w:hAnsi="仿宋" w:eastAsia="仿宋" w:cs="仿宋"/>
          <w:kern w:val="2"/>
          <w:sz w:val="32"/>
          <w:szCs w:val="32"/>
          <w:highlight w:val="yellow"/>
          <w:lang w:val="en-US" w:eastAsia="zh-CN" w:bidi="ar"/>
        </w:rPr>
        <w:t>费1423.4万元</w:t>
      </w:r>
      <w:r>
        <w:rPr>
          <w:rFonts w:hint="eastAsia" w:ascii="仿宋" w:hAnsi="仿宋" w:eastAsia="仿宋" w:cs="仿宋"/>
          <w:kern w:val="2"/>
          <w:sz w:val="32"/>
          <w:szCs w:val="32"/>
          <w:lang w:val="en-US" w:eastAsia="zh-CN" w:bidi="ar"/>
        </w:rPr>
        <w:t>（其中：转移支付资金1179万元，村治保主任工资242.4万元，综改工作经费2万元），其中：自治区下达农村综合改革工作经费2万元，县级预算安排资金1421.4万元。</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8"/>
          <w:rFonts w:hint="eastAsia" w:ascii="仿宋" w:hAnsi="仿宋" w:eastAsia="仿宋" w:cs="仿宋"/>
          <w:spacing w:val="-4"/>
          <w:sz w:val="32"/>
          <w:szCs w:val="32"/>
        </w:rPr>
      </w:pPr>
      <w:r>
        <w:rPr>
          <w:rStyle w:val="18"/>
          <w:rFonts w:hint="eastAsia" w:ascii="仿宋" w:hAnsi="仿宋" w:eastAsia="仿宋" w:cs="仿宋"/>
          <w:spacing w:val="-4"/>
          <w:sz w:val="32"/>
          <w:szCs w:val="32"/>
        </w:rPr>
        <w:t>（二）项目资金实际使用情况分析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8"/>
          <w:rFonts w:hint="eastAsia" w:ascii="仿宋" w:hAnsi="仿宋" w:eastAsia="仿宋" w:cs="仿宋"/>
          <w:b w:val="0"/>
          <w:spacing w:val="-4"/>
          <w:sz w:val="32"/>
          <w:szCs w:val="32"/>
        </w:rPr>
      </w:pPr>
      <w:r>
        <w:rPr>
          <w:rFonts w:hint="eastAsia" w:ascii="仿宋" w:hAnsi="仿宋" w:eastAsia="仿宋" w:cs="仿宋"/>
          <w:kern w:val="2"/>
          <w:sz w:val="32"/>
          <w:szCs w:val="32"/>
          <w:lang w:val="en-US" w:eastAsia="zh-CN" w:bidi="ar"/>
        </w:rPr>
        <w:t>2018年，财政转移支付资金、村治保主任工资及综改工作经费1423.4万元，全部用于各乡镇发放村干部报酬、村级运转经费、乡村两级办学、人口与计划生育、乡村道路建设、治保主任工资、综改工作运行等各项支出。</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8"/>
          <w:rFonts w:hint="eastAsia" w:ascii="仿宋" w:hAnsi="仿宋" w:eastAsia="仿宋" w:cs="仿宋"/>
          <w:spacing w:val="-4"/>
          <w:sz w:val="32"/>
          <w:szCs w:val="32"/>
        </w:rPr>
      </w:pPr>
      <w:r>
        <w:rPr>
          <w:rStyle w:val="18"/>
          <w:rFonts w:hint="eastAsia" w:ascii="仿宋" w:hAnsi="仿宋" w:eastAsia="仿宋" w:cs="仿宋"/>
          <w:spacing w:val="-4"/>
          <w:sz w:val="32"/>
          <w:szCs w:val="32"/>
        </w:rPr>
        <w:t>（三）项目资金管理情况分析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color w:val="000000"/>
          <w:kern w:val="2"/>
          <w:sz w:val="32"/>
          <w:szCs w:val="32"/>
          <w:lang w:val="en-US" w:eastAsia="zh-CN" w:bidi="ar"/>
        </w:rPr>
      </w:pPr>
      <w:r>
        <w:rPr>
          <w:rFonts w:hint="eastAsia" w:ascii="仿宋" w:hAnsi="仿宋" w:eastAsia="仿宋" w:cs="仿宋"/>
          <w:color w:val="000000"/>
          <w:kern w:val="2"/>
          <w:sz w:val="32"/>
          <w:szCs w:val="32"/>
          <w:lang w:val="en-US" w:eastAsia="zh-CN" w:bidi="ar"/>
        </w:rPr>
        <w:t>玛纳斯县严格按照《中华人民共和国会计法》、《新疆维吾尔自治区农村税费改革财政转移支付补助资金管理办</w:t>
      </w:r>
      <w:r>
        <w:rPr>
          <w:rFonts w:hint="eastAsia" w:ascii="仿宋" w:hAnsi="仿宋" w:eastAsia="仿宋" w:cs="仿宋"/>
          <w:kern w:val="2"/>
          <w:sz w:val="32"/>
          <w:szCs w:val="32"/>
          <w:lang w:val="en-US" w:eastAsia="zh-CN" w:bidi="ar"/>
        </w:rPr>
        <w:t>法》(新财预【2004】31号)、《玛纳斯县农村税费改革转移支付资金管理办法》文件精神，及时安排分配转移支付资金，</w:t>
      </w:r>
      <w:r>
        <w:rPr>
          <w:rFonts w:hint="eastAsia" w:ascii="仿宋" w:hAnsi="仿宋" w:eastAsia="仿宋" w:cs="仿宋"/>
          <w:color w:val="000000"/>
          <w:kern w:val="2"/>
          <w:sz w:val="32"/>
          <w:szCs w:val="32"/>
          <w:lang w:val="en-US" w:eastAsia="zh-CN" w:bidi="ar"/>
        </w:rPr>
        <w:t>并对资金的使用范围进行规范管理，确保资金安全运行。</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hint="eastAsia" w:ascii="黑体" w:hAnsi="黑体" w:eastAsia="黑体" w:cs="黑体"/>
          <w:b w:val="0"/>
          <w:spacing w:val="-4"/>
          <w:sz w:val="32"/>
          <w:szCs w:val="32"/>
        </w:rPr>
      </w:pPr>
      <w:r>
        <w:rPr>
          <w:rStyle w:val="18"/>
          <w:rFonts w:hint="eastAsia" w:ascii="黑体" w:hAnsi="黑体" w:eastAsia="黑体" w:cs="黑体"/>
          <w:b w:val="0"/>
          <w:spacing w:val="-4"/>
          <w:sz w:val="32"/>
          <w:szCs w:val="32"/>
        </w:rPr>
        <w:t>三、项目组织实施情况</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8"/>
          <w:rFonts w:hint="eastAsia" w:ascii="仿宋" w:hAnsi="仿宋" w:eastAsia="仿宋" w:cs="仿宋"/>
          <w:spacing w:val="-4"/>
          <w:sz w:val="32"/>
          <w:szCs w:val="32"/>
        </w:rPr>
      </w:pPr>
      <w:r>
        <w:rPr>
          <w:rStyle w:val="18"/>
          <w:rFonts w:hint="eastAsia" w:ascii="仿宋" w:hAnsi="仿宋" w:eastAsia="仿宋" w:cs="仿宋"/>
          <w:spacing w:val="-4"/>
          <w:sz w:val="32"/>
          <w:szCs w:val="32"/>
        </w:rPr>
        <w:t>（一）项目组织情况分析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8"/>
          <w:rFonts w:hint="eastAsia" w:ascii="仿宋" w:hAnsi="仿宋" w:eastAsia="仿宋" w:cs="仿宋"/>
          <w:b w:val="0"/>
          <w:spacing w:val="-4"/>
          <w:sz w:val="32"/>
          <w:szCs w:val="32"/>
        </w:rPr>
      </w:pPr>
      <w:r>
        <w:rPr>
          <w:rFonts w:hint="eastAsia" w:ascii="仿宋" w:hAnsi="仿宋" w:eastAsia="仿宋" w:cs="仿宋"/>
          <w:kern w:val="2"/>
          <w:sz w:val="32"/>
          <w:szCs w:val="32"/>
          <w:lang w:val="en-US" w:eastAsia="zh-CN" w:bidi="ar"/>
        </w:rPr>
        <w:t>2018年财政转移支付资金等均已完成下达资金、支出报账管理工作。</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8"/>
          <w:rFonts w:hint="eastAsia" w:ascii="仿宋" w:hAnsi="仿宋" w:eastAsia="仿宋" w:cs="仿宋"/>
          <w:spacing w:val="-4"/>
          <w:sz w:val="32"/>
          <w:szCs w:val="32"/>
        </w:rPr>
      </w:pPr>
      <w:r>
        <w:rPr>
          <w:rStyle w:val="18"/>
          <w:rFonts w:hint="eastAsia" w:ascii="仿宋" w:hAnsi="仿宋" w:eastAsia="仿宋" w:cs="仿宋"/>
          <w:spacing w:val="-4"/>
          <w:sz w:val="32"/>
          <w:szCs w:val="32"/>
        </w:rPr>
        <w:t>（二）项目管理情况分析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right="0" w:firstLine="624" w:firstLineChars="200"/>
        <w:jc w:val="both"/>
        <w:textAlignment w:val="auto"/>
        <w:rPr>
          <w:rStyle w:val="18"/>
          <w:rFonts w:hint="eastAsia" w:ascii="仿宋" w:hAnsi="仿宋" w:eastAsia="仿宋" w:cs="仿宋"/>
          <w:b w:val="0"/>
          <w:spacing w:val="-4"/>
          <w:sz w:val="32"/>
          <w:szCs w:val="32"/>
          <w:lang w:val="en-US" w:eastAsia="zh-CN"/>
        </w:rPr>
      </w:pPr>
      <w:r>
        <w:rPr>
          <w:rStyle w:val="18"/>
          <w:rFonts w:hint="eastAsia" w:ascii="仿宋" w:hAnsi="仿宋" w:eastAsia="仿宋" w:cs="仿宋"/>
          <w:b w:val="0"/>
          <w:spacing w:val="-4"/>
          <w:sz w:val="32"/>
          <w:szCs w:val="32"/>
          <w:lang w:val="en-US" w:eastAsia="zh-CN"/>
        </w:rPr>
        <w:t>1、</w:t>
      </w:r>
      <w:r>
        <w:rPr>
          <w:rStyle w:val="18"/>
          <w:rFonts w:hint="eastAsia" w:ascii="仿宋" w:hAnsi="仿宋" w:eastAsia="仿宋" w:cs="仿宋"/>
          <w:b w:val="0"/>
          <w:spacing w:val="-4"/>
          <w:sz w:val="32"/>
          <w:szCs w:val="32"/>
          <w:lang w:eastAsia="zh-CN"/>
        </w:rPr>
        <w:t>管理制度建设：</w:t>
      </w:r>
      <w:r>
        <w:rPr>
          <w:rFonts w:hint="eastAsia" w:ascii="仿宋" w:hAnsi="仿宋" w:eastAsia="仿宋" w:cs="仿宋"/>
          <w:color w:val="000000"/>
          <w:kern w:val="2"/>
          <w:sz w:val="32"/>
          <w:szCs w:val="32"/>
          <w:lang w:val="en-US" w:eastAsia="zh-CN" w:bidi="ar"/>
        </w:rPr>
        <w:t>严格按照《新疆维吾尔自治区农村税费改革财政转移支付补助资金管理办法》、《中华人民共和国会计法》等相关管理办法</w:t>
      </w:r>
      <w:r>
        <w:rPr>
          <w:rStyle w:val="18"/>
          <w:rFonts w:hint="eastAsia" w:ascii="仿宋" w:hAnsi="仿宋" w:eastAsia="仿宋" w:cs="仿宋"/>
          <w:b w:val="0"/>
          <w:spacing w:val="-4"/>
          <w:sz w:val="32"/>
          <w:szCs w:val="32"/>
          <w:lang w:val="en-US" w:eastAsia="zh-CN"/>
        </w:rPr>
        <w:t>，规范使用补助资金，按照资金使用范围、用途、会计核算科目和使用要求严格执行资金收支审批制度，每笔开支均由主管领导、分管领导、财务负责审核人签字。</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仿宋" w:hAnsi="仿宋" w:eastAsia="仿宋" w:cs="仿宋"/>
          <w:b w:val="0"/>
          <w:spacing w:val="-4"/>
          <w:sz w:val="32"/>
          <w:szCs w:val="32"/>
          <w:lang w:val="en-US" w:eastAsia="zh-CN"/>
        </w:rPr>
      </w:pPr>
      <w:r>
        <w:rPr>
          <w:rStyle w:val="18"/>
          <w:rFonts w:hint="eastAsia" w:ascii="仿宋" w:hAnsi="仿宋" w:eastAsia="仿宋" w:cs="仿宋"/>
          <w:b w:val="0"/>
          <w:spacing w:val="-4"/>
          <w:sz w:val="32"/>
          <w:szCs w:val="32"/>
          <w:lang w:val="en-US" w:eastAsia="zh-CN"/>
        </w:rPr>
        <w:t>2、日常检查监督管理：为确保农村税费改革转移支付资金及综改经费落到实处，乡财局通过资金平台方式不定期对各单位财政转移支付资金使用情况、使用范围进行不定期检查，防止出现截留、挤占、挪用资金现象，确保补助资金安全有效使用。</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hint="eastAsia" w:ascii="黑体" w:hAnsi="黑体" w:eastAsia="黑体" w:cs="黑体"/>
          <w:sz w:val="32"/>
          <w:szCs w:val="32"/>
        </w:rPr>
      </w:pPr>
      <w:r>
        <w:rPr>
          <w:rStyle w:val="18"/>
          <w:rFonts w:hint="eastAsia" w:ascii="黑体" w:hAnsi="黑体" w:eastAsia="黑体" w:cs="黑体"/>
          <w:b w:val="0"/>
          <w:spacing w:val="-4"/>
          <w:sz w:val="32"/>
          <w:szCs w:val="32"/>
        </w:rPr>
        <w:t>四、项目绩效情况</w:t>
      </w:r>
      <w:r>
        <w:rPr>
          <w:rStyle w:val="18"/>
          <w:rFonts w:hint="eastAsia" w:ascii="黑体" w:hAnsi="黑体" w:eastAsia="黑体" w:cs="黑体"/>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Fonts w:hint="eastAsia" w:ascii="仿宋" w:hAnsi="仿宋" w:eastAsia="仿宋" w:cs="仿宋"/>
          <w:b/>
          <w:spacing w:val="-4"/>
          <w:sz w:val="32"/>
          <w:szCs w:val="32"/>
        </w:rPr>
      </w:pPr>
      <w:r>
        <w:rPr>
          <w:rFonts w:hint="eastAsia" w:ascii="仿宋" w:hAnsi="仿宋" w:eastAsia="仿宋" w:cs="仿宋"/>
          <w:b/>
          <w:spacing w:val="-4"/>
          <w:sz w:val="32"/>
          <w:szCs w:val="32"/>
        </w:rPr>
        <w:t>（一）项目绩效目标完成情况分析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b w:val="0"/>
          <w:bCs/>
          <w:kern w:val="2"/>
          <w:sz w:val="32"/>
          <w:szCs w:val="32"/>
          <w:lang w:val="en-US" w:eastAsia="zh-CN" w:bidi="ar"/>
        </w:rPr>
      </w:pPr>
      <w:r>
        <w:rPr>
          <w:rFonts w:hint="eastAsia" w:ascii="仿宋" w:hAnsi="仿宋" w:eastAsia="仿宋" w:cs="仿宋"/>
          <w:b w:val="0"/>
          <w:bCs/>
          <w:kern w:val="2"/>
          <w:sz w:val="32"/>
          <w:szCs w:val="32"/>
          <w:lang w:val="en-US" w:eastAsia="zh-CN" w:bidi="ar"/>
        </w:rPr>
        <w:t>1、数量指标：2018年，涉及财政转移支付资金、村治保主任工资单位14个，涉及农村综合改革工作经费单位</w:t>
      </w:r>
      <w:r>
        <w:rPr>
          <w:rStyle w:val="18"/>
          <w:rFonts w:hint="eastAsia" w:ascii="仿宋" w:hAnsi="仿宋" w:eastAsia="仿宋" w:cs="仿宋"/>
          <w:b w:val="0"/>
          <w:bCs/>
          <w:spacing w:val="-4"/>
          <w:sz w:val="32"/>
          <w:szCs w:val="32"/>
          <w:lang w:val="en-US" w:eastAsia="zh-CN"/>
        </w:rPr>
        <w:t>1个。</w:t>
      </w:r>
    </w:p>
    <w:p>
      <w:pPr>
        <w:keepNext w:val="0"/>
        <w:keepLines w:val="0"/>
        <w:pageBreakBefore w:val="0"/>
        <w:widowControl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b w:val="0"/>
          <w:bCs/>
          <w:kern w:val="2"/>
          <w:sz w:val="32"/>
          <w:szCs w:val="32"/>
          <w:lang w:val="en-US" w:eastAsia="zh-CN" w:bidi="ar"/>
        </w:rPr>
      </w:pPr>
      <w:r>
        <w:rPr>
          <w:rFonts w:hint="eastAsia" w:ascii="仿宋" w:hAnsi="仿宋" w:eastAsia="仿宋" w:cs="仿宋"/>
          <w:b w:val="0"/>
          <w:bCs/>
          <w:kern w:val="2"/>
          <w:sz w:val="32"/>
          <w:szCs w:val="32"/>
          <w:lang w:val="en-US" w:eastAsia="zh-CN" w:bidi="ar"/>
        </w:rPr>
        <w:t>2、质量指标：2018年，财政转移支付资金、村治保主任工资、综改工作经费</w:t>
      </w:r>
      <w:r>
        <w:rPr>
          <w:rStyle w:val="18"/>
          <w:rFonts w:hint="eastAsia" w:ascii="仿宋" w:hAnsi="仿宋" w:eastAsia="仿宋" w:cs="仿宋"/>
          <w:b w:val="0"/>
          <w:bCs/>
          <w:spacing w:val="-4"/>
          <w:sz w:val="32"/>
          <w:szCs w:val="32"/>
          <w:lang w:val="en-US" w:eastAsia="zh-CN"/>
        </w:rPr>
        <w:t>均已到位，资金到位率100%。</w:t>
      </w:r>
    </w:p>
    <w:p>
      <w:pPr>
        <w:keepNext w:val="0"/>
        <w:keepLines w:val="0"/>
        <w:pageBreakBefore w:val="0"/>
        <w:widowControl w:val="0"/>
        <w:kinsoku/>
        <w:wordWrap/>
        <w:overflowPunct/>
        <w:topLinePunct w:val="0"/>
        <w:autoSpaceDE/>
        <w:autoSpaceDN/>
        <w:bidi w:val="0"/>
        <w:adjustRightInd/>
        <w:snapToGrid/>
        <w:spacing w:line="560" w:lineRule="exact"/>
        <w:ind w:firstLine="579" w:firstLineChars="181"/>
        <w:textAlignment w:val="auto"/>
        <w:rPr>
          <w:rStyle w:val="18"/>
          <w:rFonts w:hint="eastAsia" w:ascii="仿宋" w:hAnsi="仿宋" w:eastAsia="仿宋" w:cs="仿宋"/>
          <w:b w:val="0"/>
          <w:bCs/>
          <w:spacing w:val="-4"/>
          <w:sz w:val="32"/>
          <w:szCs w:val="32"/>
          <w:lang w:val="en-US" w:eastAsia="zh-CN"/>
        </w:rPr>
      </w:pPr>
      <w:r>
        <w:rPr>
          <w:rFonts w:hint="eastAsia" w:ascii="仿宋" w:hAnsi="仿宋" w:eastAsia="仿宋" w:cs="仿宋"/>
          <w:b w:val="0"/>
          <w:bCs/>
          <w:kern w:val="2"/>
          <w:sz w:val="32"/>
          <w:szCs w:val="32"/>
          <w:lang w:val="en-US" w:eastAsia="zh-CN" w:bidi="ar"/>
        </w:rPr>
        <w:t>3、时效指标</w:t>
      </w:r>
      <w:r>
        <w:rPr>
          <w:rFonts w:hint="eastAsia" w:ascii="仿宋" w:hAnsi="仿宋" w:eastAsia="仿宋" w:cs="仿宋"/>
          <w:b w:val="0"/>
          <w:bCs/>
          <w:color w:val="000000"/>
          <w:kern w:val="2"/>
          <w:sz w:val="32"/>
          <w:szCs w:val="32"/>
          <w:lang w:val="en-US" w:eastAsia="zh-CN" w:bidi="ar"/>
        </w:rPr>
        <w:t>：2018年，财政转移支付资金使用率达到100%，综改工作经费</w:t>
      </w:r>
      <w:r>
        <w:rPr>
          <w:rStyle w:val="18"/>
          <w:rFonts w:hint="eastAsia" w:ascii="仿宋" w:hAnsi="仿宋" w:eastAsia="仿宋" w:cs="仿宋"/>
          <w:b w:val="0"/>
          <w:bCs/>
          <w:spacing w:val="-4"/>
          <w:sz w:val="32"/>
          <w:szCs w:val="32"/>
          <w:lang w:val="en-US" w:eastAsia="zh-CN"/>
        </w:rPr>
        <w:t>使用率达100%。</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rPr>
          <w:rStyle w:val="18"/>
          <w:rFonts w:hint="eastAsia" w:ascii="仿宋" w:hAnsi="仿宋" w:eastAsia="仿宋" w:cs="仿宋"/>
          <w:b w:val="0"/>
          <w:bCs/>
          <w:color w:val="000000" w:themeColor="text1"/>
          <w:spacing w:val="-4"/>
          <w:sz w:val="32"/>
          <w:szCs w:val="32"/>
          <w:lang w:val="en-US" w:eastAsia="zh-CN"/>
          <w14:textFill>
            <w14:solidFill>
              <w14:schemeClr w14:val="tx1"/>
            </w14:solidFill>
          </w14:textFill>
        </w:rPr>
      </w:pPr>
      <w:r>
        <w:rPr>
          <w:rStyle w:val="18"/>
          <w:rFonts w:hint="eastAsia" w:ascii="仿宋" w:hAnsi="仿宋" w:eastAsia="仿宋" w:cs="仿宋"/>
          <w:b w:val="0"/>
          <w:bCs/>
          <w:spacing w:val="-4"/>
          <w:sz w:val="32"/>
          <w:szCs w:val="32"/>
          <w:lang w:val="en-US" w:eastAsia="zh-CN"/>
        </w:rPr>
        <w:t>4、</w:t>
      </w:r>
      <w:r>
        <w:rPr>
          <w:rFonts w:hint="eastAsia" w:ascii="仿宋" w:hAnsi="仿宋" w:eastAsia="仿宋" w:cs="仿宋"/>
          <w:b w:val="0"/>
          <w:bCs/>
          <w:color w:val="000000"/>
          <w:kern w:val="2"/>
          <w:sz w:val="32"/>
          <w:szCs w:val="32"/>
          <w:lang w:val="en-US" w:eastAsia="zh-CN" w:bidi="ar"/>
        </w:rPr>
        <w:t>社会效益指标：</w:t>
      </w:r>
      <w:r>
        <w:rPr>
          <w:rFonts w:hint="eastAsia" w:ascii="仿宋" w:hAnsi="仿宋" w:eastAsia="仿宋" w:cs="仿宋"/>
          <w:b w:val="0"/>
          <w:bCs/>
          <w:kern w:val="2"/>
          <w:sz w:val="32"/>
          <w:szCs w:val="32"/>
          <w:lang w:val="en-US" w:eastAsia="zh-CN" w:bidi="ar"/>
        </w:rPr>
        <w:t>2018年，财政转移支付资金、村治保主任工资、综改补助经费受益单位15个，受益人口</w:t>
      </w: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数95217人</w:t>
      </w:r>
      <w:r>
        <w:rPr>
          <w:rStyle w:val="18"/>
          <w:rFonts w:hint="eastAsia" w:ascii="仿宋" w:hAnsi="仿宋" w:eastAsia="仿宋" w:cs="仿宋"/>
          <w:b w:val="0"/>
          <w:bCs/>
          <w:color w:val="000000" w:themeColor="text1"/>
          <w:spacing w:val="-4"/>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rPr>
          <w:rStyle w:val="18"/>
          <w:rFonts w:hint="eastAsia" w:ascii="仿宋" w:hAnsi="仿宋" w:eastAsia="仿宋" w:cs="仿宋"/>
          <w:b w:val="0"/>
          <w:bCs/>
          <w:spacing w:val="-4"/>
          <w:sz w:val="32"/>
          <w:szCs w:val="32"/>
          <w:lang w:val="en-US" w:eastAsia="zh-CN"/>
        </w:rPr>
      </w:pPr>
      <w:r>
        <w:rPr>
          <w:rStyle w:val="18"/>
          <w:rFonts w:hint="eastAsia" w:ascii="仿宋" w:hAnsi="仿宋" w:eastAsia="仿宋" w:cs="仿宋"/>
          <w:b w:val="0"/>
          <w:bCs/>
          <w:spacing w:val="-4"/>
          <w:sz w:val="32"/>
          <w:szCs w:val="32"/>
          <w:lang w:val="en-US" w:eastAsia="zh-CN"/>
        </w:rPr>
        <w:t>5、可持续影响指标：经综合绩效评价，农村税费改革财政转移支付资金、</w:t>
      </w:r>
      <w:r>
        <w:rPr>
          <w:rFonts w:hint="eastAsia" w:ascii="仿宋" w:hAnsi="仿宋" w:eastAsia="仿宋" w:cs="仿宋"/>
          <w:b w:val="0"/>
          <w:bCs/>
          <w:kern w:val="2"/>
          <w:sz w:val="32"/>
          <w:szCs w:val="32"/>
          <w:lang w:val="en-US" w:eastAsia="zh-CN" w:bidi="ar"/>
        </w:rPr>
        <w:t>村治保主任工资、</w:t>
      </w:r>
      <w:r>
        <w:rPr>
          <w:rStyle w:val="18"/>
          <w:rFonts w:hint="eastAsia" w:ascii="仿宋" w:hAnsi="仿宋" w:eastAsia="仿宋" w:cs="仿宋"/>
          <w:b w:val="0"/>
          <w:bCs/>
          <w:spacing w:val="-4"/>
          <w:sz w:val="32"/>
          <w:szCs w:val="32"/>
          <w:lang w:val="en-US" w:eastAsia="zh-CN"/>
        </w:rPr>
        <w:t>综改工作经费受益延伸年限≥1年。</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rPr>
          <w:rStyle w:val="18"/>
          <w:rFonts w:hint="eastAsia" w:ascii="仿宋" w:hAnsi="仿宋" w:eastAsia="仿宋" w:cs="仿宋"/>
          <w:b w:val="0"/>
          <w:bCs/>
          <w:spacing w:val="-4"/>
          <w:sz w:val="32"/>
          <w:szCs w:val="32"/>
          <w:lang w:val="en-US" w:eastAsia="zh-CN"/>
        </w:rPr>
      </w:pPr>
      <w:r>
        <w:rPr>
          <w:rStyle w:val="18"/>
          <w:rFonts w:hint="eastAsia" w:ascii="仿宋" w:hAnsi="仿宋" w:eastAsia="仿宋" w:cs="仿宋"/>
          <w:b w:val="0"/>
          <w:bCs/>
          <w:spacing w:val="-4"/>
          <w:sz w:val="32"/>
          <w:szCs w:val="32"/>
          <w:lang w:val="en-US" w:eastAsia="zh-CN"/>
        </w:rPr>
        <w:t>6、服务对象满意度指标：</w:t>
      </w:r>
      <w:r>
        <w:rPr>
          <w:rFonts w:hint="eastAsia" w:ascii="仿宋" w:hAnsi="仿宋" w:eastAsia="仿宋" w:cs="仿宋"/>
          <w:b w:val="0"/>
          <w:bCs/>
          <w:kern w:val="2"/>
          <w:sz w:val="32"/>
          <w:szCs w:val="32"/>
          <w:lang w:val="en-US" w:eastAsia="zh-CN" w:bidi="ar"/>
        </w:rPr>
        <w:t>财政转移支付资金、村治保主任工资、综改工作经费</w:t>
      </w:r>
      <w:r>
        <w:rPr>
          <w:rStyle w:val="18"/>
          <w:rFonts w:hint="eastAsia" w:ascii="仿宋" w:hAnsi="仿宋" w:eastAsia="仿宋" w:cs="仿宋"/>
          <w:b w:val="0"/>
          <w:bCs/>
          <w:spacing w:val="-4"/>
          <w:sz w:val="32"/>
          <w:szCs w:val="32"/>
          <w:lang w:val="en-US" w:eastAsia="zh-CN"/>
        </w:rPr>
        <w:t>在实际使用中，服务对象满意度≥90%。</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hint="eastAsia" w:ascii="黑体" w:hAnsi="黑体" w:eastAsia="黑体" w:cs="黑体"/>
          <w:b w:val="0"/>
          <w:spacing w:val="-4"/>
          <w:sz w:val="32"/>
          <w:szCs w:val="32"/>
        </w:rPr>
      </w:pPr>
      <w:r>
        <w:rPr>
          <w:rStyle w:val="18"/>
          <w:rFonts w:hint="eastAsia" w:ascii="黑体" w:hAnsi="黑体" w:eastAsia="黑体" w:cs="黑体"/>
          <w:b w:val="0"/>
          <w:spacing w:val="-4"/>
          <w:sz w:val="32"/>
          <w:szCs w:val="32"/>
        </w:rPr>
        <w:t>五、其他需要说明的问题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Fonts w:hint="eastAsia" w:ascii="仿宋" w:hAnsi="仿宋" w:eastAsia="仿宋" w:cs="仿宋"/>
          <w:b/>
          <w:spacing w:val="-4"/>
          <w:sz w:val="32"/>
          <w:szCs w:val="32"/>
        </w:rPr>
      </w:pPr>
      <w:r>
        <w:rPr>
          <w:rFonts w:hint="eastAsia" w:ascii="仿宋" w:hAnsi="仿宋" w:eastAsia="仿宋" w:cs="仿宋"/>
          <w:b/>
          <w:spacing w:val="-4"/>
          <w:sz w:val="32"/>
          <w:szCs w:val="32"/>
        </w:rPr>
        <w:t>（一）后续工作计划</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rPr>
          <w:rFonts w:hint="eastAsia" w:ascii="仿宋" w:hAnsi="仿宋" w:eastAsia="仿宋" w:cs="仿宋"/>
          <w:b w:val="0"/>
          <w:bCs/>
          <w:spacing w:val="-4"/>
          <w:sz w:val="32"/>
          <w:szCs w:val="32"/>
          <w:lang w:eastAsia="zh-CN"/>
        </w:rPr>
      </w:pPr>
      <w:r>
        <w:rPr>
          <w:rFonts w:hint="eastAsia" w:ascii="仿宋" w:hAnsi="仿宋" w:eastAsia="仿宋" w:cs="仿宋"/>
          <w:b w:val="0"/>
          <w:bCs/>
          <w:spacing w:val="-4"/>
          <w:sz w:val="32"/>
          <w:szCs w:val="32"/>
          <w:lang w:eastAsia="zh-CN"/>
        </w:rPr>
        <w:t>按照中央、区、州工作安排部署，继续推进农村税费改革相关政策的落实，推进农村综合改革工作顺利实施。</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Fonts w:hint="eastAsia" w:ascii="仿宋" w:hAnsi="仿宋" w:eastAsia="仿宋" w:cs="仿宋"/>
          <w:b/>
          <w:spacing w:val="-4"/>
          <w:sz w:val="32"/>
          <w:szCs w:val="32"/>
        </w:rPr>
      </w:pPr>
      <w:r>
        <w:rPr>
          <w:rFonts w:hint="eastAsia" w:ascii="仿宋" w:hAnsi="仿宋" w:eastAsia="仿宋" w:cs="仿宋"/>
          <w:b/>
          <w:spacing w:val="-4"/>
          <w:sz w:val="32"/>
          <w:szCs w:val="32"/>
        </w:rPr>
        <w:t>（二）主要经验及做法、存在问题和建议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579" w:firstLineChars="181"/>
        <w:jc w:val="both"/>
        <w:textAlignment w:val="auto"/>
        <w:rPr>
          <w:rFonts w:hint="eastAsia" w:ascii="仿宋" w:hAnsi="仿宋" w:eastAsia="仿宋" w:cs="仿宋"/>
          <w:spacing w:val="-4"/>
          <w:sz w:val="32"/>
          <w:szCs w:val="32"/>
          <w:lang w:val="en-US"/>
        </w:rPr>
      </w:pPr>
      <w:r>
        <w:rPr>
          <w:rFonts w:hint="eastAsia" w:ascii="仿宋" w:hAnsi="仿宋" w:eastAsia="仿宋" w:cs="仿宋"/>
          <w:kern w:val="2"/>
          <w:sz w:val="32"/>
          <w:szCs w:val="32"/>
          <w:lang w:val="en-US" w:eastAsia="zh-CN" w:bidi="ar"/>
        </w:rPr>
        <w:t>1、</w:t>
      </w:r>
      <w:r>
        <w:rPr>
          <w:rFonts w:hint="eastAsia" w:ascii="仿宋" w:hAnsi="仿宋" w:eastAsia="仿宋" w:cs="仿宋"/>
          <w:spacing w:val="-4"/>
          <w:kern w:val="2"/>
          <w:sz w:val="32"/>
          <w:szCs w:val="32"/>
          <w:lang w:val="en-US" w:eastAsia="zh-CN" w:bidi="ar"/>
        </w:rPr>
        <w:t>主要经验及做法</w:t>
      </w:r>
    </w:p>
    <w:p>
      <w:pPr>
        <w:keepNext w:val="0"/>
        <w:keepLines w:val="0"/>
        <w:pageBreakBefore w:val="0"/>
        <w:widowControl w:val="0"/>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仿宋" w:hAnsi="仿宋" w:eastAsia="仿宋" w:cs="仿宋"/>
          <w:b w:val="0"/>
          <w:bCs/>
          <w:color w:val="000000"/>
          <w:kern w:val="0"/>
          <w:sz w:val="32"/>
          <w:szCs w:val="32"/>
          <w:shd w:val="clear" w:fill="FFFFFF"/>
          <w:lang w:val="en-US"/>
        </w:rPr>
      </w:pPr>
      <w:r>
        <w:rPr>
          <w:rFonts w:hint="eastAsia" w:ascii="仿宋" w:hAnsi="仿宋" w:eastAsia="仿宋" w:cs="仿宋"/>
          <w:b w:val="0"/>
          <w:bCs/>
          <w:color w:val="000000"/>
          <w:kern w:val="0"/>
          <w:sz w:val="32"/>
          <w:szCs w:val="32"/>
          <w:shd w:val="clear" w:fill="FFFFFF"/>
          <w:lang w:val="en-US" w:eastAsia="zh-CN" w:bidi="ar"/>
        </w:rPr>
        <w:t>一是完善各项管理制度。玛纳斯县依据</w:t>
      </w:r>
      <w:r>
        <w:rPr>
          <w:rFonts w:hint="eastAsia" w:ascii="仿宋" w:hAnsi="仿宋" w:eastAsia="仿宋" w:cs="仿宋"/>
          <w:color w:val="000000"/>
          <w:kern w:val="2"/>
          <w:sz w:val="32"/>
          <w:szCs w:val="32"/>
          <w:lang w:val="en-US" w:eastAsia="zh-CN" w:bidi="ar"/>
        </w:rPr>
        <w:t>《新疆维吾尔自治区农村税费改革财政转移支付补助资金管理办法》</w:t>
      </w:r>
      <w:r>
        <w:rPr>
          <w:rFonts w:hint="eastAsia" w:ascii="仿宋" w:hAnsi="仿宋" w:eastAsia="仿宋" w:cs="仿宋"/>
          <w:b w:val="0"/>
          <w:bCs/>
          <w:color w:val="000000"/>
          <w:kern w:val="0"/>
          <w:sz w:val="32"/>
          <w:szCs w:val="32"/>
          <w:shd w:val="clear" w:fill="FFFFFF"/>
          <w:lang w:val="en-US" w:eastAsia="zh-CN" w:bidi="ar"/>
        </w:rPr>
        <w:t>出台《</w:t>
      </w:r>
      <w:r>
        <w:rPr>
          <w:rFonts w:hint="eastAsia" w:ascii="仿宋" w:hAnsi="仿宋" w:eastAsia="仿宋" w:cs="仿宋"/>
          <w:kern w:val="2"/>
          <w:sz w:val="32"/>
          <w:szCs w:val="32"/>
          <w:lang w:val="en-US" w:eastAsia="zh-CN" w:bidi="ar"/>
        </w:rPr>
        <w:t>玛纳斯县农村税费改革转移支付资金管理办法》等，对专项资金分配、使用、拨付、管理、监督进行详细规定，确保转移支付资金安全、规范、高效运行。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color w:val="000000"/>
          <w:kern w:val="2"/>
          <w:sz w:val="32"/>
          <w:szCs w:val="32"/>
          <w:lang w:val="en-US" w:eastAsia="zh-CN" w:bidi="ar"/>
        </w:rPr>
      </w:pPr>
      <w:r>
        <w:rPr>
          <w:rFonts w:hint="eastAsia" w:ascii="仿宋" w:hAnsi="仿宋" w:eastAsia="仿宋" w:cs="仿宋"/>
          <w:b w:val="0"/>
          <w:bCs/>
          <w:color w:val="000000"/>
          <w:kern w:val="0"/>
          <w:sz w:val="32"/>
          <w:szCs w:val="32"/>
          <w:shd w:val="clear" w:fill="FFFFFF"/>
          <w:lang w:val="en-US" w:eastAsia="zh-CN" w:bidi="ar"/>
        </w:rPr>
        <w:t>二是</w:t>
      </w:r>
      <w:r>
        <w:rPr>
          <w:rFonts w:hint="eastAsia" w:ascii="仿宋" w:hAnsi="仿宋" w:eastAsia="仿宋" w:cs="仿宋"/>
          <w:b w:val="0"/>
          <w:bCs/>
          <w:color w:val="000000"/>
          <w:kern w:val="2"/>
          <w:sz w:val="32"/>
          <w:szCs w:val="32"/>
          <w:lang w:val="en-US" w:eastAsia="zh-CN" w:bidi="ar"/>
        </w:rPr>
        <w:t>加强资金管理。做到</w:t>
      </w:r>
      <w:r>
        <w:rPr>
          <w:rFonts w:hint="eastAsia" w:ascii="仿宋" w:hAnsi="仿宋" w:eastAsia="仿宋" w:cs="仿宋"/>
          <w:color w:val="000000"/>
          <w:kern w:val="2"/>
          <w:sz w:val="32"/>
          <w:szCs w:val="32"/>
          <w:lang w:val="en-US" w:eastAsia="zh-CN" w:bidi="ar"/>
        </w:rPr>
        <w:t>专款专用，防止截留、挤占、挪用，确保补助资金及时足额拨付到单位，并严格执行资金拨付程序，对上级直接分配至县级的转移支付资金，全部按分配的金额及时拨入相应单位。严格执行资金收支审批制度，按规定支出使用补助资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color w:val="000000"/>
          <w:kern w:val="2"/>
          <w:sz w:val="32"/>
          <w:szCs w:val="32"/>
          <w:lang w:val="en-US" w:eastAsia="zh-CN" w:bidi="ar"/>
        </w:rPr>
      </w:pPr>
      <w:r>
        <w:rPr>
          <w:rFonts w:hint="eastAsia" w:ascii="仿宋" w:hAnsi="仿宋" w:eastAsia="仿宋" w:cs="仿宋"/>
          <w:color w:val="000000"/>
          <w:kern w:val="2"/>
          <w:sz w:val="32"/>
          <w:szCs w:val="32"/>
          <w:lang w:val="en-US" w:eastAsia="zh-CN" w:bidi="ar"/>
        </w:rPr>
        <w:t>2、存在问题和建议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color w:val="000000"/>
          <w:kern w:val="2"/>
          <w:sz w:val="32"/>
          <w:szCs w:val="32"/>
          <w:lang w:val="en-US" w:eastAsia="zh-CN" w:bidi="ar"/>
        </w:rPr>
      </w:pPr>
      <w:r>
        <w:rPr>
          <w:rFonts w:hint="eastAsia" w:ascii="仿宋" w:hAnsi="仿宋" w:eastAsia="仿宋" w:cs="仿宋"/>
          <w:color w:val="000000"/>
          <w:kern w:val="2"/>
          <w:sz w:val="32"/>
          <w:szCs w:val="32"/>
          <w:lang w:val="en-US" w:eastAsia="zh-CN" w:bidi="ar"/>
        </w:rPr>
        <w:t>进一步加强转移支付资金落实情况的检查督促，确保每一分钱资金都按政策落实到位。</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hint="eastAsia" w:ascii="黑体" w:hAnsi="黑体" w:eastAsia="黑体" w:cs="黑体"/>
          <w:b w:val="0"/>
          <w:spacing w:val="-4"/>
          <w:sz w:val="32"/>
          <w:szCs w:val="32"/>
        </w:rPr>
      </w:pPr>
      <w:r>
        <w:rPr>
          <w:rStyle w:val="18"/>
          <w:rFonts w:hint="eastAsia" w:ascii="黑体" w:hAnsi="黑体" w:eastAsia="黑体" w:cs="黑体"/>
          <w:b w:val="0"/>
          <w:spacing w:val="-4"/>
          <w:sz w:val="32"/>
          <w:szCs w:val="32"/>
        </w:rPr>
        <w:t>六、项目评价工作情况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2"/>
          <w:sz w:val="32"/>
          <w:szCs w:val="32"/>
          <w:lang w:val="en-US" w:eastAsia="zh-CN" w:bidi="ar"/>
        </w:rPr>
      </w:pPr>
      <w:r>
        <w:rPr>
          <w:rFonts w:hint="eastAsia" w:ascii="仿宋" w:hAnsi="仿宋" w:eastAsia="仿宋" w:cs="仿宋"/>
          <w:color w:val="000000"/>
          <w:kern w:val="2"/>
          <w:sz w:val="32"/>
          <w:szCs w:val="32"/>
          <w:lang w:val="en-US" w:eastAsia="zh-CN" w:bidi="ar"/>
        </w:rPr>
        <w:t>评价基础数据收集、资料来源和依据主要为《中华人民共和国会计法》、《新疆维吾尔自治区农村税费改革财政转移支付补助资金管理办法》(新财预【2004】31号)、</w:t>
      </w:r>
      <w:r>
        <w:rPr>
          <w:rFonts w:hint="eastAsia" w:ascii="仿宋" w:hAnsi="仿宋" w:eastAsia="仿宋" w:cs="仿宋"/>
          <w:kern w:val="2"/>
          <w:sz w:val="32"/>
          <w:szCs w:val="32"/>
          <w:lang w:val="en-US" w:eastAsia="zh-CN" w:bidi="ar"/>
        </w:rPr>
        <w:t>《玛纳斯县农村税费改革转移支付资金管理办法》</w:t>
      </w:r>
      <w:r>
        <w:rPr>
          <w:rFonts w:hint="eastAsia" w:ascii="仿宋" w:hAnsi="仿宋" w:eastAsia="仿宋" w:cs="仿宋"/>
          <w:color w:val="000000"/>
          <w:kern w:val="2"/>
          <w:sz w:val="32"/>
          <w:szCs w:val="32"/>
          <w:lang w:val="en-US" w:eastAsia="zh-CN" w:bidi="ar"/>
        </w:rPr>
        <w:t>等。</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hint="eastAsia" w:ascii="黑体" w:hAnsi="黑体" w:eastAsia="黑体" w:cs="黑体"/>
          <w:b w:val="0"/>
          <w:spacing w:val="-4"/>
          <w:sz w:val="32"/>
          <w:szCs w:val="32"/>
        </w:rPr>
      </w:pPr>
      <w:r>
        <w:rPr>
          <w:rStyle w:val="18"/>
          <w:rFonts w:hint="eastAsia" w:ascii="黑体" w:hAnsi="黑体" w:eastAsia="黑体" w:cs="黑体"/>
          <w:b w:val="0"/>
          <w:spacing w:val="-4"/>
          <w:sz w:val="32"/>
          <w:szCs w:val="32"/>
        </w:rPr>
        <w:t>七、附表</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 w:hAnsi="仿宋" w:eastAsia="仿宋" w:cs="仿宋"/>
          <w:b w:val="0"/>
          <w:spacing w:val="-4"/>
          <w:sz w:val="32"/>
          <w:szCs w:val="32"/>
        </w:rPr>
      </w:pPr>
      <w:r>
        <w:rPr>
          <w:rStyle w:val="18"/>
          <w:rFonts w:hint="eastAsia" w:ascii="仿宋" w:hAnsi="仿宋" w:eastAsia="仿宋" w:cs="仿宋"/>
          <w:b w:val="0"/>
          <w:spacing w:val="-4"/>
          <w:sz w:val="32"/>
          <w:szCs w:val="32"/>
        </w:rPr>
        <w:t>《自治区财政项目支出绩效自评表》</w:t>
      </w: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b/>
                <w:bCs/>
                <w:kern w:val="0"/>
                <w:sz w:val="32"/>
                <w:szCs w:val="32"/>
              </w:rPr>
            </w:pPr>
            <w:r>
              <w:rPr>
                <w:rFonts w:hint="eastAsia" w:ascii="宋体" w:hAnsi="宋体" w:cs="宋体"/>
                <w:b/>
                <w:bCs/>
                <w:kern w:val="0"/>
                <w:sz w:val="32"/>
                <w:szCs w:val="32"/>
              </w:rPr>
              <w:t>自治区财政项目支出绩效自评表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4"/>
              </w:rPr>
            </w:pPr>
            <w:r>
              <w:rPr>
                <w:rFonts w:hint="eastAsia" w:ascii="宋体" w:hAnsi="宋体" w:cs="宋体"/>
                <w:kern w:val="0"/>
                <w:sz w:val="24"/>
              </w:rPr>
              <w:t>（</w:t>
            </w:r>
            <w:r>
              <w:rPr>
                <w:rFonts w:hint="default"/>
                <w:kern w:val="0"/>
                <w:sz w:val="24"/>
              </w:rPr>
              <w:t xml:space="preserve">    </w:t>
            </w:r>
            <w:r>
              <w:rPr>
                <w:rFonts w:hint="eastAsia"/>
                <w:kern w:val="0"/>
                <w:sz w:val="24"/>
                <w:lang w:val="en-US" w:eastAsia="zh-CN"/>
              </w:rPr>
              <w:t>2018</w:t>
            </w:r>
            <w:r>
              <w:rPr>
                <w:rFonts w:hint="default"/>
                <w:kern w:val="0"/>
                <w:sz w:val="24"/>
              </w:rPr>
              <w:t xml:space="preserve">    </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4"/>
              </w:rPr>
            </w:pPr>
          </w:p>
        </w:tc>
        <w:tc>
          <w:tcPr>
            <w:tcW w:w="1140" w:type="dxa"/>
            <w:tcBorders>
              <w:top w:val="nil"/>
              <w:left w:val="nil"/>
              <w:bottom w:val="nil"/>
              <w:right w:val="nil"/>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4"/>
              </w:rPr>
            </w:pPr>
          </w:p>
        </w:tc>
        <w:tc>
          <w:tcPr>
            <w:tcW w:w="1360" w:type="dxa"/>
            <w:tcBorders>
              <w:top w:val="nil"/>
              <w:left w:val="nil"/>
              <w:bottom w:val="nil"/>
              <w:right w:val="nil"/>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4"/>
              </w:rPr>
            </w:pPr>
          </w:p>
        </w:tc>
        <w:tc>
          <w:tcPr>
            <w:tcW w:w="1080" w:type="dxa"/>
            <w:tcBorders>
              <w:top w:val="nil"/>
              <w:left w:val="nil"/>
              <w:bottom w:val="nil"/>
              <w:right w:val="nil"/>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4"/>
              </w:rPr>
            </w:pPr>
          </w:p>
        </w:tc>
        <w:tc>
          <w:tcPr>
            <w:tcW w:w="880" w:type="dxa"/>
            <w:tcBorders>
              <w:top w:val="nil"/>
              <w:left w:val="nil"/>
              <w:bottom w:val="nil"/>
              <w:right w:val="nil"/>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4"/>
              </w:rPr>
            </w:pPr>
          </w:p>
        </w:tc>
        <w:tc>
          <w:tcPr>
            <w:tcW w:w="2060" w:type="dxa"/>
            <w:tcBorders>
              <w:top w:val="nil"/>
              <w:left w:val="nil"/>
              <w:bottom w:val="nil"/>
              <w:right w:val="nil"/>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4"/>
              </w:rPr>
            </w:pPr>
          </w:p>
        </w:tc>
        <w:tc>
          <w:tcPr>
            <w:tcW w:w="1780" w:type="dxa"/>
            <w:tcBorders>
              <w:top w:val="nil"/>
              <w:left w:val="nil"/>
              <w:bottom w:val="nil"/>
              <w:right w:val="nil"/>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eastAsia" w:ascii="宋体" w:hAnsi="宋体" w:eastAsia="宋体" w:cs="宋体"/>
                <w:kern w:val="0"/>
                <w:sz w:val="20"/>
                <w:szCs w:val="20"/>
                <w:lang w:eastAsia="zh-CN"/>
              </w:rPr>
            </w:pPr>
            <w:r>
              <w:rPr>
                <w:rFonts w:hint="eastAsia" w:ascii="宋体" w:hAnsi="宋体" w:cs="宋体"/>
                <w:kern w:val="0"/>
                <w:sz w:val="20"/>
                <w:szCs w:val="20"/>
                <w:lang w:eastAsia="zh-CN"/>
              </w:rPr>
              <w:t>财政</w:t>
            </w:r>
            <w:r>
              <w:rPr>
                <w:rFonts w:hint="eastAsia" w:ascii="宋体" w:hAnsi="宋体" w:cs="宋体"/>
                <w:kern w:val="0"/>
                <w:sz w:val="20"/>
                <w:szCs w:val="20"/>
              </w:rPr>
              <w:t>转移支付资金</w:t>
            </w:r>
            <w:r>
              <w:rPr>
                <w:rFonts w:hint="eastAsia" w:ascii="宋体" w:hAnsi="宋体" w:cs="宋体"/>
                <w:kern w:val="0"/>
                <w:sz w:val="20"/>
                <w:szCs w:val="20"/>
                <w:lang w:eastAsia="zh-CN"/>
              </w:rPr>
              <w:t>、村治保主任工资、农村综合改革工作经费</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lang w:eastAsia="zh-CN"/>
              </w:rPr>
              <w:t>玛纳斯县乡镇财政管理局</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bookmarkStart w:id="0" w:name="_GoBack" w:colFirst="6" w:colLast="6"/>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highlight w:val="yellow"/>
              </w:rPr>
            </w:pPr>
            <w:r>
              <w:rPr>
                <w:rFonts w:hint="eastAsia" w:ascii="宋体" w:hAnsi="宋体" w:cs="宋体"/>
                <w:kern w:val="0"/>
                <w:sz w:val="20"/>
                <w:szCs w:val="20"/>
                <w:highlight w:val="yellow"/>
                <w:lang w:val="en-US" w:eastAsia="zh-CN"/>
              </w:rPr>
              <w:t>1423.4</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right"/>
              <w:rPr>
                <w:rFonts w:hint="default" w:ascii="宋体" w:hAnsi="宋体" w:cs="宋体"/>
                <w:kern w:val="0"/>
                <w:sz w:val="20"/>
                <w:szCs w:val="20"/>
                <w:highlight w:val="yellow"/>
              </w:rPr>
            </w:pPr>
            <w:r>
              <w:rPr>
                <w:rFonts w:hint="eastAsia" w:ascii="宋体" w:hAnsi="宋体" w:cs="宋体"/>
                <w:kern w:val="0"/>
                <w:sz w:val="20"/>
                <w:szCs w:val="20"/>
                <w:highlight w:val="yellow"/>
                <w:lang w:val="en-US" w:eastAsia="zh-CN"/>
              </w:rPr>
              <w:t>1423.4</w:t>
            </w:r>
            <w:r>
              <w:rPr>
                <w:rFonts w:hint="eastAsia" w:ascii="宋体" w:hAnsi="宋体" w:cs="宋体"/>
                <w:kern w:val="0"/>
                <w:sz w:val="20"/>
                <w:szCs w:val="20"/>
                <w:highlight w:val="yellow"/>
              </w:rPr>
              <w:t>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right"/>
              <w:rPr>
                <w:rFonts w:hint="default"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Autospacing="0"/>
              <w:ind w:left="0" w:right="0"/>
              <w:jc w:val="center"/>
              <w:rPr>
                <w:rFonts w:hint="eastAsia" w:ascii="宋体" w:hAnsi="宋体" w:eastAsia="宋体" w:cs="宋体"/>
                <w:kern w:val="0"/>
                <w:sz w:val="20"/>
                <w:szCs w:val="20"/>
                <w:highlight w:val="yellow"/>
                <w:lang w:val="en-US" w:eastAsia="zh-CN"/>
              </w:rPr>
            </w:pPr>
            <w:r>
              <w:rPr>
                <w:rFonts w:hint="eastAsia" w:ascii="宋体" w:hAnsi="宋体" w:cs="宋体"/>
                <w:kern w:val="0"/>
                <w:sz w:val="20"/>
                <w:szCs w:val="20"/>
                <w:highlight w:val="yellow"/>
              </w:rPr>
              <w:t>　</w:t>
            </w:r>
            <w:r>
              <w:rPr>
                <w:rFonts w:hint="eastAsia" w:ascii="宋体" w:hAnsi="宋体" w:cs="宋体"/>
                <w:kern w:val="0"/>
                <w:sz w:val="20"/>
                <w:szCs w:val="20"/>
                <w:highlight w:val="yellow"/>
                <w:lang w:val="en-US" w:eastAsia="zh-CN"/>
              </w:rPr>
              <w:t>1423.4</w:t>
            </w:r>
          </w:p>
        </w:tc>
        <w:tc>
          <w:tcPr>
            <w:tcW w:w="2060" w:type="dxa"/>
            <w:tcBorders>
              <w:top w:val="nil"/>
              <w:left w:val="nil"/>
              <w:bottom w:val="nil"/>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right"/>
              <w:rPr>
                <w:rFonts w:hint="default"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right"/>
              <w:rPr>
                <w:rFonts w:hint="default" w:ascii="宋体" w:hAnsi="宋体" w:cs="宋体"/>
                <w:kern w:val="0"/>
                <w:sz w:val="20"/>
                <w:szCs w:val="20"/>
                <w:highlight w:val="yellow"/>
                <w:lang w:val="en-US"/>
              </w:rPr>
            </w:pPr>
            <w:r>
              <w:rPr>
                <w:rFonts w:hint="eastAsia" w:ascii="宋体" w:hAnsi="宋体" w:cs="宋体"/>
                <w:kern w:val="0"/>
                <w:sz w:val="20"/>
                <w:szCs w:val="20"/>
                <w:highlight w:val="yellow"/>
                <w:lang w:val="en-US" w:eastAsia="zh-CN"/>
              </w:rPr>
              <w:t>1423.4</w:t>
            </w:r>
          </w:p>
        </w:tc>
      </w:tr>
      <w:bookmarkEnd w:id="0"/>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right"/>
              <w:rPr>
                <w:rFonts w:hint="default"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right"/>
              <w:rPr>
                <w:rFonts w:hint="default"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right"/>
              <w:rPr>
                <w:rFonts w:hint="default"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44"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keepNext w:val="0"/>
              <w:keepLines w:val="0"/>
              <w:widowControl/>
              <w:suppressLineNumbers w:val="0"/>
              <w:spacing w:before="0" w:beforeAutospacing="0" w:afterAutospacing="0"/>
              <w:ind w:left="0" w:right="0" w:firstLine="400" w:firstLineChars="200"/>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切实加强农村税费改革转移支付资金、农村综合改革工作经费的监督管理，提高资金使用效率，全面落实中央和自治区“三个确保”的要求，促进农村和谐社会建设和基层民主法制建设。</w:t>
            </w:r>
          </w:p>
        </w:tc>
        <w:tc>
          <w:tcPr>
            <w:tcW w:w="3840" w:type="dxa"/>
            <w:gridSpan w:val="2"/>
            <w:tcBorders>
              <w:top w:val="single" w:color="auto" w:sz="4" w:space="0"/>
              <w:left w:val="nil"/>
              <w:bottom w:val="single" w:color="auto" w:sz="4" w:space="0"/>
              <w:right w:val="single" w:color="000000" w:sz="4" w:space="0"/>
            </w:tcBorders>
            <w:shd w:val="clear" w:color="auto" w:fill="auto"/>
          </w:tcPr>
          <w:p>
            <w:pPr>
              <w:keepNext w:val="0"/>
              <w:keepLines w:val="0"/>
              <w:widowControl/>
              <w:suppressLineNumbers w:val="0"/>
              <w:spacing w:before="0" w:beforeAutospacing="0" w:afterAutospacing="0"/>
              <w:ind w:left="0" w:right="0" w:firstLine="400" w:firstLineChars="200"/>
              <w:jc w:val="left"/>
              <w:rPr>
                <w:rFonts w:hint="default" w:ascii="宋体" w:hAnsi="宋体" w:cs="宋体"/>
                <w:kern w:val="0"/>
                <w:sz w:val="20"/>
                <w:szCs w:val="20"/>
                <w:lang w:val="en-US"/>
              </w:rPr>
            </w:pPr>
            <w:r>
              <w:rPr>
                <w:rFonts w:hint="eastAsia" w:ascii="宋体" w:hAnsi="宋体" w:cs="宋体"/>
                <w:kern w:val="0"/>
                <w:sz w:val="20"/>
                <w:szCs w:val="20"/>
                <w:lang w:val="en-US" w:eastAsia="zh-CN"/>
              </w:rPr>
              <w:t>及时下达拨付转移支付资金及农村综合改革工作经费，规范转移支付资金使用范围，确保农村税费改革转移支付资金落到实处。</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lang w:eastAsia="zh-CN"/>
              </w:rPr>
              <w:t>补助单位</w:t>
            </w:r>
            <w:r>
              <w:rPr>
                <w:rFonts w:hint="eastAsia" w:ascii="宋体" w:hAnsi="宋体" w:cs="宋体"/>
                <w:kern w:val="0"/>
                <w:sz w:val="20"/>
                <w:szCs w:val="20"/>
              </w:rPr>
              <w:t>个数</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lang w:val="en-US" w:eastAsia="zh-CN"/>
              </w:rPr>
              <w:t>15</w:t>
            </w:r>
            <w:r>
              <w:rPr>
                <w:rFonts w:hint="eastAsia" w:ascii="宋体" w:hAnsi="宋体" w:cs="宋体"/>
                <w:kern w:val="0"/>
                <w:sz w:val="20"/>
                <w:szCs w:val="20"/>
              </w:rPr>
              <w:t>个</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lang w:val="en-US" w:eastAsia="zh-CN"/>
              </w:rPr>
              <w:t>15</w:t>
            </w:r>
            <w:r>
              <w:rPr>
                <w:rFonts w:hint="eastAsia" w:ascii="宋体" w:hAnsi="宋体" w:cs="宋体"/>
                <w:kern w:val="0"/>
                <w:sz w:val="20"/>
                <w:szCs w:val="20"/>
              </w:rPr>
              <w:t>个</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资金到位率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100%</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转移支付资金使用率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100%</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100%</w:t>
            </w:r>
          </w:p>
        </w:tc>
      </w:tr>
      <w:tr>
        <w:tblPrEx>
          <w:tblCellMar>
            <w:top w:w="0" w:type="dxa"/>
            <w:left w:w="108" w:type="dxa"/>
            <w:bottom w:w="0" w:type="dxa"/>
            <w:right w:w="108" w:type="dxa"/>
          </w:tblCellMar>
        </w:tblPrEx>
        <w:trPr>
          <w:trHeight w:val="537"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经济效益指标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受益</w:t>
            </w:r>
            <w:r>
              <w:rPr>
                <w:rFonts w:hint="eastAsia" w:ascii="宋体" w:hAnsi="宋体" w:cs="宋体"/>
                <w:kern w:val="0"/>
                <w:sz w:val="20"/>
                <w:szCs w:val="20"/>
                <w:lang w:eastAsia="zh-CN"/>
              </w:rPr>
              <w:t>单位</w:t>
            </w:r>
            <w:r>
              <w:rPr>
                <w:rFonts w:hint="eastAsia" w:ascii="宋体" w:hAnsi="宋体" w:cs="宋体"/>
                <w:kern w:val="0"/>
                <w:sz w:val="20"/>
                <w:szCs w:val="20"/>
              </w:rPr>
              <w:t>数</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lang w:val="en-US" w:eastAsia="zh-CN"/>
              </w:rPr>
              <w:t>15</w:t>
            </w:r>
            <w:r>
              <w:rPr>
                <w:rFonts w:hint="eastAsia" w:ascii="宋体" w:hAnsi="宋体" w:cs="宋体"/>
                <w:kern w:val="0"/>
                <w:sz w:val="20"/>
                <w:szCs w:val="20"/>
              </w:rPr>
              <w:t>个</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lang w:val="en-US" w:eastAsia="zh-CN"/>
              </w:rPr>
              <w:t>15</w:t>
            </w:r>
            <w:r>
              <w:rPr>
                <w:rFonts w:hint="eastAsia" w:ascii="宋体" w:hAnsi="宋体" w:cs="宋体"/>
                <w:kern w:val="0"/>
                <w:sz w:val="20"/>
                <w:szCs w:val="20"/>
              </w:rPr>
              <w:t>个</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受益人口数</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lang w:val="en-US" w:eastAsia="zh-CN"/>
              </w:rPr>
              <w:t>95217</w:t>
            </w:r>
            <w:r>
              <w:rPr>
                <w:rFonts w:hint="eastAsia" w:ascii="宋体" w:hAnsi="宋体" w:cs="宋体"/>
                <w:kern w:val="0"/>
                <w:sz w:val="20"/>
                <w:szCs w:val="20"/>
              </w:rPr>
              <w:t>人</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lang w:val="en-US" w:eastAsia="zh-CN"/>
              </w:rPr>
              <w:t>95217</w:t>
            </w:r>
            <w:r>
              <w:rPr>
                <w:rFonts w:hint="eastAsia" w:ascii="宋体" w:hAnsi="宋体" w:cs="宋体"/>
                <w:kern w:val="0"/>
                <w:sz w:val="20"/>
                <w:szCs w:val="20"/>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转移支付资金</w:t>
            </w:r>
            <w:r>
              <w:rPr>
                <w:rFonts w:hint="eastAsia" w:ascii="宋体" w:hAnsi="宋体" w:cs="宋体"/>
                <w:kern w:val="0"/>
                <w:sz w:val="20"/>
                <w:szCs w:val="20"/>
                <w:lang w:eastAsia="zh-CN"/>
              </w:rPr>
              <w:t>受益</w:t>
            </w:r>
            <w:r>
              <w:rPr>
                <w:rFonts w:hint="eastAsia" w:ascii="宋体" w:hAnsi="宋体" w:cs="宋体"/>
                <w:kern w:val="0"/>
                <w:sz w:val="20"/>
                <w:szCs w:val="20"/>
              </w:rPr>
              <w:t>延伸年限</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≥1年</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≥1年</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lang w:eastAsia="zh-CN"/>
              </w:rPr>
              <w:t>服务对象</w:t>
            </w:r>
            <w:r>
              <w:rPr>
                <w:rFonts w:hint="eastAsia" w:ascii="宋体" w:hAnsi="宋体" w:cs="宋体"/>
                <w:kern w:val="0"/>
                <w:sz w:val="20"/>
                <w:szCs w:val="20"/>
              </w:rPr>
              <w:t>满意度</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≥90%</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≥90%</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21AE4"/>
    <w:rsid w:val="00146AAD"/>
    <w:rsid w:val="001B3A40"/>
    <w:rsid w:val="004366A8"/>
    <w:rsid w:val="00502BA7"/>
    <w:rsid w:val="005162F1"/>
    <w:rsid w:val="00535153"/>
    <w:rsid w:val="00554F82"/>
    <w:rsid w:val="0056390D"/>
    <w:rsid w:val="005719B0"/>
    <w:rsid w:val="005D10D6"/>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769FE"/>
    <w:rsid w:val="00EA2CBE"/>
    <w:rsid w:val="00F32FEE"/>
    <w:rsid w:val="00FB10BB"/>
    <w:rsid w:val="018C4323"/>
    <w:rsid w:val="14251215"/>
    <w:rsid w:val="14D6611F"/>
    <w:rsid w:val="16565967"/>
    <w:rsid w:val="290114B1"/>
    <w:rsid w:val="293D7711"/>
    <w:rsid w:val="2D3F706E"/>
    <w:rsid w:val="2EA030FE"/>
    <w:rsid w:val="2F7E7B2C"/>
    <w:rsid w:val="360526B2"/>
    <w:rsid w:val="3A076D7E"/>
    <w:rsid w:val="42165F87"/>
    <w:rsid w:val="43471ED9"/>
    <w:rsid w:val="5CED2993"/>
    <w:rsid w:val="63E65C33"/>
    <w:rsid w:val="722B5D99"/>
    <w:rsid w:val="7BA34B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Intense Emphasis"/>
    <w:basedOn w:val="17"/>
    <w:qFormat/>
    <w:uiPriority w:val="21"/>
    <w:rPr>
      <w:b/>
      <w:i/>
      <w:sz w:val="24"/>
      <w:szCs w:val="24"/>
      <w:u w:val="single"/>
    </w:rPr>
  </w:style>
  <w:style w:type="character" w:customStyle="1" w:styleId="39">
    <w:name w:val="Subtle Reference"/>
    <w:basedOn w:val="17"/>
    <w:qFormat/>
    <w:uiPriority w:val="31"/>
    <w:rPr>
      <w:sz w:val="24"/>
      <w:szCs w:val="24"/>
      <w:u w:val="single"/>
    </w:rPr>
  </w:style>
  <w:style w:type="character" w:customStyle="1" w:styleId="40">
    <w:name w:val="Intense Reference"/>
    <w:basedOn w:val="17"/>
    <w:qFormat/>
    <w:uiPriority w:val="32"/>
    <w:rPr>
      <w:b/>
      <w:sz w:val="24"/>
      <w:u w:val="single"/>
    </w:rPr>
  </w:style>
  <w:style w:type="character" w:customStyle="1" w:styleId="41">
    <w:name w:val="Book Title"/>
    <w:basedOn w:val="17"/>
    <w:qFormat/>
    <w:uiPriority w:val="33"/>
    <w:rPr>
      <w:rFonts w:asciiTheme="majorHAnsi" w:hAnsiTheme="majorHAnsi" w:eastAsiaTheme="majorEastAsia"/>
      <w:b/>
      <w:i/>
      <w:sz w:val="24"/>
      <w:szCs w:val="24"/>
    </w:rPr>
  </w:style>
  <w:style w:type="paragraph" w:customStyle="1" w:styleId="42">
    <w:name w:val="TOC Heading"/>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 w:type="character" w:customStyle="1" w:styleId="46">
    <w:name w:val="apple-converted-space"/>
    <w:basedOn w:val="17"/>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3</TotalTime>
  <ScaleCrop>false</ScaleCrop>
  <LinksUpToDate>false</LinksUpToDate>
  <CharactersWithSpaces>1366</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有玲o</cp:lastModifiedBy>
  <cp:lastPrinted>2019-01-17T02:28:00Z</cp:lastPrinted>
  <dcterms:modified xsi:type="dcterms:W3CDTF">2019-10-27T18:26:33Z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