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项目名称：玛纳斯县水资源评价</w:t>
      </w:r>
    </w:p>
    <w:p>
      <w:pPr>
        <w:spacing w:line="7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实施单位（公章）：玛纳斯县水利局</w:t>
      </w:r>
    </w:p>
    <w:p>
      <w:pPr>
        <w:spacing w:line="700" w:lineRule="exact"/>
        <w:ind w:firstLine="755" w:firstLineChars="236"/>
        <w:jc w:val="left"/>
        <w:rPr>
          <w:rFonts w:ascii="仿宋" w:hAnsi="仿宋" w:eastAsia="仿宋" w:cs="仿宋"/>
          <w:kern w:val="0"/>
          <w:sz w:val="32"/>
          <w:szCs w:val="32"/>
        </w:rPr>
      </w:pPr>
      <w:r>
        <w:rPr>
          <w:rFonts w:hint="eastAsia" w:ascii="仿宋" w:hAnsi="仿宋" w:eastAsia="仿宋" w:cs="仿宋"/>
          <w:kern w:val="0"/>
          <w:sz w:val="32"/>
          <w:szCs w:val="32"/>
        </w:rPr>
        <w:t>主管部门（公章）：玛纳斯县水利局</w:t>
      </w:r>
    </w:p>
    <w:p>
      <w:pPr>
        <w:spacing w:line="700" w:lineRule="exact"/>
        <w:ind w:firstLine="755" w:firstLineChars="236"/>
        <w:jc w:val="left"/>
        <w:rPr>
          <w:rFonts w:ascii="仿宋" w:hAnsi="仿宋" w:eastAsia="仿宋" w:cs="仿宋"/>
          <w:kern w:val="0"/>
          <w:sz w:val="32"/>
          <w:szCs w:val="32"/>
        </w:rPr>
      </w:pPr>
      <w:r>
        <w:rPr>
          <w:rFonts w:hint="eastAsia" w:ascii="仿宋" w:hAnsi="仿宋" w:eastAsia="仿宋" w:cs="仿宋"/>
          <w:kern w:val="0"/>
          <w:sz w:val="32"/>
          <w:szCs w:val="32"/>
        </w:rPr>
        <w:t>项目负责人（签章）：周立华</w:t>
      </w:r>
    </w:p>
    <w:p>
      <w:pPr>
        <w:spacing w:line="700" w:lineRule="exact"/>
        <w:ind w:firstLine="755" w:firstLineChars="236"/>
        <w:jc w:val="left"/>
        <w:rPr>
          <w:rFonts w:ascii="仿宋" w:hAnsi="仿宋" w:eastAsia="仿宋" w:cs="仿宋"/>
          <w:kern w:val="0"/>
          <w:sz w:val="32"/>
          <w:szCs w:val="32"/>
        </w:rPr>
      </w:pPr>
      <w:r>
        <w:rPr>
          <w:rFonts w:hint="eastAsia" w:ascii="仿宋" w:hAnsi="仿宋" w:eastAsia="仿宋" w:cs="仿宋"/>
          <w:kern w:val="0"/>
          <w:sz w:val="32"/>
          <w:szCs w:val="32"/>
        </w:rPr>
        <w:t>填报时间：2019年2月12日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玛纳斯县水利局为行政机关单位，实有在职人员</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人，下</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属全额事业单位</w:t>
      </w:r>
      <w:r>
        <w:rPr>
          <w:rStyle w:val="18"/>
          <w:rFonts w:ascii="仿宋" w:hAnsi="仿宋" w:eastAsia="仿宋"/>
          <w:b w:val="0"/>
          <w:spacing w:val="-4"/>
          <w:sz w:val="32"/>
          <w:szCs w:val="32"/>
        </w:rPr>
        <w:t>4</w:t>
      </w:r>
      <w:r>
        <w:rPr>
          <w:rStyle w:val="18"/>
          <w:rFonts w:hint="eastAsia" w:ascii="仿宋" w:hAnsi="仿宋" w:eastAsia="仿宋"/>
          <w:b w:val="0"/>
          <w:spacing w:val="-4"/>
          <w:sz w:val="32"/>
          <w:szCs w:val="32"/>
        </w:rPr>
        <w:t>个，水利工程质量监督站实有</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人，水政办</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实有参公人员</w:t>
      </w:r>
      <w:r>
        <w:rPr>
          <w:rStyle w:val="18"/>
          <w:rFonts w:ascii="仿宋" w:hAnsi="仿宋" w:eastAsia="仿宋"/>
          <w:b w:val="0"/>
          <w:spacing w:val="-4"/>
          <w:sz w:val="32"/>
          <w:szCs w:val="32"/>
        </w:rPr>
        <w:t>1</w:t>
      </w:r>
      <w:r>
        <w:rPr>
          <w:rStyle w:val="18"/>
          <w:rFonts w:hint="eastAsia" w:ascii="仿宋" w:hAnsi="仿宋" w:eastAsia="仿宋"/>
          <w:b w:val="0"/>
          <w:spacing w:val="-4"/>
          <w:sz w:val="32"/>
          <w:szCs w:val="32"/>
        </w:rPr>
        <w:t>名，事业人员</w:t>
      </w:r>
      <w:r>
        <w:rPr>
          <w:rStyle w:val="18"/>
          <w:rFonts w:ascii="仿宋" w:hAnsi="仿宋" w:eastAsia="仿宋"/>
          <w:b w:val="0"/>
          <w:spacing w:val="-4"/>
          <w:sz w:val="32"/>
          <w:szCs w:val="32"/>
        </w:rPr>
        <w:t>11</w:t>
      </w:r>
      <w:r>
        <w:rPr>
          <w:rStyle w:val="18"/>
          <w:rFonts w:hint="eastAsia" w:ascii="仿宋" w:hAnsi="仿宋" w:eastAsia="仿宋"/>
          <w:b w:val="0"/>
          <w:spacing w:val="-4"/>
          <w:sz w:val="32"/>
          <w:szCs w:val="32"/>
        </w:rPr>
        <w:t>名，水土保持监督站实有人员</w:t>
      </w:r>
    </w:p>
    <w:p>
      <w:pPr>
        <w:spacing w:line="540" w:lineRule="exact"/>
        <w:rPr>
          <w:rStyle w:val="18"/>
          <w:rFonts w:ascii="仿宋" w:hAnsi="仿宋" w:eastAsia="仿宋"/>
          <w:b w:val="0"/>
          <w:spacing w:val="-4"/>
          <w:sz w:val="32"/>
          <w:szCs w:val="32"/>
        </w:rPr>
      </w:pPr>
      <w:r>
        <w:rPr>
          <w:rStyle w:val="18"/>
          <w:rFonts w:ascii="仿宋" w:hAnsi="仿宋" w:eastAsia="仿宋"/>
          <w:b w:val="0"/>
          <w:spacing w:val="-4"/>
          <w:sz w:val="32"/>
          <w:szCs w:val="32"/>
        </w:rPr>
        <w:t>2</w:t>
      </w:r>
      <w:r>
        <w:rPr>
          <w:rStyle w:val="18"/>
          <w:rFonts w:hint="eastAsia" w:ascii="仿宋" w:hAnsi="仿宋" w:eastAsia="仿宋"/>
          <w:b w:val="0"/>
          <w:spacing w:val="-4"/>
          <w:sz w:val="32"/>
          <w:szCs w:val="32"/>
        </w:rPr>
        <w:t>名，防汛抗旱指挥部实有人员</w:t>
      </w:r>
      <w:r>
        <w:rPr>
          <w:rStyle w:val="18"/>
          <w:rFonts w:ascii="仿宋" w:hAnsi="仿宋" w:eastAsia="仿宋"/>
          <w:b w:val="0"/>
          <w:spacing w:val="-4"/>
          <w:sz w:val="32"/>
          <w:szCs w:val="32"/>
        </w:rPr>
        <w:t>2</w:t>
      </w:r>
      <w:r>
        <w:rPr>
          <w:rStyle w:val="18"/>
          <w:rFonts w:hint="eastAsia" w:ascii="仿宋" w:hAnsi="仿宋" w:eastAsia="仿宋"/>
          <w:b w:val="0"/>
          <w:spacing w:val="-4"/>
          <w:sz w:val="32"/>
          <w:szCs w:val="32"/>
        </w:rPr>
        <w:t>名。其职责为负责《水法》</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《水土保持法》等水法律、法规的组织实施和监督检查，拟定</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全县水行政的政策措施、发展战略和中长期规划，并依法监督</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实施。统一管理全县水资源，拟定节约用水政策，编制节约用</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水规划，制定有关标准，拟定水资源保护规划，拟定水利、水</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电、水产行业的经济调节措施，管理和监督水利部门国有资产</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的保值增值，对水利资金的收缴、使用进行监督检查。组织编</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制和审查全县境内水利、水电、水产基本建设项目建议书和可</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行性报告及初步设计。负责全县水利设施、水域及其岸线的管理理与保护，负责县内主要河流、水库的综合治理及开发利用工作，负责全县水保工作，负责全县</w:t>
      </w:r>
      <w:bookmarkStart w:id="0" w:name="_GoBack"/>
      <w:r>
        <w:rPr>
          <w:rStyle w:val="18"/>
          <w:rFonts w:hint="eastAsia" w:ascii="仿宋" w:hAnsi="仿宋" w:eastAsia="仿宋"/>
          <w:b w:val="0"/>
          <w:spacing w:val="-4"/>
          <w:sz w:val="32"/>
          <w:szCs w:val="32"/>
        </w:rPr>
        <w:t>防汛抗</w:t>
      </w:r>
      <w:bookmarkEnd w:id="0"/>
      <w:r>
        <w:rPr>
          <w:rStyle w:val="18"/>
          <w:rFonts w:hint="eastAsia" w:ascii="仿宋" w:hAnsi="仿宋" w:eastAsia="仿宋"/>
          <w:b w:val="0"/>
          <w:spacing w:val="-4"/>
          <w:sz w:val="32"/>
          <w:szCs w:val="32"/>
        </w:rPr>
        <w:t>旱指挥部的日常工作，负责水利系统的党建、纪检、组织、宣传、干部人事管理、精神文明建设工作，承办县人民政府交办的其他事项。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项目为水资源评价报告设计费用，其工作目标为在以往水资源评价工作基础上，全面了解近</w:t>
      </w:r>
      <w:r>
        <w:rPr>
          <w:rStyle w:val="18"/>
          <w:rFonts w:ascii="仿宋" w:hAnsi="仿宋" w:eastAsia="仿宋"/>
          <w:b w:val="0"/>
          <w:spacing w:val="-4"/>
          <w:sz w:val="32"/>
          <w:szCs w:val="32"/>
        </w:rPr>
        <w:t>20</w:t>
      </w:r>
      <w:r>
        <w:rPr>
          <w:rStyle w:val="18"/>
          <w:rFonts w:hint="eastAsia" w:ascii="仿宋" w:hAnsi="仿宋" w:eastAsia="仿宋"/>
          <w:b w:val="0"/>
          <w:spacing w:val="-4"/>
          <w:sz w:val="32"/>
          <w:szCs w:val="32"/>
        </w:rPr>
        <w:t>年来玛纳斯县水资源状况变化，提出系统的水资源评价成果，为玛纳斯县落实最严格水资源管理制度、经济社会可持续发展和生态文明建设提供水资源方面的技术支撑。其主要工作内容为合理界定兵地及县界条件，进行水资源分区细化，将水文系列延长至</w:t>
      </w:r>
      <w:r>
        <w:rPr>
          <w:rStyle w:val="18"/>
          <w:rFonts w:ascii="仿宋" w:hAnsi="仿宋" w:eastAsia="仿宋"/>
          <w:b w:val="0"/>
          <w:spacing w:val="-4"/>
          <w:sz w:val="32"/>
          <w:szCs w:val="32"/>
        </w:rPr>
        <w:t>2016</w:t>
      </w:r>
      <w:r>
        <w:rPr>
          <w:rStyle w:val="18"/>
          <w:rFonts w:hint="eastAsia" w:ascii="仿宋" w:hAnsi="仿宋" w:eastAsia="仿宋"/>
          <w:b w:val="0"/>
          <w:spacing w:val="-4"/>
          <w:sz w:val="32"/>
          <w:szCs w:val="32"/>
        </w:rPr>
        <w:t>年；评价现状条件下各水资源分区的地表水资源量、地下水资源量、其他类型水资源量和水资源总量等。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该项目总投资为20万，全部为昌吉州级财政专项资金</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现资金已全部到位。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lang w:val="en-US" w:eastAsia="zh-CN"/>
        </w:rPr>
        <w:t>资金主要用于</w:t>
      </w:r>
      <w:r>
        <w:rPr>
          <w:rStyle w:val="18"/>
          <w:rFonts w:hint="eastAsia" w:ascii="仿宋" w:hAnsi="仿宋" w:eastAsia="仿宋"/>
          <w:b w:val="0"/>
          <w:spacing w:val="-4"/>
          <w:sz w:val="32"/>
          <w:szCs w:val="32"/>
        </w:rPr>
        <w:t>水资源评价报告设计费用</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rPr>
        <w:t>项目已完成编制大纲、项目计划、现场勘查和资料收集相关工作，</w:t>
      </w:r>
      <w:r>
        <w:rPr>
          <w:rStyle w:val="18"/>
          <w:rFonts w:hint="eastAsia" w:ascii="仿宋" w:hAnsi="仿宋" w:eastAsia="仿宋"/>
          <w:b w:val="0"/>
          <w:spacing w:val="-4"/>
          <w:sz w:val="32"/>
          <w:szCs w:val="32"/>
          <w:lang w:val="en-US" w:eastAsia="zh-CN"/>
        </w:rPr>
        <w:t>资金已支付完毕</w:t>
      </w:r>
      <w:r>
        <w:rPr>
          <w:rStyle w:val="18"/>
          <w:rFonts w:hint="eastAsia" w:ascii="仿宋" w:hAnsi="仿宋" w:eastAsia="仿宋"/>
          <w:b w:val="0"/>
          <w:spacing w:val="-4"/>
          <w:sz w:val="32"/>
          <w:szCs w:val="32"/>
        </w:rPr>
        <w:t>。</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为昌吉州专项资金项目，项目由玛纳斯县水利局实施，建设内容符合项目预算，项目由县水利局监督实施，按照项目进度支付服务费，最终由县水利局组织有关专家进行评审，确保评价报告通过相应的评审，保证其科学性、合理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该项目于</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月</w:t>
      </w:r>
      <w:r>
        <w:rPr>
          <w:rStyle w:val="18"/>
          <w:rFonts w:ascii="仿宋" w:hAnsi="仿宋" w:eastAsia="仿宋"/>
          <w:b w:val="0"/>
          <w:spacing w:val="-4"/>
          <w:sz w:val="32"/>
          <w:szCs w:val="32"/>
        </w:rPr>
        <w:t>25</w:t>
      </w:r>
      <w:r>
        <w:rPr>
          <w:rStyle w:val="18"/>
          <w:rFonts w:hint="eastAsia" w:ascii="仿宋" w:hAnsi="仿宋" w:eastAsia="仿宋"/>
          <w:b w:val="0"/>
          <w:spacing w:val="-4"/>
          <w:sz w:val="32"/>
          <w:szCs w:val="32"/>
        </w:rPr>
        <w:t>日由玛纳斯县政府采购中心进行招标，中标单位为黄河水文水资源科学研究院，玛纳斯县水利局与中标单位签订项目技术服务合同。</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项目实施，具体由县水利局进行监督管理，项目主要抓好项目工作进度，为做好项目的各项内容顺利实施，特制定各相关制度，保障项目按期完成。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8"/>
          <w:rFonts w:hint="eastAsia" w:ascii="仿宋" w:hAnsi="仿宋" w:eastAsia="仿宋"/>
          <w:b w:val="0"/>
          <w:spacing w:val="-4"/>
          <w:sz w:val="32"/>
          <w:szCs w:val="32"/>
        </w:rPr>
      </w:pPr>
      <w:r>
        <w:rPr>
          <w:rStyle w:val="18"/>
          <w:rFonts w:hint="eastAsia" w:ascii="仿宋" w:hAnsi="仿宋" w:eastAsia="仿宋"/>
          <w:b w:val="0"/>
          <w:spacing w:val="-4"/>
          <w:sz w:val="32"/>
          <w:szCs w:val="32"/>
          <w:lang w:val="en-US" w:eastAsia="zh-CN"/>
        </w:rPr>
        <w:t>通过2018年项目的实施，已经完成预期目标，</w:t>
      </w:r>
      <w:r>
        <w:rPr>
          <w:rStyle w:val="18"/>
          <w:rFonts w:hint="eastAsia" w:ascii="仿宋" w:hAnsi="仿宋" w:eastAsia="仿宋"/>
          <w:b w:val="0"/>
          <w:spacing w:val="-4"/>
          <w:sz w:val="32"/>
          <w:szCs w:val="32"/>
        </w:rPr>
        <w:t>在以往水资源评价工作基础上，全面了解近</w:t>
      </w:r>
      <w:r>
        <w:rPr>
          <w:rStyle w:val="18"/>
          <w:rFonts w:ascii="仿宋" w:hAnsi="仿宋" w:eastAsia="仿宋"/>
          <w:b w:val="0"/>
          <w:spacing w:val="-4"/>
          <w:sz w:val="32"/>
          <w:szCs w:val="32"/>
        </w:rPr>
        <w:t>20</w:t>
      </w:r>
      <w:r>
        <w:rPr>
          <w:rStyle w:val="18"/>
          <w:rFonts w:hint="eastAsia" w:ascii="仿宋" w:hAnsi="仿宋" w:eastAsia="仿宋"/>
          <w:b w:val="0"/>
          <w:spacing w:val="-4"/>
          <w:sz w:val="32"/>
          <w:szCs w:val="32"/>
        </w:rPr>
        <w:t>年来玛纳斯县水资源状况变化，提出系统的水资源评价成果，为玛纳斯县落实最严格水资源管理制度、经济社会可持续发展和生态文明建设提供水资源方面的技术支撑。现已完成初步资料整理及大纲出台，完成地表水资源量、地下水资源量、水资源总量、水资源可利用量等初步成果。</w:t>
      </w:r>
    </w:p>
    <w:p>
      <w:pPr>
        <w:widowControl/>
        <w:spacing w:line="560" w:lineRule="exact"/>
        <w:ind w:firstLine="627" w:firstLineChars="200"/>
        <w:jc w:val="left"/>
        <w:rPr>
          <w:rFonts w:hint="eastAsia" w:ascii="仿宋_GB2312" w:hAnsi="仿宋" w:eastAsia="仿宋_GB2312"/>
          <w:color w:val="000000"/>
          <w:sz w:val="32"/>
          <w:szCs w:val="32"/>
        </w:rPr>
      </w:pPr>
      <w:r>
        <w:rPr>
          <w:rStyle w:val="18"/>
          <w:rFonts w:hint="eastAsia" w:ascii="仿宋" w:hAnsi="仿宋" w:eastAsia="仿宋"/>
          <w:spacing w:val="-4"/>
          <w:sz w:val="32"/>
          <w:szCs w:val="32"/>
        </w:rPr>
        <w:t>项目的经济性分析：</w:t>
      </w:r>
      <w:r>
        <w:rPr>
          <w:rFonts w:hint="eastAsia" w:ascii="仿宋_GB2312" w:hAnsi="仿宋" w:eastAsia="仿宋_GB2312"/>
          <w:color w:val="000000"/>
          <w:sz w:val="32"/>
          <w:szCs w:val="32"/>
        </w:rPr>
        <w:t>该项目预算资金2</w:t>
      </w:r>
      <w:r>
        <w:rPr>
          <w:rFonts w:hint="eastAsia" w:ascii="仿宋_GB2312" w:hAnsi="仿宋" w:eastAsia="仿宋_GB2312"/>
          <w:color w:val="000000"/>
          <w:sz w:val="32"/>
          <w:szCs w:val="32"/>
          <w:lang w:val="en-US" w:eastAsia="zh-CN"/>
        </w:rPr>
        <w:t>0</w:t>
      </w:r>
      <w:r>
        <w:rPr>
          <w:rFonts w:hint="eastAsia" w:ascii="仿宋_GB2312" w:hAnsi="仿宋" w:eastAsia="仿宋_GB2312"/>
          <w:color w:val="000000"/>
          <w:sz w:val="32"/>
          <w:szCs w:val="32"/>
        </w:rPr>
        <w:t>万元，实际支出2</w:t>
      </w:r>
      <w:r>
        <w:rPr>
          <w:rFonts w:hint="eastAsia" w:ascii="仿宋_GB2312" w:hAnsi="仿宋" w:eastAsia="仿宋_GB2312"/>
          <w:color w:val="000000"/>
          <w:sz w:val="32"/>
          <w:szCs w:val="32"/>
          <w:lang w:val="en-US" w:eastAsia="zh-CN"/>
        </w:rPr>
        <w:t>0</w:t>
      </w:r>
      <w:r>
        <w:rPr>
          <w:rFonts w:hint="eastAsia" w:ascii="仿宋_GB2312" w:hAnsi="仿宋" w:eastAsia="仿宋_GB2312"/>
          <w:color w:val="000000"/>
          <w:sz w:val="32"/>
          <w:szCs w:val="32"/>
        </w:rPr>
        <w:t>万元，在确保工作任务没有减少的情况下，预算控制和成本控制方面没有超出预算成本。</w:t>
      </w:r>
    </w:p>
    <w:p>
      <w:pPr>
        <w:widowControl/>
        <w:spacing w:line="560" w:lineRule="exact"/>
        <w:jc w:val="left"/>
        <w:rPr>
          <w:rFonts w:hint="eastAsia" w:ascii="仿宋_GB2312" w:hAnsi="仿宋" w:eastAsia="仿宋_GB2312"/>
          <w:color w:val="000000"/>
          <w:sz w:val="32"/>
          <w:szCs w:val="32"/>
        </w:rPr>
      </w:pPr>
      <w:r>
        <w:rPr>
          <w:rStyle w:val="18"/>
          <w:rFonts w:hint="eastAsia" w:ascii="仿宋" w:hAnsi="仿宋" w:eastAsia="仿宋"/>
          <w:spacing w:val="-4"/>
          <w:sz w:val="32"/>
          <w:szCs w:val="32"/>
          <w:lang w:val="en-US" w:eastAsia="zh-CN"/>
        </w:rPr>
        <w:t xml:space="preserve">    </w:t>
      </w:r>
      <w:r>
        <w:rPr>
          <w:rStyle w:val="18"/>
          <w:rFonts w:hint="eastAsia" w:ascii="仿宋" w:hAnsi="仿宋" w:eastAsia="仿宋"/>
          <w:spacing w:val="-4"/>
          <w:sz w:val="32"/>
          <w:szCs w:val="32"/>
        </w:rPr>
        <w:t>项目的效率性分析：</w:t>
      </w:r>
      <w:r>
        <w:rPr>
          <w:rStyle w:val="18"/>
          <w:rFonts w:hint="eastAsia" w:ascii="仿宋" w:hAnsi="仿宋" w:eastAsia="仿宋"/>
          <w:b w:val="0"/>
          <w:spacing w:val="-4"/>
          <w:sz w:val="32"/>
          <w:szCs w:val="32"/>
        </w:rPr>
        <w:t>资金下达以后，第一时间组织项目的实施，项目按期完成</w:t>
      </w:r>
      <w:r>
        <w:rPr>
          <w:rFonts w:hint="eastAsia" w:ascii="仿宋_GB2312" w:hAnsi="仿宋" w:eastAsia="仿宋_GB2312"/>
          <w:color w:val="000000"/>
          <w:sz w:val="32"/>
          <w:szCs w:val="32"/>
        </w:rPr>
        <w:t>，资金按期发放。</w:t>
      </w:r>
    </w:p>
    <w:p>
      <w:pPr>
        <w:spacing w:line="540" w:lineRule="exact"/>
        <w:ind w:firstLine="567" w:firstLineChars="181"/>
        <w:rPr>
          <w:rFonts w:hint="eastAsia" w:ascii="仿宋_GB2312" w:hAnsi="仿宋" w:eastAsia="仿宋_GB2312"/>
          <w:color w:val="000000"/>
          <w:sz w:val="32"/>
          <w:szCs w:val="32"/>
          <w:lang w:val="en-US" w:eastAsia="zh-CN"/>
        </w:rPr>
      </w:pPr>
      <w:r>
        <w:rPr>
          <w:rStyle w:val="18"/>
          <w:rFonts w:hint="eastAsia" w:ascii="仿宋" w:hAnsi="仿宋" w:eastAsia="仿宋"/>
          <w:spacing w:val="-4"/>
          <w:sz w:val="32"/>
          <w:szCs w:val="32"/>
        </w:rPr>
        <w:t>项目的有益性分析：</w:t>
      </w:r>
      <w:r>
        <w:rPr>
          <w:rFonts w:hint="eastAsia" w:ascii="仿宋_GB2312" w:hAnsi="仿宋" w:eastAsia="仿宋_GB2312"/>
          <w:color w:val="000000"/>
          <w:sz w:val="32"/>
          <w:szCs w:val="32"/>
        </w:rPr>
        <w:t>有效保护水资源，提高水资源利用率</w:t>
      </w:r>
      <w:r>
        <w:rPr>
          <w:rFonts w:hint="eastAsia" w:ascii="仿宋_GB2312" w:hAnsi="仿宋" w:eastAsia="仿宋_GB2312"/>
          <w:color w:val="000000"/>
          <w:sz w:val="32"/>
          <w:szCs w:val="32"/>
          <w:lang w:val="en-US" w:eastAsia="zh-CN"/>
        </w:rPr>
        <w:t>,让有限的水资源能够承载区域经济、社会、生态环境持续健康发展。</w:t>
      </w:r>
    </w:p>
    <w:p>
      <w:pPr>
        <w:spacing w:line="540" w:lineRule="exact"/>
        <w:ind w:firstLine="567" w:firstLineChars="181"/>
        <w:rPr>
          <w:rStyle w:val="18"/>
          <w:rFonts w:hint="eastAsia" w:ascii="仿宋" w:hAnsi="仿宋" w:eastAsia="仿宋"/>
          <w:b w:val="0"/>
          <w:bCs w:val="0"/>
          <w:spacing w:val="-4"/>
          <w:sz w:val="32"/>
          <w:szCs w:val="32"/>
        </w:rPr>
      </w:pPr>
      <w:r>
        <w:rPr>
          <w:rStyle w:val="18"/>
          <w:rFonts w:hint="eastAsia" w:ascii="仿宋" w:hAnsi="仿宋" w:eastAsia="仿宋"/>
          <w:spacing w:val="-4"/>
          <w:sz w:val="32"/>
          <w:szCs w:val="32"/>
        </w:rPr>
        <w:t>项目的可持续性分析：</w:t>
      </w:r>
      <w:r>
        <w:rPr>
          <w:rStyle w:val="18"/>
          <w:rFonts w:hint="eastAsia" w:ascii="仿宋" w:hAnsi="仿宋" w:eastAsia="仿宋"/>
          <w:b w:val="0"/>
          <w:bCs w:val="0"/>
          <w:spacing w:val="-4"/>
          <w:sz w:val="32"/>
          <w:szCs w:val="32"/>
          <w:lang w:eastAsia="zh-CN"/>
        </w:rPr>
        <w:t>为</w:t>
      </w:r>
      <w:r>
        <w:rPr>
          <w:rStyle w:val="18"/>
          <w:rFonts w:hint="eastAsia" w:ascii="仿宋" w:hAnsi="仿宋" w:eastAsia="仿宋"/>
          <w:b w:val="0"/>
          <w:bCs w:val="0"/>
          <w:spacing w:val="-4"/>
          <w:sz w:val="32"/>
          <w:szCs w:val="32"/>
        </w:rPr>
        <w:t>经济社会可持续发展和生态文明建设提供水资源方面的技术支撑。</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该项目已全部实施完毕。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60" w:lineRule="exact"/>
        <w:ind w:firstLine="564" w:firstLineChars="181"/>
        <w:rPr>
          <w:rFonts w:ascii="仿宋" w:hAnsi="仿宋" w:eastAsia="仿宋"/>
          <w:spacing w:val="-4"/>
          <w:sz w:val="32"/>
          <w:szCs w:val="32"/>
        </w:rPr>
      </w:pPr>
      <w:r>
        <w:rPr>
          <w:rFonts w:hint="eastAsia" w:ascii="仿宋" w:hAnsi="仿宋" w:eastAsia="仿宋"/>
          <w:spacing w:val="-4"/>
          <w:sz w:val="32"/>
          <w:szCs w:val="32"/>
        </w:rPr>
        <w:t>加强水源地管理，加大水法宣传力度，提高村民节水意识，强化供水抢修服务意识，确保用水安全。</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（二）主要经验及做法、存在问题和建议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27" w:firstLineChars="200"/>
        <w:jc w:val="both"/>
        <w:textAlignment w:val="auto"/>
        <w:outlineLvl w:val="9"/>
        <w:rPr>
          <w:rStyle w:val="18"/>
          <w:rFonts w:ascii="仿宋" w:hAnsi="仿宋" w:eastAsia="仿宋"/>
          <w:spacing w:val="-4"/>
          <w:sz w:val="32"/>
          <w:szCs w:val="32"/>
        </w:rPr>
      </w:pPr>
      <w:r>
        <w:rPr>
          <w:rStyle w:val="18"/>
          <w:rFonts w:ascii="仿宋" w:hAnsi="仿宋" w:eastAsia="仿宋"/>
          <w:spacing w:val="-4"/>
          <w:sz w:val="32"/>
          <w:szCs w:val="32"/>
        </w:rPr>
        <w:t>主要经验</w:t>
      </w:r>
      <w:r>
        <w:rPr>
          <w:rStyle w:val="18"/>
          <w:rFonts w:hint="eastAsia" w:ascii="仿宋" w:hAnsi="仿宋" w:eastAsia="仿宋"/>
          <w:spacing w:val="-4"/>
          <w:sz w:val="32"/>
          <w:szCs w:val="32"/>
          <w:lang w:eastAsia="zh-CN"/>
        </w:rPr>
        <w:t>及做法</w:t>
      </w:r>
      <w:r>
        <w:rPr>
          <w:rStyle w:val="18"/>
          <w:rFonts w:ascii="仿宋" w:hAnsi="仿宋" w:eastAsia="仿宋"/>
          <w:spacing w:val="-4"/>
          <w:sz w:val="32"/>
          <w:szCs w:val="32"/>
        </w:rPr>
        <w:t>：</w:t>
      </w:r>
    </w:p>
    <w:p>
      <w:pPr>
        <w:spacing w:line="540" w:lineRule="exact"/>
        <w:ind w:firstLine="624" w:firstLineChars="200"/>
        <w:rPr>
          <w:rStyle w:val="18"/>
          <w:rFonts w:ascii="仿宋" w:hAnsi="仿宋" w:eastAsia="仿宋"/>
          <w:b w:val="0"/>
          <w:spacing w:val="-4"/>
          <w:sz w:val="32"/>
          <w:szCs w:val="32"/>
        </w:rPr>
      </w:pPr>
      <w:r>
        <w:rPr>
          <w:rStyle w:val="18"/>
          <w:rFonts w:ascii="仿宋" w:hAnsi="仿宋" w:eastAsia="仿宋"/>
          <w:b w:val="0"/>
          <w:spacing w:val="-4"/>
          <w:sz w:val="32"/>
          <w:szCs w:val="32"/>
        </w:rPr>
        <w:t>1、领导重视、积极组织，改项目一直受到发改委领导和各部门的重视和支持，组织召开多次会议，为项目的顺利开展发挥了重要的作用</w:t>
      </w:r>
      <w:r>
        <w:rPr>
          <w:rStyle w:val="18"/>
          <w:rFonts w:ascii="仿宋" w:hAnsi="仿宋" w:eastAsia="仿宋"/>
          <w:b w:val="0"/>
          <w:spacing w:val="-4"/>
          <w:sz w:val="32"/>
          <w:szCs w:val="32"/>
        </w:rPr>
        <w:br w:type="textWrapping"/>
      </w:r>
      <w:r>
        <w:rPr>
          <w:rStyle w:val="18"/>
          <w:rFonts w:hint="eastAsia" w:ascii="仿宋" w:hAnsi="仿宋" w:eastAsia="仿宋"/>
          <w:b w:val="0"/>
          <w:spacing w:val="-4"/>
          <w:sz w:val="32"/>
          <w:szCs w:val="32"/>
          <w:lang w:val="en-US" w:eastAsia="zh-CN"/>
        </w:rPr>
        <w:t xml:space="preserve">    </w:t>
      </w:r>
      <w:r>
        <w:rPr>
          <w:rStyle w:val="18"/>
          <w:rFonts w:ascii="仿宋" w:hAnsi="仿宋" w:eastAsia="仿宋"/>
          <w:b w:val="0"/>
          <w:spacing w:val="-4"/>
          <w:sz w:val="32"/>
          <w:szCs w:val="32"/>
        </w:rPr>
        <w:t>2、协同配合，程序管理，充分发挥部门的职能作用，按照既定的程序管理推动项目有序进行</w:t>
      </w:r>
      <w:r>
        <w:rPr>
          <w:rStyle w:val="18"/>
          <w:rFonts w:ascii="仿宋" w:hAnsi="仿宋" w:eastAsia="仿宋"/>
          <w:b w:val="0"/>
          <w:spacing w:val="-4"/>
          <w:sz w:val="32"/>
          <w:szCs w:val="32"/>
        </w:rPr>
        <w:br w:type="textWrapping"/>
      </w:r>
      <w:r>
        <w:rPr>
          <w:rStyle w:val="18"/>
          <w:rFonts w:hint="eastAsia" w:ascii="仿宋" w:hAnsi="仿宋" w:eastAsia="仿宋"/>
          <w:b w:val="0"/>
          <w:spacing w:val="-4"/>
          <w:sz w:val="32"/>
          <w:szCs w:val="32"/>
          <w:lang w:val="en-US" w:eastAsia="zh-CN"/>
        </w:rPr>
        <w:t xml:space="preserve">    </w:t>
      </w:r>
      <w:r>
        <w:rPr>
          <w:rStyle w:val="18"/>
          <w:rFonts w:ascii="仿宋" w:hAnsi="仿宋" w:eastAsia="仿宋"/>
          <w:b w:val="0"/>
          <w:spacing w:val="-4"/>
          <w:sz w:val="32"/>
          <w:szCs w:val="32"/>
        </w:rPr>
        <w:t>3、注重绩效，抓落实，年初绩效目标设定明确，项目前期工作经费项目目标与年度目标相关性强，绩效指标对全年项目工作具有指导作用，确保项目</w:t>
      </w:r>
      <w:r>
        <w:rPr>
          <w:rStyle w:val="18"/>
          <w:rFonts w:hint="eastAsia" w:ascii="仿宋" w:hAnsi="仿宋" w:eastAsia="仿宋"/>
          <w:b w:val="0"/>
          <w:spacing w:val="-4"/>
          <w:sz w:val="32"/>
          <w:szCs w:val="32"/>
        </w:rPr>
        <w:t>2018年绩效目标落实。</w:t>
      </w:r>
    </w:p>
    <w:p>
      <w:pPr>
        <w:spacing w:line="540" w:lineRule="exact"/>
        <w:ind w:firstLine="627" w:firstLineChars="200"/>
        <w:rPr>
          <w:rStyle w:val="18"/>
          <w:rFonts w:ascii="仿宋" w:hAnsi="仿宋" w:eastAsia="仿宋"/>
          <w:spacing w:val="-4"/>
          <w:sz w:val="32"/>
          <w:szCs w:val="32"/>
        </w:rPr>
      </w:pPr>
      <w:r>
        <w:rPr>
          <w:rStyle w:val="18"/>
          <w:rFonts w:hint="eastAsia" w:ascii="仿宋" w:hAnsi="仿宋" w:eastAsia="仿宋"/>
          <w:spacing w:val="-4"/>
          <w:sz w:val="32"/>
          <w:szCs w:val="32"/>
        </w:rPr>
        <w:t>存在的问题：</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24" w:firstLineChars="200"/>
        <w:jc w:val="both"/>
        <w:textAlignment w:val="auto"/>
        <w:outlineLvl w:val="9"/>
        <w:rPr>
          <w:rStyle w:val="18"/>
          <w:rFonts w:ascii="仿宋" w:hAnsi="仿宋" w:eastAsia="仿宋"/>
          <w:b w:val="0"/>
          <w:bCs w:val="0"/>
          <w:spacing w:val="-4"/>
          <w:sz w:val="32"/>
          <w:szCs w:val="32"/>
        </w:rPr>
      </w:pPr>
      <w:r>
        <w:rPr>
          <w:rStyle w:val="18"/>
          <w:rFonts w:ascii="仿宋" w:hAnsi="仿宋" w:eastAsia="仿宋"/>
          <w:b w:val="0"/>
          <w:bCs w:val="0"/>
          <w:spacing w:val="-4"/>
          <w:sz w:val="32"/>
          <w:szCs w:val="32"/>
        </w:rPr>
        <w:t>1、项目绩效指标设计需进一步加强。</w:t>
      </w:r>
      <w:r>
        <w:rPr>
          <w:rStyle w:val="18"/>
          <w:rFonts w:hint="eastAsia" w:ascii="仿宋" w:hAnsi="仿宋" w:eastAsia="仿宋"/>
          <w:b w:val="0"/>
          <w:bCs w:val="0"/>
          <w:spacing w:val="-4"/>
          <w:sz w:val="32"/>
          <w:szCs w:val="32"/>
        </w:rPr>
        <w:t>项目</w:t>
      </w:r>
      <w:r>
        <w:rPr>
          <w:rStyle w:val="18"/>
          <w:rFonts w:ascii="仿宋" w:hAnsi="仿宋" w:eastAsia="仿宋"/>
          <w:b w:val="0"/>
          <w:bCs w:val="0"/>
          <w:spacing w:val="-4"/>
          <w:sz w:val="32"/>
          <w:szCs w:val="32"/>
        </w:rPr>
        <w:t>绩效指标设计多为定性指标，缺乏定量指标。例如项目申报表中数量等量化指标，有利于考核项目的绩效情况。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24" w:firstLineChars="200"/>
        <w:jc w:val="both"/>
        <w:textAlignment w:val="auto"/>
        <w:outlineLvl w:val="9"/>
        <w:rPr>
          <w:rStyle w:val="18"/>
          <w:rFonts w:ascii="仿宋" w:hAnsi="仿宋" w:eastAsia="仿宋"/>
          <w:b w:val="0"/>
          <w:bCs w:val="0"/>
          <w:spacing w:val="-4"/>
          <w:sz w:val="32"/>
          <w:szCs w:val="32"/>
        </w:rPr>
      </w:pPr>
      <w:r>
        <w:rPr>
          <w:rStyle w:val="18"/>
          <w:rFonts w:ascii="仿宋" w:hAnsi="仿宋" w:eastAsia="仿宋"/>
          <w:b w:val="0"/>
          <w:bCs w:val="0"/>
          <w:spacing w:val="-4"/>
          <w:sz w:val="32"/>
          <w:szCs w:val="32"/>
        </w:rPr>
        <w:t>2、项目管理制度需进一步完善。作为一个常年性项目，项目前期工作经费项目缺乏项目管理制度。只有完善制度管理才能更好地协调项目，保证项目长远目标的贯初执行和预定目标的实现。</w:t>
      </w:r>
    </w:p>
    <w:p>
      <w:pPr>
        <w:spacing w:line="540" w:lineRule="exact"/>
        <w:ind w:firstLine="627" w:firstLineChars="200"/>
        <w:rPr>
          <w:rStyle w:val="18"/>
          <w:rFonts w:ascii="仿宋" w:hAnsi="仿宋" w:eastAsia="仿宋"/>
          <w:b w:val="0"/>
          <w:bCs w:val="0"/>
          <w:spacing w:val="-4"/>
          <w:sz w:val="32"/>
          <w:szCs w:val="32"/>
        </w:rPr>
      </w:pPr>
      <w:r>
        <w:rPr>
          <w:rStyle w:val="18"/>
          <w:rFonts w:ascii="仿宋" w:hAnsi="仿宋" w:eastAsia="仿宋"/>
          <w:bCs w:val="0"/>
          <w:spacing w:val="-4"/>
          <w:sz w:val="32"/>
          <w:szCs w:val="32"/>
        </w:rPr>
        <w:t>措施与建议</w:t>
      </w:r>
      <w:r>
        <w:rPr>
          <w:rStyle w:val="18"/>
          <w:rFonts w:ascii="仿宋" w:hAnsi="仿宋" w:eastAsia="仿宋"/>
          <w:b w:val="0"/>
          <w:bCs w:val="0"/>
          <w:spacing w:val="-4"/>
          <w:sz w:val="32"/>
          <w:szCs w:val="32"/>
        </w:rPr>
        <w:t>：</w:t>
      </w:r>
    </w:p>
    <w:p>
      <w:pPr>
        <w:spacing w:line="540" w:lineRule="exact"/>
        <w:ind w:firstLine="624" w:firstLineChars="200"/>
        <w:rPr>
          <w:rStyle w:val="18"/>
          <w:rFonts w:ascii="仿宋" w:hAnsi="仿宋" w:eastAsia="仿宋"/>
          <w:b w:val="0"/>
          <w:bCs w:val="0"/>
          <w:spacing w:val="-4"/>
          <w:sz w:val="32"/>
          <w:szCs w:val="32"/>
        </w:rPr>
      </w:pPr>
      <w:r>
        <w:rPr>
          <w:rStyle w:val="18"/>
          <w:rFonts w:ascii="仿宋" w:hAnsi="仿宋" w:eastAsia="仿宋"/>
          <w:b w:val="0"/>
          <w:bCs w:val="0"/>
          <w:spacing w:val="-4"/>
          <w:sz w:val="32"/>
          <w:szCs w:val="32"/>
        </w:rPr>
        <w:t>针对上述存在的问题，提出以下相应的工作改进建议:</w:t>
      </w:r>
    </w:p>
    <w:p>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b w:val="0"/>
          <w:bCs w:val="0"/>
          <w:spacing w:val="-4"/>
          <w:sz w:val="32"/>
          <w:szCs w:val="32"/>
        </w:rPr>
        <w:t>1、</w:t>
      </w:r>
      <w:r>
        <w:rPr>
          <w:rStyle w:val="18"/>
          <w:rFonts w:ascii="仿宋" w:hAnsi="仿宋" w:eastAsia="仿宋"/>
          <w:b w:val="0"/>
          <w:bCs w:val="0"/>
          <w:spacing w:val="-4"/>
          <w:sz w:val="32"/>
          <w:szCs w:val="32"/>
        </w:rPr>
        <w:t>加强项目预算绩效编制工作。财务部门与水利局相关业务处室应进行充分沟通建立事权、财权、责任匹配制度，在绩效目标的设定方面，绩效目标有待明确化、准确化，使项目目标更简洁更明晰。</w:t>
      </w:r>
    </w:p>
    <w:p>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b w:val="0"/>
          <w:bCs w:val="0"/>
          <w:spacing w:val="-4"/>
          <w:sz w:val="32"/>
          <w:szCs w:val="32"/>
        </w:rPr>
        <w:t>2、</w:t>
      </w:r>
      <w:r>
        <w:rPr>
          <w:rStyle w:val="18"/>
          <w:rFonts w:ascii="仿宋" w:hAnsi="仿宋" w:eastAsia="仿宋"/>
          <w:b w:val="0"/>
          <w:bCs w:val="0"/>
          <w:spacing w:val="-4"/>
          <w:sz w:val="32"/>
          <w:szCs w:val="32"/>
        </w:rPr>
        <w:t>进一步加强项目过程管理。在项目实施过程中采取定期或不定期的检查，有利于规范项目资金的使用，保证项目资金的合规性。</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27" w:firstLineChars="200"/>
        <w:jc w:val="both"/>
        <w:textAlignment w:val="auto"/>
        <w:outlineLvl w:val="9"/>
        <w:rPr>
          <w:rFonts w:ascii="仿宋_GB2312" w:eastAsia="仿宋_GB2312"/>
          <w:b/>
          <w:bCs/>
          <w:spacing w:val="-4"/>
          <w:sz w:val="32"/>
          <w:szCs w:val="32"/>
        </w:rPr>
      </w:pPr>
      <w:r>
        <w:rPr>
          <w:rFonts w:hint="eastAsia" w:ascii="仿宋_GB2312" w:eastAsia="仿宋_GB2312"/>
          <w:b/>
          <w:bCs/>
          <w:spacing w:val="-4"/>
          <w:sz w:val="32"/>
          <w:szCs w:val="32"/>
        </w:rPr>
        <w:t>（三）其他</w:t>
      </w:r>
    </w:p>
    <w:p>
      <w:pPr>
        <w:spacing w:line="540" w:lineRule="exact"/>
        <w:ind w:firstLine="624" w:firstLineChars="200"/>
        <w:rPr>
          <w:rStyle w:val="18"/>
          <w:rFonts w:ascii="仿宋" w:hAnsi="仿宋" w:eastAsia="仿宋"/>
          <w:b w:val="0"/>
          <w:bCs w:val="0"/>
          <w:spacing w:val="-4"/>
          <w:sz w:val="32"/>
          <w:szCs w:val="32"/>
        </w:rPr>
      </w:pPr>
      <w:r>
        <w:rPr>
          <w:rStyle w:val="18"/>
          <w:rFonts w:ascii="仿宋" w:hAnsi="仿宋" w:eastAsia="仿宋"/>
          <w:b w:val="0"/>
          <w:bCs w:val="0"/>
          <w:spacing w:val="-4"/>
          <w:sz w:val="32"/>
          <w:szCs w:val="32"/>
        </w:rPr>
        <w:t>进一步健全项目监控机制。完善项目管理内部控制制度，严格执行绩效监控，对预算执行进行有效跟踪:建立项目实施单位的内部位约束机和责任追究机制:扩大预决算信息公开范围，接受社会监督。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项目评价工作中评价基础数据主要来自于项目预算及项目实施工作台账。资料由水政办进行配合提供，县水利局辅助整理和项目实施过程及完工后验收都有相关的照片进行佐证，项目由县水利局组织完成评审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widowControl/>
        <w:jc w:val="center"/>
        <w:rPr>
          <w:rFonts w:hint="eastAsia" w:ascii="宋体" w:hAnsi="宋体" w:cs="宋体"/>
          <w:b/>
          <w:bCs/>
          <w:kern w:val="0"/>
          <w:sz w:val="32"/>
          <w:szCs w:val="32"/>
        </w:rPr>
        <w:sectPr>
          <w:footerReference r:id="rId3" w:type="default"/>
          <w:pgSz w:w="11906" w:h="16838"/>
          <w:pgMar w:top="1440" w:right="1558" w:bottom="1440" w:left="1800" w:header="851" w:footer="992" w:gutter="0"/>
          <w:cols w:space="425" w:num="1"/>
          <w:docGrid w:type="lines" w:linePitch="312" w:charSpace="0"/>
        </w:sect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水资源评价报告经费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玛纳斯县水利局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20万元</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20万元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20万元</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20万元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宋体" w:cs="宋体"/>
                <w:kern w:val="0"/>
                <w:szCs w:val="21"/>
              </w:rPr>
            </w:pPr>
            <w:r>
              <w:rPr>
                <w:rFonts w:hint="eastAsia" w:ascii="宋体" w:hAnsi="宋体" w:cs="宋体"/>
                <w:kern w:val="0"/>
                <w:sz w:val="20"/>
                <w:szCs w:val="20"/>
              </w:rPr>
              <w:t>　</w:t>
            </w:r>
            <w:r>
              <w:rPr>
                <w:rStyle w:val="18"/>
                <w:rFonts w:hint="eastAsia" w:ascii="仿宋" w:hAnsi="仿宋" w:eastAsia="仿宋"/>
                <w:b w:val="0"/>
                <w:spacing w:val="-4"/>
                <w:szCs w:val="21"/>
              </w:rPr>
              <w:t>在以往水资源评价工作基础上，全面了解近</w:t>
            </w:r>
            <w:r>
              <w:rPr>
                <w:rStyle w:val="18"/>
                <w:rFonts w:ascii="仿宋" w:hAnsi="仿宋" w:eastAsia="仿宋"/>
                <w:b w:val="0"/>
                <w:spacing w:val="-4"/>
                <w:szCs w:val="21"/>
              </w:rPr>
              <w:t>20</w:t>
            </w:r>
            <w:r>
              <w:rPr>
                <w:rStyle w:val="18"/>
                <w:rFonts w:hint="eastAsia" w:ascii="仿宋" w:hAnsi="仿宋" w:eastAsia="仿宋"/>
                <w:b w:val="0"/>
                <w:spacing w:val="-4"/>
                <w:szCs w:val="21"/>
              </w:rPr>
              <w:t>年来玛纳斯县水资源状况变化，提出系统的水资源评价成果，为玛纳斯县落实最严格水资源管理制度、经济社会可持续发展和生态文明建设提供水资源方面的技术支撑。</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Style w:val="18"/>
                <w:rFonts w:hint="eastAsia" w:ascii="仿宋" w:hAnsi="仿宋" w:eastAsia="仿宋"/>
                <w:b w:val="0"/>
                <w:spacing w:val="-4"/>
                <w:szCs w:val="21"/>
              </w:rPr>
              <w:t>在以往水资源评价工作基础上，全面了解近</w:t>
            </w:r>
            <w:r>
              <w:rPr>
                <w:rStyle w:val="18"/>
                <w:rFonts w:ascii="仿宋" w:hAnsi="仿宋" w:eastAsia="仿宋"/>
                <w:b w:val="0"/>
                <w:spacing w:val="-4"/>
                <w:szCs w:val="21"/>
              </w:rPr>
              <w:t>20</w:t>
            </w:r>
            <w:r>
              <w:rPr>
                <w:rStyle w:val="18"/>
                <w:rFonts w:hint="eastAsia" w:ascii="仿宋" w:hAnsi="仿宋" w:eastAsia="仿宋"/>
                <w:b w:val="0"/>
                <w:spacing w:val="-4"/>
                <w:szCs w:val="21"/>
              </w:rPr>
              <w:t>年来玛纳斯县水资源状况变化，提出系统的水资源评价成果，为玛纳斯县落实最严格水资源管理制度、经济社会可持续发展和生态文明建设提供水资源方面的技术支撑。（完成编制但尚未评审）</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编制水资源界限划分一览表</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cs="宋体"/>
                <w:kern w:val="0"/>
                <w:sz w:val="20"/>
                <w:szCs w:val="20"/>
              </w:rPr>
              <w:t>1</w:t>
            </w:r>
            <w:r>
              <w:rPr>
                <w:rFonts w:hint="eastAsia" w:ascii="宋体" w:cs="宋体"/>
                <w:kern w:val="0"/>
                <w:sz w:val="20"/>
                <w:szCs w:val="20"/>
                <w:lang w:eastAsia="zh-CN"/>
              </w:rPr>
              <w:t>册</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cs="宋体"/>
                <w:kern w:val="0"/>
                <w:sz w:val="20"/>
                <w:szCs w:val="20"/>
              </w:rPr>
              <w:t>1</w:t>
            </w:r>
            <w:r>
              <w:rPr>
                <w:rFonts w:hint="eastAsia" w:ascii="宋体" w:cs="宋体"/>
                <w:kern w:val="0"/>
                <w:sz w:val="20"/>
                <w:szCs w:val="20"/>
                <w:lang w:eastAsia="zh-CN"/>
              </w:rPr>
              <w:t>册</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：绘制降水量均值等值线图</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2张</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2张</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r>
              <w:rPr>
                <w:rFonts w:hint="eastAsia" w:ascii="宋体" w:hAnsi="宋体" w:cs="宋体"/>
                <w:kern w:val="0"/>
                <w:sz w:val="20"/>
                <w:szCs w:val="20"/>
              </w:rPr>
              <w:t>降水量年际变化趋势图</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cs="宋体"/>
                <w:kern w:val="0"/>
                <w:sz w:val="20"/>
                <w:szCs w:val="20"/>
                <w:lang w:val="en-US" w:eastAsia="zh-CN"/>
              </w:rPr>
              <w:t>6张</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cs="宋体"/>
                <w:kern w:val="0"/>
                <w:sz w:val="20"/>
                <w:szCs w:val="20"/>
                <w:lang w:val="en-US" w:eastAsia="zh-CN"/>
              </w:rPr>
              <w:t>6张</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指标3：</w:t>
            </w:r>
            <w:r>
              <w:rPr>
                <w:rFonts w:ascii="宋体" w:cs="宋体"/>
                <w:kern w:val="0"/>
                <w:sz w:val="20"/>
                <w:szCs w:val="20"/>
              </w:rPr>
              <w:t>水资源量分析</w:t>
            </w:r>
            <w:r>
              <w:rPr>
                <w:rFonts w:hint="eastAsia" w:ascii="宋体" w:cs="宋体"/>
                <w:kern w:val="0"/>
                <w:sz w:val="20"/>
                <w:szCs w:val="20"/>
                <w:lang w:eastAsia="zh-CN"/>
              </w:rPr>
              <w:t>评价</w:t>
            </w:r>
            <w:r>
              <w:rPr>
                <w:rFonts w:ascii="宋体" w:cs="宋体"/>
                <w:kern w:val="0"/>
                <w:sz w:val="20"/>
                <w:szCs w:val="20"/>
              </w:rPr>
              <w:t>报告</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1份</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ascii="宋体" w:cs="宋体"/>
                <w:kern w:val="0"/>
                <w:sz w:val="20"/>
                <w:szCs w:val="20"/>
              </w:rPr>
              <w:t>1份</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评价报告评审合格率</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cs="宋体"/>
                <w:kern w:val="0"/>
                <w:sz w:val="20"/>
                <w:szCs w:val="20"/>
                <w:lang w:val="en-US" w:eastAsia="zh-CN"/>
              </w:rPr>
              <w:t>100%</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完成时限</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2018年12月</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2018年12月</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：评价咨询费用</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20万元</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20万元</w:t>
            </w:r>
          </w:p>
        </w:tc>
      </w:tr>
      <w:tr>
        <w:tblPrEx>
          <w:tblLayout w:type="fixed"/>
          <w:tblCellMar>
            <w:top w:w="0" w:type="dxa"/>
            <w:left w:w="108" w:type="dxa"/>
            <w:bottom w:w="0" w:type="dxa"/>
            <w:right w:w="108" w:type="dxa"/>
          </w:tblCellMar>
        </w:tblPrEx>
        <w:trPr>
          <w:trHeight w:val="612"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b w:val="0"/>
                <w:bCs/>
                <w:kern w:val="0"/>
                <w:sz w:val="20"/>
                <w:szCs w:val="20"/>
              </w:rPr>
              <w:t>指标</w:t>
            </w:r>
            <w:r>
              <w:rPr>
                <w:rFonts w:ascii="宋体" w:hAnsi="宋体" w:cs="宋体"/>
                <w:b w:val="0"/>
                <w:bCs/>
                <w:kern w:val="0"/>
                <w:sz w:val="20"/>
                <w:szCs w:val="20"/>
              </w:rPr>
              <w:t>1</w:t>
            </w:r>
            <w:r>
              <w:rPr>
                <w:rFonts w:hint="eastAsia" w:ascii="宋体" w:hAnsi="宋体" w:cs="宋体"/>
                <w:b w:val="0"/>
                <w:bCs/>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：水资源利用率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cs="宋体"/>
                <w:kern w:val="0"/>
                <w:sz w:val="20"/>
                <w:szCs w:val="20"/>
              </w:rPr>
              <w:t>显著提高</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cs="宋体"/>
                <w:kern w:val="0"/>
                <w:sz w:val="20"/>
                <w:szCs w:val="20"/>
              </w:rPr>
              <w:t>显著提高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项目单位满意度</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lang w:eastAsia="zh-CN"/>
              </w:rPr>
              <w:t>≥</w:t>
            </w:r>
            <w:r>
              <w:rPr>
                <w:rFonts w:hint="eastAsia" w:ascii="宋体" w:hAnsi="宋体" w:cs="宋体"/>
                <w:kern w:val="0"/>
                <w:sz w:val="20"/>
                <w:szCs w:val="20"/>
                <w:lang w:val="en-US" w:eastAsia="zh-CN"/>
              </w:rPr>
              <w:t>90</w:t>
            </w:r>
            <w:r>
              <w:rPr>
                <w:rFonts w:ascii="宋体" w:hAnsi="宋体" w:cs="宋体"/>
                <w:kern w:val="0"/>
                <w:sz w:val="20"/>
                <w:szCs w:val="20"/>
              </w:rPr>
              <w:t>%</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lang w:val="en-US" w:eastAsia="zh-CN"/>
              </w:rPr>
              <w:t>90</w:t>
            </w:r>
            <w:r>
              <w:rPr>
                <w:rFonts w:ascii="宋体" w:hAnsi="宋体" w:cs="宋体"/>
                <w:kern w:val="0"/>
                <w:sz w:val="20"/>
                <w:szCs w:val="20"/>
              </w:rPr>
              <w:t>%</w:t>
            </w:r>
          </w:p>
        </w:tc>
      </w:tr>
    </w:tbl>
    <w:p>
      <w:pPr>
        <w:spacing w:line="540" w:lineRule="exact"/>
        <w:ind w:firstLine="567"/>
        <w:rPr>
          <w:rStyle w:val="18"/>
          <w:rFonts w:ascii="仿宋" w:hAnsi="仿宋" w:eastAsia="仿宋"/>
          <w:b w:val="0"/>
          <w:spacing w:val="-4"/>
          <w:sz w:val="32"/>
          <w:szCs w:val="32"/>
        </w:rPr>
      </w:pP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6</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45123"/>
    <w:rsid w:val="0004658C"/>
    <w:rsid w:val="00052F27"/>
    <w:rsid w:val="00056465"/>
    <w:rsid w:val="00060F6C"/>
    <w:rsid w:val="0006254F"/>
    <w:rsid w:val="000C1457"/>
    <w:rsid w:val="00121AE4"/>
    <w:rsid w:val="001264B2"/>
    <w:rsid w:val="00146AAD"/>
    <w:rsid w:val="001B3A40"/>
    <w:rsid w:val="002009AC"/>
    <w:rsid w:val="002913EF"/>
    <w:rsid w:val="002C298E"/>
    <w:rsid w:val="002F2ED8"/>
    <w:rsid w:val="0031530D"/>
    <w:rsid w:val="00317E52"/>
    <w:rsid w:val="00356067"/>
    <w:rsid w:val="003A0F36"/>
    <w:rsid w:val="003C18BC"/>
    <w:rsid w:val="003C20D5"/>
    <w:rsid w:val="003E74A7"/>
    <w:rsid w:val="004366A8"/>
    <w:rsid w:val="00464900"/>
    <w:rsid w:val="00502BA7"/>
    <w:rsid w:val="005162F1"/>
    <w:rsid w:val="00535153"/>
    <w:rsid w:val="00554F82"/>
    <w:rsid w:val="0056390D"/>
    <w:rsid w:val="005719B0"/>
    <w:rsid w:val="005C67EE"/>
    <w:rsid w:val="005D10D6"/>
    <w:rsid w:val="00665CAE"/>
    <w:rsid w:val="006F6783"/>
    <w:rsid w:val="0071266C"/>
    <w:rsid w:val="007741FB"/>
    <w:rsid w:val="00775F8C"/>
    <w:rsid w:val="0078046E"/>
    <w:rsid w:val="007806A5"/>
    <w:rsid w:val="007E495F"/>
    <w:rsid w:val="00855E3A"/>
    <w:rsid w:val="008665F2"/>
    <w:rsid w:val="008D7F0F"/>
    <w:rsid w:val="00911DD7"/>
    <w:rsid w:val="00922CB9"/>
    <w:rsid w:val="009C15FA"/>
    <w:rsid w:val="009C53FC"/>
    <w:rsid w:val="009E5CD9"/>
    <w:rsid w:val="00A26421"/>
    <w:rsid w:val="00A4293B"/>
    <w:rsid w:val="00A52CCC"/>
    <w:rsid w:val="00A67D50"/>
    <w:rsid w:val="00A8691A"/>
    <w:rsid w:val="00AC1946"/>
    <w:rsid w:val="00AD36AC"/>
    <w:rsid w:val="00B40063"/>
    <w:rsid w:val="00B4124B"/>
    <w:rsid w:val="00B41F61"/>
    <w:rsid w:val="00B6421A"/>
    <w:rsid w:val="00B67143"/>
    <w:rsid w:val="00B71497"/>
    <w:rsid w:val="00B84B73"/>
    <w:rsid w:val="00BA0A67"/>
    <w:rsid w:val="00BA46E6"/>
    <w:rsid w:val="00BD59C0"/>
    <w:rsid w:val="00BF20F2"/>
    <w:rsid w:val="00BF48DB"/>
    <w:rsid w:val="00C10D6D"/>
    <w:rsid w:val="00C13F43"/>
    <w:rsid w:val="00C413C8"/>
    <w:rsid w:val="00C4762D"/>
    <w:rsid w:val="00C56C72"/>
    <w:rsid w:val="00CA6457"/>
    <w:rsid w:val="00D17F2E"/>
    <w:rsid w:val="00D30354"/>
    <w:rsid w:val="00D54624"/>
    <w:rsid w:val="00D71097"/>
    <w:rsid w:val="00D87ACE"/>
    <w:rsid w:val="00DB7DC5"/>
    <w:rsid w:val="00DF42A0"/>
    <w:rsid w:val="00E46C51"/>
    <w:rsid w:val="00E67753"/>
    <w:rsid w:val="00E769FE"/>
    <w:rsid w:val="00EA2CBE"/>
    <w:rsid w:val="00EF544C"/>
    <w:rsid w:val="00F146E5"/>
    <w:rsid w:val="00F32FEE"/>
    <w:rsid w:val="00F5179A"/>
    <w:rsid w:val="00FB10BB"/>
    <w:rsid w:val="087D07A5"/>
    <w:rsid w:val="175F359E"/>
    <w:rsid w:val="18544C9D"/>
    <w:rsid w:val="38E8150D"/>
    <w:rsid w:val="4D1E78ED"/>
    <w:rsid w:val="4F9D0D93"/>
    <w:rsid w:val="50755C90"/>
    <w:rsid w:val="54D54478"/>
    <w:rsid w:val="553C40C4"/>
    <w:rsid w:val="63C42FF6"/>
    <w:rsid w:val="6696629C"/>
    <w:rsid w:val="789B0EDD"/>
    <w:rsid w:val="7B534624"/>
    <w:rsid w:val="7C8E4E7D"/>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29"/>
    <w:semiHidden/>
    <w:qFormat/>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标题 1 Char"/>
    <w:basedOn w:val="17"/>
    <w:link w:val="2"/>
    <w:qFormat/>
    <w:locked/>
    <w:uiPriority w:val="99"/>
    <w:rPr>
      <w:rFonts w:ascii="Cambria" w:hAnsi="Cambria" w:eastAsia="宋体" w:cs="Times New Roman"/>
      <w:b/>
      <w:bCs/>
      <w:kern w:val="32"/>
      <w:sz w:val="32"/>
      <w:szCs w:val="32"/>
    </w:rPr>
  </w:style>
  <w:style w:type="character" w:customStyle="1" w:styleId="21">
    <w:name w:val="标题 2 Char"/>
    <w:basedOn w:val="17"/>
    <w:link w:val="3"/>
    <w:semiHidden/>
    <w:qFormat/>
    <w:locked/>
    <w:uiPriority w:val="99"/>
    <w:rPr>
      <w:rFonts w:ascii="Cambria" w:hAnsi="Cambria" w:eastAsia="宋体" w:cs="Times New Roman"/>
      <w:b/>
      <w:bCs/>
      <w:i/>
      <w:iCs/>
      <w:sz w:val="28"/>
      <w:szCs w:val="28"/>
    </w:rPr>
  </w:style>
  <w:style w:type="character" w:customStyle="1" w:styleId="22">
    <w:name w:val="标题 3 Char"/>
    <w:basedOn w:val="17"/>
    <w:link w:val="4"/>
    <w:semiHidden/>
    <w:qFormat/>
    <w:locked/>
    <w:uiPriority w:val="99"/>
    <w:rPr>
      <w:rFonts w:ascii="Cambria" w:hAnsi="Cambria" w:eastAsia="宋体" w:cs="Times New Roman"/>
      <w:b/>
      <w:bCs/>
      <w:sz w:val="26"/>
      <w:szCs w:val="26"/>
    </w:rPr>
  </w:style>
  <w:style w:type="character" w:customStyle="1" w:styleId="23">
    <w:name w:val="标题 4 Char"/>
    <w:basedOn w:val="17"/>
    <w:link w:val="5"/>
    <w:semiHidden/>
    <w:qFormat/>
    <w:locked/>
    <w:uiPriority w:val="99"/>
    <w:rPr>
      <w:rFonts w:cs="Times New Roman"/>
      <w:b/>
      <w:bCs/>
      <w:sz w:val="28"/>
      <w:szCs w:val="28"/>
    </w:rPr>
  </w:style>
  <w:style w:type="character" w:customStyle="1" w:styleId="24">
    <w:name w:val="标题 5 Char"/>
    <w:basedOn w:val="17"/>
    <w:link w:val="6"/>
    <w:semiHidden/>
    <w:qFormat/>
    <w:locked/>
    <w:uiPriority w:val="99"/>
    <w:rPr>
      <w:rFonts w:cs="Times New Roman"/>
      <w:b/>
      <w:bCs/>
      <w:i/>
      <w:iCs/>
      <w:sz w:val="26"/>
      <w:szCs w:val="26"/>
    </w:rPr>
  </w:style>
  <w:style w:type="character" w:customStyle="1" w:styleId="25">
    <w:name w:val="标题 6 Char"/>
    <w:basedOn w:val="17"/>
    <w:link w:val="7"/>
    <w:semiHidden/>
    <w:qFormat/>
    <w:locked/>
    <w:uiPriority w:val="99"/>
    <w:rPr>
      <w:rFonts w:cs="Times New Roman"/>
      <w:b/>
      <w:bCs/>
    </w:rPr>
  </w:style>
  <w:style w:type="character" w:customStyle="1" w:styleId="26">
    <w:name w:val="标题 7 Char"/>
    <w:basedOn w:val="17"/>
    <w:link w:val="8"/>
    <w:semiHidden/>
    <w:qFormat/>
    <w:locked/>
    <w:uiPriority w:val="99"/>
    <w:rPr>
      <w:rFonts w:cs="Times New Roman"/>
      <w:sz w:val="24"/>
      <w:szCs w:val="24"/>
    </w:rPr>
  </w:style>
  <w:style w:type="character" w:customStyle="1" w:styleId="27">
    <w:name w:val="标题 8 Char"/>
    <w:basedOn w:val="17"/>
    <w:link w:val="9"/>
    <w:semiHidden/>
    <w:qFormat/>
    <w:locked/>
    <w:uiPriority w:val="99"/>
    <w:rPr>
      <w:rFonts w:cs="Times New Roman"/>
      <w:i/>
      <w:iCs/>
      <w:sz w:val="24"/>
      <w:szCs w:val="24"/>
    </w:rPr>
  </w:style>
  <w:style w:type="character" w:customStyle="1" w:styleId="28">
    <w:name w:val="标题 9 Char"/>
    <w:basedOn w:val="17"/>
    <w:link w:val="10"/>
    <w:semiHidden/>
    <w:qFormat/>
    <w:locked/>
    <w:uiPriority w:val="99"/>
    <w:rPr>
      <w:rFonts w:ascii="Cambria" w:hAnsi="Cambria" w:eastAsia="宋体" w:cs="Times New Roman"/>
    </w:rPr>
  </w:style>
  <w:style w:type="character" w:customStyle="1" w:styleId="29">
    <w:name w:val="批注框文本 Char"/>
    <w:basedOn w:val="17"/>
    <w:link w:val="11"/>
    <w:semiHidden/>
    <w:qFormat/>
    <w:locked/>
    <w:uiPriority w:val="99"/>
    <w:rPr>
      <w:rFonts w:ascii="Times New Roman" w:hAnsi="Times New Roman" w:eastAsia="宋体" w:cs="Times New Roman"/>
      <w:kern w:val="2"/>
      <w:sz w:val="18"/>
      <w:szCs w:val="18"/>
    </w:rPr>
  </w:style>
  <w:style w:type="character" w:customStyle="1" w:styleId="30">
    <w:name w:val="页脚 Char"/>
    <w:basedOn w:val="17"/>
    <w:link w:val="12"/>
    <w:qFormat/>
    <w:locked/>
    <w:uiPriority w:val="99"/>
    <w:rPr>
      <w:rFonts w:ascii="Calibri" w:hAnsi="Calibri" w:eastAsia="宋体" w:cs="Times New Roman"/>
      <w:kern w:val="2"/>
      <w:sz w:val="18"/>
      <w:szCs w:val="18"/>
    </w:rPr>
  </w:style>
  <w:style w:type="character" w:customStyle="1" w:styleId="31">
    <w:name w:val="页眉 Char"/>
    <w:basedOn w:val="17"/>
    <w:link w:val="13"/>
    <w:qFormat/>
    <w:locked/>
    <w:uiPriority w:val="99"/>
    <w:rPr>
      <w:rFonts w:ascii="Calibri" w:hAnsi="Calibri" w:eastAsia="宋体" w:cs="Times New Roman"/>
      <w:kern w:val="2"/>
      <w:sz w:val="18"/>
      <w:szCs w:val="18"/>
    </w:rPr>
  </w:style>
  <w:style w:type="character" w:customStyle="1" w:styleId="32">
    <w:name w:val="副标题 Char"/>
    <w:basedOn w:val="17"/>
    <w:link w:val="14"/>
    <w:qFormat/>
    <w:locked/>
    <w:uiPriority w:val="99"/>
    <w:rPr>
      <w:rFonts w:ascii="Cambria" w:hAnsi="Cambria" w:eastAsia="宋体" w:cs="Times New Roman"/>
      <w:sz w:val="24"/>
      <w:szCs w:val="24"/>
    </w:rPr>
  </w:style>
  <w:style w:type="character" w:customStyle="1" w:styleId="33">
    <w:name w:val="标题 Char"/>
    <w:basedOn w:val="17"/>
    <w:link w:val="15"/>
    <w:qFormat/>
    <w:locked/>
    <w:uiPriority w:val="99"/>
    <w:rPr>
      <w:rFonts w:ascii="Cambria" w:hAnsi="Cambria" w:eastAsia="宋体" w:cs="Times New Roman"/>
      <w:b/>
      <w:bCs/>
      <w:kern w:val="28"/>
      <w:sz w:val="32"/>
      <w:szCs w:val="32"/>
    </w:rPr>
  </w:style>
  <w:style w:type="paragraph" w:customStyle="1" w:styleId="34">
    <w:name w:val="无间隔1"/>
    <w:basedOn w:val="1"/>
    <w:qFormat/>
    <w:uiPriority w:val="99"/>
    <w:pPr>
      <w:widowControl/>
      <w:jc w:val="left"/>
    </w:pPr>
    <w:rPr>
      <w:rFonts w:ascii="Calibri" w:hAnsi="Calibri"/>
      <w:kern w:val="0"/>
      <w:sz w:val="24"/>
      <w:szCs w:val="32"/>
      <w:lang w:eastAsia="en-US"/>
    </w:rPr>
  </w:style>
  <w:style w:type="paragraph" w:customStyle="1" w:styleId="35">
    <w:name w:val="列出段落1"/>
    <w:basedOn w:val="1"/>
    <w:qFormat/>
    <w:uiPriority w:val="99"/>
    <w:pPr>
      <w:widowControl/>
      <w:ind w:left="720"/>
      <w:contextualSpacing/>
      <w:jc w:val="left"/>
    </w:pPr>
    <w:rPr>
      <w:rFonts w:ascii="Calibri" w:hAnsi="Calibri"/>
      <w:kern w:val="0"/>
      <w:sz w:val="24"/>
      <w:lang w:eastAsia="en-US"/>
    </w:rPr>
  </w:style>
  <w:style w:type="paragraph" w:customStyle="1" w:styleId="36">
    <w:name w:val="引用1"/>
    <w:basedOn w:val="1"/>
    <w:next w:val="1"/>
    <w:link w:val="37"/>
    <w:qFormat/>
    <w:uiPriority w:val="99"/>
    <w:pPr>
      <w:widowControl/>
      <w:jc w:val="left"/>
    </w:pPr>
    <w:rPr>
      <w:rFonts w:ascii="Calibri" w:hAnsi="Calibri"/>
      <w:i/>
      <w:kern w:val="0"/>
      <w:sz w:val="24"/>
    </w:rPr>
  </w:style>
  <w:style w:type="character" w:customStyle="1" w:styleId="37">
    <w:name w:val="Quote Char"/>
    <w:basedOn w:val="17"/>
    <w:link w:val="36"/>
    <w:qFormat/>
    <w:locked/>
    <w:uiPriority w:val="99"/>
    <w:rPr>
      <w:rFonts w:cs="Times New Roman"/>
      <w:i/>
      <w:sz w:val="24"/>
      <w:szCs w:val="24"/>
    </w:rPr>
  </w:style>
  <w:style w:type="paragraph" w:customStyle="1" w:styleId="38">
    <w:name w:val="明显引用1"/>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Intense Quote Char"/>
    <w:basedOn w:val="17"/>
    <w:link w:val="38"/>
    <w:qFormat/>
    <w:locked/>
    <w:uiPriority w:val="99"/>
    <w:rPr>
      <w:rFonts w:cs="Times New Roman"/>
      <w:b/>
      <w:i/>
      <w:sz w:val="24"/>
    </w:rPr>
  </w:style>
  <w:style w:type="character" w:customStyle="1" w:styleId="40">
    <w:name w:val="不明显强调1"/>
    <w:qFormat/>
    <w:uiPriority w:val="99"/>
    <w:rPr>
      <w:i/>
      <w:color w:val="595959"/>
    </w:rPr>
  </w:style>
  <w:style w:type="character" w:customStyle="1" w:styleId="41">
    <w:name w:val="明显强调1"/>
    <w:basedOn w:val="17"/>
    <w:qFormat/>
    <w:uiPriority w:val="99"/>
    <w:rPr>
      <w:rFonts w:cs="Times New Roman"/>
      <w:b/>
      <w:i/>
      <w:sz w:val="24"/>
      <w:szCs w:val="24"/>
      <w:u w:val="single"/>
    </w:rPr>
  </w:style>
  <w:style w:type="character" w:customStyle="1" w:styleId="42">
    <w:name w:val="不明显参考1"/>
    <w:basedOn w:val="17"/>
    <w:qFormat/>
    <w:uiPriority w:val="99"/>
    <w:rPr>
      <w:rFonts w:cs="Times New Roman"/>
      <w:sz w:val="24"/>
      <w:szCs w:val="24"/>
      <w:u w:val="single"/>
    </w:rPr>
  </w:style>
  <w:style w:type="character" w:customStyle="1" w:styleId="43">
    <w:name w:val="明显参考1"/>
    <w:basedOn w:val="17"/>
    <w:qFormat/>
    <w:uiPriority w:val="99"/>
    <w:rPr>
      <w:rFonts w:cs="Times New Roman"/>
      <w:b/>
      <w:sz w:val="24"/>
      <w:u w:val="single"/>
    </w:rPr>
  </w:style>
  <w:style w:type="character" w:customStyle="1" w:styleId="44">
    <w:name w:val="书籍标题1"/>
    <w:basedOn w:val="17"/>
    <w:qFormat/>
    <w:uiPriority w:val="99"/>
    <w:rPr>
      <w:rFonts w:ascii="Cambria" w:hAnsi="Cambria" w:eastAsia="宋体" w:cs="Times New Roman"/>
      <w:b/>
      <w:i/>
      <w:sz w:val="24"/>
      <w:szCs w:val="24"/>
    </w:rPr>
  </w:style>
  <w:style w:type="paragraph" w:customStyle="1" w:styleId="45">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7</Pages>
  <Words>518</Words>
  <Characters>2956</Characters>
  <Lines>24</Lines>
  <Paragraphs>6</Paragraphs>
  <TotalTime>1</TotalTime>
  <ScaleCrop>false</ScaleCrop>
  <LinksUpToDate>false</LinksUpToDate>
  <CharactersWithSpaces>3468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2024-03-28T09:19:53Z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