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项目名称：玛纳斯县反恐维稳基地综合楼及室内外附属设施项目建设款</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15</w:t>
      </w:r>
      <w:r>
        <w:rPr>
          <w:rFonts w:hint="eastAsia" w:hAnsi="宋体" w:eastAsia="仿宋_GB2312" w:cs="宋体"/>
          <w:kern w:val="0"/>
          <w:sz w:val="36"/>
          <w:szCs w:val="36"/>
        </w:rPr>
        <w:t>日</w:t>
      </w:r>
    </w:p>
    <w:p>
      <w:pPr>
        <w:spacing w:line="540" w:lineRule="exact"/>
        <w:rPr>
          <w:rStyle w:val="19"/>
          <w:rFonts w:ascii="黑体" w:hAnsi="黑体" w:eastAsia="黑体"/>
          <w:b w:val="0"/>
          <w:bCs/>
          <w:spacing w:val="-4"/>
          <w:sz w:val="32"/>
          <w:szCs w:val="32"/>
        </w:rPr>
      </w:pP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一、项目概况</w:t>
      </w:r>
    </w:p>
    <w:p>
      <w:pPr>
        <w:spacing w:line="540" w:lineRule="exact"/>
        <w:ind w:firstLine="567"/>
        <w:rPr>
          <w:rStyle w:val="19"/>
          <w:rFonts w:ascii="楷体" w:hAnsi="楷体" w:eastAsia="楷体"/>
          <w:bCs/>
          <w:spacing w:val="-4"/>
          <w:sz w:val="32"/>
          <w:szCs w:val="32"/>
        </w:rPr>
      </w:pPr>
      <w:r>
        <w:rPr>
          <w:rStyle w:val="19"/>
          <w:rFonts w:hint="eastAsia" w:ascii="楷体" w:hAnsi="楷体" w:eastAsia="楷体"/>
          <w:bCs/>
          <w:spacing w:val="-4"/>
          <w:sz w:val="32"/>
          <w:szCs w:val="32"/>
        </w:rPr>
        <w:t>（一）项目单位基本情况</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主要职能：（1）、保持严打高压，继续深化对敌斗争；（2）、坚持多措并举，强化社会治安防控；（3）、坚持综合施策，强化行政服务管理；（4）、深化四项建设，打牢公安基层基础</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机构情况：我单位机构数1个、共有职能部门30个。</w:t>
      </w:r>
    </w:p>
    <w:p>
      <w:pPr>
        <w:spacing w:line="540" w:lineRule="exact"/>
        <w:ind w:firstLine="567" w:firstLineChars="181"/>
        <w:rPr>
          <w:rStyle w:val="19"/>
          <w:rFonts w:ascii="楷体" w:hAnsi="楷体" w:eastAsia="楷体"/>
          <w:bCs/>
          <w:spacing w:val="-4"/>
          <w:sz w:val="32"/>
          <w:szCs w:val="32"/>
        </w:rPr>
      </w:pPr>
      <w:r>
        <w:rPr>
          <w:rStyle w:val="19"/>
          <w:rFonts w:hint="eastAsia" w:ascii="楷体" w:hAnsi="楷体" w:eastAsia="楷体"/>
          <w:bCs/>
          <w:spacing w:val="-4"/>
          <w:sz w:val="32"/>
          <w:szCs w:val="32"/>
        </w:rPr>
        <w:t>（二）项目预算绩效目标设定情况</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Style w:val="19"/>
          <w:rFonts w:hint="eastAsia" w:ascii="仿宋" w:hAnsi="仿宋" w:eastAsia="仿宋"/>
          <w:b w:val="0"/>
          <w:bCs/>
          <w:spacing w:val="-4"/>
          <w:sz w:val="32"/>
          <w:szCs w:val="32"/>
        </w:rPr>
        <w:t>减少违反犯罪事件，及时监控全县各地，预防严重违法犯罪事故发生，改善办公环境，从而提高办公效率，提高接警处置效率，充分发挥公安职能，维护社会稳定。</w:t>
      </w:r>
    </w:p>
    <w:p>
      <w:pPr>
        <w:spacing w:after="0" w:line="540" w:lineRule="exact"/>
        <w:ind w:firstLine="564" w:firstLineChars="181"/>
        <w:rPr>
          <w:rStyle w:val="19"/>
          <w:rFonts w:hint="eastAsia" w:ascii="仿宋" w:hAnsi="仿宋" w:eastAsia="仿宋"/>
          <w:b w:val="0"/>
          <w:bCs/>
          <w:spacing w:val="-4"/>
          <w:sz w:val="32"/>
          <w:szCs w:val="32"/>
          <w:lang w:val="en-US" w:eastAsia="zh-CN"/>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lang w:val="en-US" w:eastAsia="zh-CN"/>
        </w:rPr>
        <w:t xml:space="preserve"> </w:t>
      </w:r>
      <w:r>
        <w:rPr>
          <w:rStyle w:val="19"/>
          <w:rFonts w:hint="eastAsia" w:ascii="仿宋" w:hAnsi="仿宋" w:eastAsia="仿宋"/>
          <w:b w:val="0"/>
          <w:spacing w:val="-4"/>
          <w:sz w:val="32"/>
          <w:szCs w:val="32"/>
          <w:highlight w:val="none"/>
          <w:lang w:val="en-US" w:eastAsia="zh-CN"/>
        </w:rPr>
        <w:t>本项目共设置一级指标3个、二级指标9个、三级指标79个指标。三级指标可量化7个，占比75%，</w:t>
      </w:r>
      <w:r>
        <w:rPr>
          <w:rStyle w:val="19"/>
          <w:rFonts w:hint="eastAsia" w:ascii="仿宋" w:hAnsi="仿宋" w:eastAsia="仿宋"/>
          <w:b w:val="0"/>
          <w:spacing w:val="-4"/>
          <w:sz w:val="32"/>
          <w:szCs w:val="32"/>
          <w:highlight w:val="none"/>
          <w:lang w:eastAsia="zh-CN"/>
        </w:rPr>
        <w:t>经费主要用于支付工程款。</w:t>
      </w: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二、项目资金使用及管理情况</w:t>
      </w:r>
    </w:p>
    <w:p>
      <w:pPr>
        <w:spacing w:line="540" w:lineRule="exact"/>
        <w:ind w:firstLine="567" w:firstLineChars="181"/>
        <w:rPr>
          <w:rStyle w:val="19"/>
          <w:rFonts w:ascii="楷体" w:hAnsi="楷体" w:eastAsia="楷体"/>
          <w:bCs/>
          <w:spacing w:val="-4"/>
          <w:sz w:val="32"/>
          <w:szCs w:val="32"/>
        </w:rPr>
      </w:pPr>
      <w:r>
        <w:rPr>
          <w:rStyle w:val="19"/>
          <w:rFonts w:hint="eastAsia" w:ascii="楷体" w:hAnsi="楷体" w:eastAsia="楷体"/>
          <w:bCs/>
          <w:spacing w:val="-4"/>
          <w:sz w:val="32"/>
          <w:szCs w:val="32"/>
        </w:rPr>
        <w:t>（一）项目资金安排落实、总投入等情况分析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eastAsia="zh-CN"/>
        </w:rPr>
        <w:t>玛纳斯县公安局拘留所项目</w:t>
      </w:r>
      <w:r>
        <w:rPr>
          <w:rStyle w:val="19"/>
          <w:rFonts w:hint="eastAsia" w:ascii="仿宋" w:hAnsi="仿宋" w:eastAsia="仿宋"/>
          <w:b w:val="0"/>
          <w:spacing w:val="-4"/>
          <w:sz w:val="32"/>
          <w:szCs w:val="32"/>
          <w:lang w:val="en-US" w:eastAsia="zh-CN"/>
        </w:rPr>
        <w:t>2018年安排总金额</w:t>
      </w:r>
      <w:r>
        <w:rPr>
          <w:rStyle w:val="19"/>
          <w:rFonts w:hint="eastAsia" w:ascii="仿宋" w:hAnsi="仿宋" w:eastAsia="仿宋"/>
          <w:b w:val="0"/>
          <w:bCs/>
          <w:spacing w:val="-4"/>
          <w:sz w:val="32"/>
          <w:szCs w:val="32"/>
        </w:rPr>
        <w:t xml:space="preserve">1103.63 </w:t>
      </w:r>
      <w:r>
        <w:rPr>
          <w:rStyle w:val="19"/>
          <w:rFonts w:hint="eastAsia" w:ascii="仿宋" w:hAnsi="仿宋" w:eastAsia="仿宋"/>
          <w:b w:val="0"/>
          <w:spacing w:val="-4"/>
          <w:sz w:val="32"/>
          <w:szCs w:val="32"/>
          <w:lang w:val="en-US" w:eastAsia="zh-CN"/>
        </w:rPr>
        <w:t>万元。项目资金为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rPr>
        <w:t xml:space="preserve">1103.63 </w:t>
      </w:r>
      <w:r>
        <w:rPr>
          <w:rStyle w:val="19"/>
          <w:rFonts w:hint="eastAsia" w:ascii="仿宋" w:hAnsi="仿宋" w:eastAsia="仿宋"/>
          <w:b w:val="0"/>
          <w:bCs/>
          <w:spacing w:val="-4"/>
          <w:sz w:val="32"/>
          <w:szCs w:val="32"/>
          <w:lang w:val="en-US" w:eastAsia="zh-CN"/>
        </w:rPr>
        <w:t>万元，</w:t>
      </w:r>
      <w:r>
        <w:rPr>
          <w:rStyle w:val="19"/>
          <w:rFonts w:hint="eastAsia" w:ascii="仿宋" w:hAnsi="仿宋" w:eastAsia="仿宋"/>
          <w:b w:val="0"/>
          <w:spacing w:val="-4"/>
          <w:sz w:val="32"/>
          <w:szCs w:val="32"/>
          <w:lang w:val="en-US" w:eastAsia="zh-CN"/>
        </w:rPr>
        <w:t>资金已全部到位，执行率100%，</w:t>
      </w:r>
      <w:r>
        <w:rPr>
          <w:rFonts w:hint="eastAsia" w:ascii="仿宋" w:hAnsi="仿宋" w:eastAsia="仿宋"/>
          <w:spacing w:val="-4"/>
          <w:sz w:val="32"/>
          <w:szCs w:val="32"/>
        </w:rPr>
        <w:t>根据代建处监管的项目进展情况，向财政局申情资金，做直接支付支付给建筑单位。</w:t>
      </w:r>
    </w:p>
    <w:p>
      <w:pPr>
        <w:spacing w:line="540" w:lineRule="exact"/>
        <w:ind w:firstLine="567" w:firstLineChars="181"/>
        <w:rPr>
          <w:rStyle w:val="19"/>
          <w:rFonts w:ascii="楷体" w:hAnsi="楷体" w:eastAsia="楷体"/>
          <w:bCs/>
          <w:spacing w:val="-4"/>
          <w:sz w:val="32"/>
          <w:szCs w:val="32"/>
        </w:rPr>
      </w:pPr>
      <w:r>
        <w:rPr>
          <w:rStyle w:val="19"/>
          <w:rFonts w:hint="eastAsia" w:ascii="楷体" w:hAnsi="楷体" w:eastAsia="楷体"/>
          <w:bCs/>
          <w:spacing w:val="-4"/>
          <w:sz w:val="32"/>
          <w:szCs w:val="32"/>
        </w:rPr>
        <w:t>（二）项目资金实际使用情况分析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本项目资金总计</w:t>
      </w:r>
      <w:r>
        <w:rPr>
          <w:rStyle w:val="19"/>
          <w:rFonts w:hint="eastAsia" w:ascii="仿宋" w:hAnsi="仿宋" w:eastAsia="仿宋"/>
          <w:b w:val="0"/>
          <w:bCs/>
          <w:spacing w:val="-4"/>
          <w:sz w:val="32"/>
          <w:szCs w:val="32"/>
        </w:rPr>
        <w:t xml:space="preserve">1103.63 </w:t>
      </w:r>
      <w:r>
        <w:rPr>
          <w:rStyle w:val="19"/>
          <w:rFonts w:hint="eastAsia" w:ascii="仿宋" w:hAnsi="仿宋" w:eastAsia="仿宋"/>
          <w:b w:val="0"/>
          <w:spacing w:val="-4"/>
          <w:sz w:val="32"/>
          <w:szCs w:val="32"/>
          <w:lang w:val="en-US" w:eastAsia="zh-CN"/>
        </w:rPr>
        <w:t>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%，项目资金主要用于支付</w:t>
      </w:r>
      <w:r>
        <w:rPr>
          <w:rStyle w:val="19"/>
          <w:rFonts w:hint="eastAsia" w:ascii="仿宋" w:hAnsi="仿宋" w:eastAsia="仿宋"/>
          <w:b w:val="0"/>
          <w:spacing w:val="-4"/>
          <w:sz w:val="32"/>
          <w:szCs w:val="32"/>
          <w:lang w:eastAsia="zh-CN"/>
        </w:rPr>
        <w:t>工程款，</w:t>
      </w:r>
      <w:r>
        <w:rPr>
          <w:rStyle w:val="19"/>
          <w:rFonts w:hint="eastAsia" w:ascii="仿宋" w:hAnsi="仿宋" w:eastAsia="仿宋"/>
          <w:b w:val="0"/>
          <w:spacing w:val="-4"/>
          <w:sz w:val="32"/>
          <w:szCs w:val="32"/>
        </w:rPr>
        <w:t>结余资金</w:t>
      </w:r>
      <w:r>
        <w:rPr>
          <w:rStyle w:val="19"/>
          <w:rFonts w:hint="eastAsia" w:ascii="仿宋" w:hAnsi="仿宋" w:eastAsia="仿宋"/>
          <w:b w:val="0"/>
          <w:spacing w:val="-4"/>
          <w:sz w:val="32"/>
          <w:szCs w:val="32"/>
          <w:lang w:val="en-US" w:eastAsia="zh-CN"/>
        </w:rPr>
        <w:t>0</w:t>
      </w:r>
      <w:r>
        <w:rPr>
          <w:rStyle w:val="19"/>
          <w:rFonts w:hint="eastAsia" w:ascii="仿宋" w:hAnsi="仿宋" w:eastAsia="仿宋"/>
          <w:b w:val="0"/>
          <w:spacing w:val="-4"/>
          <w:sz w:val="32"/>
          <w:szCs w:val="32"/>
        </w:rPr>
        <w:t>万元</w:t>
      </w:r>
      <w:r>
        <w:rPr>
          <w:rStyle w:val="19"/>
          <w:rFonts w:hint="eastAsia" w:ascii="仿宋" w:hAnsi="仿宋" w:eastAsia="仿宋"/>
          <w:b w:val="0"/>
          <w:spacing w:val="-4"/>
          <w:sz w:val="32"/>
          <w:szCs w:val="32"/>
          <w:lang w:val="en-US" w:eastAsia="zh-CN"/>
        </w:rPr>
        <w:t>资金使用完成率100%。</w:t>
      </w:r>
    </w:p>
    <w:p>
      <w:pPr>
        <w:spacing w:line="540" w:lineRule="exact"/>
        <w:ind w:firstLine="567" w:firstLineChars="181"/>
        <w:rPr>
          <w:rStyle w:val="19"/>
          <w:rFonts w:ascii="楷体" w:hAnsi="楷体" w:eastAsia="楷体"/>
          <w:bCs/>
          <w:spacing w:val="-4"/>
          <w:sz w:val="32"/>
          <w:szCs w:val="32"/>
        </w:rPr>
      </w:pPr>
      <w:r>
        <w:rPr>
          <w:rStyle w:val="19"/>
          <w:rFonts w:hint="eastAsia" w:ascii="楷体" w:hAnsi="楷体" w:eastAsia="楷体"/>
          <w:bCs/>
          <w:spacing w:val="-4"/>
          <w:sz w:val="32"/>
          <w:szCs w:val="32"/>
        </w:rPr>
        <w:t>（三）项目资金管理情况分析</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spacing w:val="-4"/>
          <w:sz w:val="32"/>
          <w:szCs w:val="32"/>
        </w:rPr>
        <w:t>管理制度、办法的制定及执行</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本项目支出符合玛纳斯县</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相关财务管理制度</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我局根据上级主管部门要求项目资金的使用严格按照各项规章制度执行运转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，按照谁主管、谁负责的原则，明确项目管理和实施的具体责任；</w:t>
      </w:r>
      <w:r>
        <w:rPr>
          <w:rStyle w:val="19"/>
          <w:rFonts w:hint="eastAsia" w:ascii="仿宋" w:hAnsi="仿宋" w:eastAsia="仿宋"/>
          <w:b w:val="0"/>
          <w:bCs/>
          <w:spacing w:val="-4"/>
          <w:sz w:val="32"/>
          <w:szCs w:val="32"/>
        </w:rPr>
        <w:t>项目资金由县财政局统一管理，由代建处对项目进度及质量进行监管，支付时由代建处向财政局申请资金，建筑单位携监理、代建处签字的工程支付申请书及发票和相关中标合同手续在我局进行五级审批后，交由财政局支付。</w:t>
      </w: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三、项目组织实施情况</w:t>
      </w:r>
    </w:p>
    <w:p>
      <w:pPr>
        <w:spacing w:line="540" w:lineRule="exact"/>
        <w:ind w:firstLine="567" w:firstLineChars="181"/>
        <w:rPr>
          <w:rStyle w:val="19"/>
          <w:rFonts w:ascii="楷体" w:hAnsi="楷体" w:eastAsia="楷体"/>
          <w:bCs/>
          <w:spacing w:val="-4"/>
          <w:sz w:val="32"/>
          <w:szCs w:val="32"/>
        </w:rPr>
      </w:pPr>
      <w:r>
        <w:rPr>
          <w:rStyle w:val="19"/>
          <w:rFonts w:hint="eastAsia" w:ascii="楷体" w:hAnsi="楷体" w:eastAsia="楷体"/>
          <w:bCs/>
          <w:spacing w:val="-4"/>
          <w:sz w:val="32"/>
          <w:szCs w:val="32"/>
        </w:rPr>
        <w:t>（一）项目组织情况分析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bCs/>
          <w:spacing w:val="-4"/>
          <w:sz w:val="32"/>
          <w:szCs w:val="32"/>
        </w:rPr>
        <w:t>项目投标情况：</w:t>
      </w:r>
      <w:r>
        <w:rPr>
          <w:rStyle w:val="19"/>
          <w:rFonts w:hint="eastAsia" w:ascii="仿宋" w:hAnsi="仿宋" w:eastAsia="仿宋"/>
          <w:b w:val="0"/>
          <w:spacing w:val="-4"/>
          <w:sz w:val="32"/>
          <w:szCs w:val="32"/>
          <w:lang w:val="en-US" w:eastAsia="zh-CN"/>
        </w:rPr>
        <w:t>实际项</w:t>
      </w:r>
      <w:r>
        <w:rPr>
          <w:rStyle w:val="19"/>
          <w:rFonts w:hint="eastAsia" w:ascii="仿宋" w:hAnsi="仿宋" w:eastAsia="仿宋"/>
          <w:b w:val="0"/>
          <w:spacing w:val="-4"/>
          <w:sz w:val="32"/>
          <w:szCs w:val="32"/>
          <w:lang w:eastAsia="zh-CN"/>
        </w:rPr>
        <w:t>目总投入</w:t>
      </w:r>
      <w:r>
        <w:rPr>
          <w:rStyle w:val="19"/>
          <w:rFonts w:hint="eastAsia" w:ascii="仿宋" w:hAnsi="仿宋" w:eastAsia="仿宋"/>
          <w:b w:val="0"/>
          <w:bCs/>
          <w:spacing w:val="-4"/>
          <w:sz w:val="32"/>
          <w:szCs w:val="32"/>
        </w:rPr>
        <w:t xml:space="preserve">1103.63 </w:t>
      </w:r>
      <w:r>
        <w:rPr>
          <w:rStyle w:val="19"/>
          <w:rFonts w:hint="eastAsia" w:ascii="仿宋" w:hAnsi="仿宋" w:eastAsia="仿宋"/>
          <w:b w:val="0"/>
          <w:spacing w:val="-4"/>
          <w:sz w:val="32"/>
          <w:szCs w:val="32"/>
          <w:lang w:val="en-US" w:eastAsia="zh-CN"/>
        </w:rPr>
        <w:t>万元，主要用于</w:t>
      </w:r>
      <w:r>
        <w:rPr>
          <w:rStyle w:val="19"/>
          <w:rFonts w:hint="eastAsia" w:ascii="仿宋" w:hAnsi="仿宋" w:eastAsia="仿宋"/>
          <w:b w:val="0"/>
          <w:spacing w:val="-4"/>
          <w:sz w:val="32"/>
          <w:szCs w:val="32"/>
        </w:rPr>
        <w:t>支付</w:t>
      </w:r>
      <w:r>
        <w:rPr>
          <w:rStyle w:val="19"/>
          <w:rFonts w:hint="eastAsia" w:ascii="仿宋" w:hAnsi="仿宋" w:eastAsia="仿宋"/>
          <w:b w:val="0"/>
          <w:bCs/>
          <w:spacing w:val="-4"/>
          <w:sz w:val="32"/>
          <w:szCs w:val="32"/>
        </w:rPr>
        <w:t>反恐维稳基地综合楼及室内外附属设施项目</w:t>
      </w:r>
      <w:r>
        <w:rPr>
          <w:rStyle w:val="19"/>
          <w:rFonts w:hint="eastAsia" w:ascii="仿宋" w:hAnsi="仿宋" w:eastAsia="仿宋"/>
          <w:b w:val="0"/>
          <w:bCs/>
          <w:spacing w:val="-4"/>
          <w:sz w:val="32"/>
          <w:szCs w:val="32"/>
          <w:lang w:eastAsia="zh-CN"/>
        </w:rPr>
        <w:t>工程款，</w:t>
      </w:r>
      <w:r>
        <w:rPr>
          <w:rStyle w:val="19"/>
          <w:rFonts w:hint="eastAsia" w:ascii="仿宋" w:hAnsi="仿宋" w:eastAsia="仿宋"/>
          <w:b w:val="0"/>
          <w:spacing w:val="-4"/>
          <w:sz w:val="32"/>
          <w:szCs w:val="32"/>
        </w:rPr>
        <w:t>实施过程均按照</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制定的项目管理制度执行。项目资金无调整情况。</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验收情况：我局资金使用严格执行我局各项规章制度，资金落实到位，不拖欠，不做项目外的其他支出。</w:t>
      </w:r>
    </w:p>
    <w:p>
      <w:pPr>
        <w:spacing w:line="540" w:lineRule="exact"/>
        <w:ind w:firstLine="567" w:firstLineChars="181"/>
        <w:rPr>
          <w:rStyle w:val="19"/>
          <w:rFonts w:ascii="仿宋" w:hAnsi="仿宋" w:eastAsia="仿宋"/>
          <w:b w:val="0"/>
          <w:bCs/>
          <w:spacing w:val="-4"/>
          <w:sz w:val="32"/>
          <w:szCs w:val="32"/>
        </w:rPr>
      </w:pPr>
      <w:r>
        <w:rPr>
          <w:rStyle w:val="19"/>
          <w:rFonts w:hint="eastAsia" w:ascii="楷体" w:hAnsi="楷体" w:eastAsia="楷体"/>
          <w:bCs/>
          <w:spacing w:val="-4"/>
          <w:sz w:val="32"/>
          <w:szCs w:val="32"/>
        </w:rPr>
        <w:t>（二）项目管理情况分析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一、</w:t>
      </w:r>
      <w:r>
        <w:rPr>
          <w:rStyle w:val="19"/>
          <w:rFonts w:hint="eastAsia" w:ascii="仿宋" w:hAnsi="仿宋" w:eastAsia="仿宋"/>
          <w:b w:val="0"/>
          <w:spacing w:val="-4"/>
          <w:sz w:val="32"/>
          <w:szCs w:val="32"/>
        </w:rPr>
        <w:t>项目管理制度建设：</w:t>
      </w:r>
      <w:r>
        <w:rPr>
          <w:rFonts w:hint="eastAsia" w:ascii="仿宋" w:hAnsi="仿宋" w:eastAsia="仿宋"/>
          <w:spacing w:val="-4"/>
          <w:sz w:val="32"/>
          <w:szCs w:val="32"/>
        </w:rPr>
        <w:t>按照公安厅及上级部门制订的相关财务制度，我局也根据单位的实际情况制定了切实可行的《财务管理制度》、《财务岗位职责》</w:t>
      </w:r>
      <w:r>
        <w:rPr>
          <w:rFonts w:hint="eastAsia" w:ascii="仿宋" w:hAnsi="仿宋" w:eastAsia="仿宋"/>
          <w:spacing w:val="-4"/>
          <w:sz w:val="32"/>
          <w:szCs w:val="32"/>
          <w:lang w:eastAsia="zh-CN"/>
        </w:rPr>
        <w:t>、</w:t>
      </w:r>
      <w:r>
        <w:rPr>
          <w:rFonts w:hint="eastAsia" w:ascii="仿宋" w:hAnsi="仿宋" w:eastAsia="仿宋"/>
          <w:spacing w:val="-4"/>
          <w:sz w:val="32"/>
          <w:szCs w:val="32"/>
        </w:rPr>
        <w:t>《差旅费报销制度》等会计制度，及时学习更新相关规定，根据内部管理的需要，明确了工作岗位职责和权限。</w:t>
      </w:r>
    </w:p>
    <w:p>
      <w:pPr>
        <w:spacing w:line="540" w:lineRule="exact"/>
        <w:ind w:firstLine="640"/>
        <w:rPr>
          <w:rFonts w:hint="eastAsia" w:ascii="仿宋" w:hAnsi="仿宋" w:eastAsia="仿宋"/>
          <w:spacing w:val="-4"/>
          <w:sz w:val="32"/>
          <w:szCs w:val="32"/>
        </w:rPr>
      </w:pPr>
      <w:r>
        <w:rPr>
          <w:rFonts w:hint="eastAsia" w:ascii="仿宋" w:hAnsi="仿宋" w:eastAsia="仿宋"/>
          <w:spacing w:val="-4"/>
          <w:sz w:val="32"/>
          <w:szCs w:val="32"/>
        </w:rPr>
        <w:t>二、</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bCs/>
        </w:rPr>
      </w:pPr>
      <w:r>
        <w:rPr>
          <w:rStyle w:val="19"/>
          <w:rFonts w:hint="eastAsia" w:ascii="黑体" w:hAnsi="黑体" w:eastAsia="黑体"/>
          <w:b w:val="0"/>
          <w:bCs/>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after="0" w:line="540" w:lineRule="exact"/>
        <w:ind w:firstLine="564" w:firstLineChars="181"/>
        <w:rPr>
          <w:rStyle w:val="19"/>
          <w:rFonts w:hint="eastAsia" w:ascii="仿宋" w:hAnsi="仿宋" w:eastAsia="仿宋"/>
          <w:b w:val="0"/>
          <w:bCs/>
          <w:spacing w:val="-4"/>
          <w:sz w:val="32"/>
          <w:szCs w:val="32"/>
          <w:lang w:val="en-US" w:eastAsia="zh-CN"/>
        </w:rPr>
      </w:pPr>
      <w:r>
        <w:rPr>
          <w:rStyle w:val="19"/>
          <w:rFonts w:hint="eastAsia" w:ascii="仿宋" w:hAnsi="仿宋" w:eastAsia="仿宋"/>
          <w:b w:val="0"/>
          <w:spacing w:val="-4"/>
          <w:sz w:val="32"/>
          <w:szCs w:val="32"/>
          <w:highlight w:val="none"/>
          <w:lang w:val="en-US" w:eastAsia="zh-CN"/>
        </w:rPr>
        <w:t>本项目共设置一级指标3个、二级指标9个、三级指标9个指标。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9</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keepNext w:val="0"/>
        <w:keepLines w:val="0"/>
        <w:pageBreakBefore w:val="0"/>
        <w:widowControl w:val="0"/>
        <w:numPr>
          <w:ilvl w:val="0"/>
          <w:numId w:val="0"/>
        </w:numPr>
        <w:kinsoku/>
        <w:wordWrap/>
        <w:overflowPunct/>
        <w:topLinePunct w:val="0"/>
        <w:autoSpaceDE/>
        <w:autoSpaceDN/>
        <w:bidi w:val="0"/>
        <w:spacing w:after="0" w:line="540" w:lineRule="exact"/>
        <w:textAlignment w:val="auto"/>
        <w:outlineLvl w:val="9"/>
        <w:rPr>
          <w:rStyle w:val="19"/>
          <w:rFonts w:hint="default" w:ascii="仿宋" w:hAnsi="仿宋" w:eastAsia="仿宋"/>
          <w:b w:val="0"/>
          <w:color w:val="000000" w:themeColor="text1"/>
          <w:spacing w:val="-4"/>
          <w:sz w:val="32"/>
          <w:szCs w:val="32"/>
          <w:lang w:val="en-US" w:eastAsia="zh-CN"/>
        </w:rPr>
      </w:pPr>
      <w:r>
        <w:rPr>
          <w:rStyle w:val="19"/>
          <w:rFonts w:hint="eastAsia" w:ascii="仿宋" w:hAnsi="仿宋" w:eastAsia="仿宋"/>
          <w:b w:val="0"/>
          <w:color w:val="000000" w:themeColor="text1"/>
          <w:spacing w:val="-4"/>
          <w:sz w:val="32"/>
          <w:szCs w:val="32"/>
          <w:lang w:val="en-US" w:eastAsia="zh-CN"/>
        </w:rPr>
        <w:t xml:space="preserve">     </w:t>
      </w:r>
      <w:r>
        <w:rPr>
          <w:rStyle w:val="19"/>
          <w:rFonts w:hint="eastAsia" w:ascii="仿宋" w:hAnsi="仿宋" w:eastAsia="仿宋"/>
          <w:b w:val="0"/>
          <w:spacing w:val="-4"/>
          <w:sz w:val="32"/>
          <w:szCs w:val="32"/>
          <w:lang w:eastAsia="zh-CN"/>
        </w:rPr>
        <w:t>（1）项目完成数量。 项目投资金额1103.63万元，建筑年限</w:t>
      </w:r>
      <w:r>
        <w:rPr>
          <w:rStyle w:val="19"/>
          <w:rFonts w:hint="eastAsia" w:ascii="仿宋" w:hAnsi="仿宋" w:eastAsia="仿宋"/>
          <w:b w:val="0"/>
          <w:spacing w:val="-4"/>
          <w:sz w:val="32"/>
          <w:szCs w:val="32"/>
          <w:lang w:val="en-US" w:eastAsia="zh-CN"/>
        </w:rPr>
        <w:t>2年</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（2）项目完成质量。专项资金依法执行率</w:t>
      </w:r>
      <w:r>
        <w:rPr>
          <w:rStyle w:val="19"/>
          <w:rFonts w:hint="eastAsia" w:ascii="仿宋" w:hAnsi="仿宋" w:eastAsia="仿宋"/>
          <w:b w:val="0"/>
          <w:spacing w:val="-4"/>
          <w:sz w:val="32"/>
          <w:szCs w:val="32"/>
          <w:lang w:val="en-US" w:eastAsia="zh-CN"/>
        </w:rPr>
        <w:t>100%。</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（3）项目时效。资金执行率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（4）项目成本。资金投入1103.63万元</w:t>
      </w:r>
      <w:r>
        <w:rPr>
          <w:rStyle w:val="19"/>
          <w:rFonts w:hint="eastAsia" w:ascii="仿宋" w:hAnsi="仿宋" w:eastAsia="仿宋"/>
          <w:b w:val="0"/>
          <w:spacing w:val="-4"/>
          <w:sz w:val="32"/>
          <w:szCs w:val="32"/>
          <w:lang w:val="en-US" w:eastAsia="zh-CN"/>
        </w:rPr>
        <w:t>，</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2</w:t>
      </w:r>
      <w:r>
        <w:rPr>
          <w:rStyle w:val="19"/>
          <w:rFonts w:hint="eastAsia" w:ascii="方正仿宋_GBK" w:hAnsi="方正仿宋_GBK" w:eastAsia="方正仿宋_GBK" w:cs="方正仿宋_GBK"/>
          <w:b/>
          <w:bCs/>
          <w:sz w:val="32"/>
          <w:szCs w:val="32"/>
          <w:lang w:eastAsia="zh-CN"/>
        </w:rPr>
        <w:t>、效益</w:t>
      </w:r>
      <w:r>
        <w:rPr>
          <w:rStyle w:val="19"/>
          <w:rFonts w:hint="eastAsia" w:ascii="方正仿宋_GBK" w:hAnsi="方正仿宋_GBK" w:eastAsia="方正仿宋_GBK" w:cs="方正仿宋_GBK"/>
          <w:b/>
          <w:bCs/>
          <w:sz w:val="32"/>
          <w:szCs w:val="32"/>
        </w:rPr>
        <w:t>指标</w:t>
      </w:r>
      <w:r>
        <w:rPr>
          <w:rStyle w:val="19"/>
          <w:rFonts w:hint="eastAsia" w:ascii="方正仿宋_GBK" w:hAnsi="方正仿宋_GBK" w:eastAsia="方正仿宋_GBK" w:cs="方正仿宋_GBK"/>
          <w:b/>
          <w:bCs/>
          <w:sz w:val="32"/>
          <w:szCs w:val="32"/>
          <w:lang w:eastAsia="zh-CN"/>
        </w:rPr>
        <w:t>完成</w:t>
      </w:r>
      <w:r>
        <w:rPr>
          <w:rStyle w:val="19"/>
          <w:rFonts w:hint="eastAsia" w:ascii="方正仿宋_GBK" w:hAnsi="方正仿宋_GBK" w:eastAsia="方正仿宋_GBK" w:cs="方正仿宋_GBK"/>
          <w:b/>
          <w:bCs/>
          <w:sz w:val="32"/>
          <w:szCs w:val="32"/>
        </w:rPr>
        <w:t>情况分析</w:t>
      </w:r>
    </w:p>
    <w:p>
      <w:pPr>
        <w:spacing w:line="540" w:lineRule="exact"/>
        <w:ind w:firstLine="579" w:firstLineChars="181"/>
        <w:rPr>
          <w:rFonts w:hint="eastAsia" w:ascii="仿宋" w:hAnsi="仿宋" w:eastAsia="仿宋" w:cs="仿宋"/>
          <w:b w:val="0"/>
          <w:bCs/>
          <w:color w:val="auto"/>
          <w:kern w:val="0"/>
          <w:sz w:val="32"/>
          <w:szCs w:val="32"/>
          <w:lang w:eastAsia="zh-CN"/>
        </w:rPr>
      </w:pPr>
      <w:r>
        <w:rPr>
          <w:rStyle w:val="19"/>
          <w:rFonts w:hint="eastAsia" w:ascii="方正仿宋_GBK" w:hAnsi="方正仿宋_GBK" w:eastAsia="方正仿宋_GBK" w:cs="方正仿宋_GBK"/>
          <w:b w:val="0"/>
          <w:bCs w:val="0"/>
          <w:sz w:val="32"/>
          <w:szCs w:val="32"/>
          <w:highlight w:val="none"/>
        </w:rPr>
        <w:t>（</w:t>
      </w:r>
      <w:r>
        <w:rPr>
          <w:rFonts w:hint="eastAsia" w:ascii="仿宋" w:hAnsi="仿宋" w:eastAsia="仿宋" w:cs="仿宋"/>
          <w:b w:val="0"/>
          <w:bCs/>
          <w:color w:val="auto"/>
          <w:kern w:val="0"/>
          <w:sz w:val="32"/>
          <w:szCs w:val="32"/>
          <w:lang w:eastAsia="zh-CN"/>
        </w:rPr>
        <w:t>1）项目实施的社会效益指标。充分发挥公安职能，维护社会稳定，改善办公环境，方便群众办事，群众满意度明显提高。</w:t>
      </w:r>
    </w:p>
    <w:p>
      <w:pPr>
        <w:spacing w:line="540" w:lineRule="exact"/>
        <w:ind w:firstLine="579" w:firstLineChars="181"/>
        <w:rPr>
          <w:rFonts w:hint="eastAsia" w:ascii="仿宋" w:hAnsi="仿宋" w:eastAsia="仿宋" w:cs="仿宋"/>
          <w:b w:val="0"/>
          <w:bCs/>
          <w:color w:val="auto"/>
          <w:kern w:val="0"/>
          <w:sz w:val="32"/>
          <w:szCs w:val="32"/>
          <w:lang w:eastAsia="zh-CN"/>
        </w:rPr>
      </w:pPr>
      <w:r>
        <w:rPr>
          <w:rFonts w:hint="eastAsia" w:ascii="仿宋" w:hAnsi="仿宋" w:eastAsia="仿宋" w:cs="仿宋"/>
          <w:b w:val="0"/>
          <w:bCs/>
          <w:color w:val="auto"/>
          <w:kern w:val="0"/>
          <w:sz w:val="32"/>
          <w:szCs w:val="32"/>
          <w:lang w:val="en-US" w:eastAsia="zh-CN"/>
        </w:rPr>
        <w:t>（2）</w:t>
      </w:r>
      <w:r>
        <w:rPr>
          <w:rFonts w:hint="eastAsia" w:ascii="仿宋" w:hAnsi="仿宋" w:eastAsia="仿宋" w:cs="仿宋"/>
          <w:b w:val="0"/>
          <w:bCs/>
          <w:color w:val="auto"/>
          <w:kern w:val="0"/>
          <w:sz w:val="32"/>
          <w:szCs w:val="32"/>
          <w:lang w:eastAsia="zh-CN"/>
        </w:rPr>
        <w:t>项目实施的可持续影响分析。预计该项目社会大局持续稳定＞</w:t>
      </w:r>
      <w:r>
        <w:rPr>
          <w:rFonts w:hint="eastAsia" w:ascii="仿宋" w:hAnsi="仿宋" w:eastAsia="仿宋" w:cs="仿宋"/>
          <w:b w:val="0"/>
          <w:bCs/>
          <w:color w:val="auto"/>
          <w:kern w:val="0"/>
          <w:sz w:val="32"/>
          <w:szCs w:val="32"/>
          <w:lang w:val="en-US" w:eastAsia="zh-CN"/>
        </w:rPr>
        <w:t>90</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spacing w:line="600" w:lineRule="exact"/>
        <w:ind w:firstLine="627" w:firstLineChars="196"/>
        <w:jc w:val="left"/>
        <w:rPr>
          <w:rFonts w:hint="eastAsia" w:ascii="仿宋" w:hAnsi="仿宋" w:eastAsia="仿宋" w:cs="仿宋"/>
          <w:b w:val="0"/>
          <w:bCs/>
          <w:color w:val="auto"/>
          <w:kern w:val="0"/>
          <w:sz w:val="32"/>
          <w:szCs w:val="32"/>
          <w:lang w:eastAsia="zh-CN"/>
        </w:rPr>
      </w:pPr>
      <w:r>
        <w:rPr>
          <w:rFonts w:hint="eastAsia" w:ascii="仿宋" w:hAnsi="仿宋" w:eastAsia="仿宋" w:cs="仿宋"/>
          <w:b w:val="0"/>
          <w:bCs/>
          <w:color w:val="auto"/>
          <w:kern w:val="0"/>
          <w:sz w:val="32"/>
          <w:szCs w:val="32"/>
          <w:lang w:eastAsia="zh-CN"/>
        </w:rPr>
        <w:t>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312" w:firstLineChars="10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无</w:t>
      </w:r>
    </w:p>
    <w:p>
      <w:pPr>
        <w:numPr>
          <w:ilvl w:val="0"/>
          <w:numId w:val="2"/>
        </w:numPr>
        <w:spacing w:line="540" w:lineRule="exact"/>
        <w:ind w:left="0" w:leftChars="0"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建议</w:t>
      </w:r>
    </w:p>
    <w:p>
      <w:pPr>
        <w:numPr>
          <w:ilvl w:val="0"/>
          <w:numId w:val="0"/>
        </w:numPr>
        <w:spacing w:line="540" w:lineRule="exact"/>
        <w:ind w:leftChars="181"/>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建立健全管理制度，加强项目建设管理，确保资金合理高效使用。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六、项目评价工作情况</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我局严格按照上级部门下达的资金使用方式使</w:t>
      </w:r>
      <w:bookmarkStart w:id="0" w:name="_GoBack"/>
      <w:bookmarkEnd w:id="0"/>
      <w:r>
        <w:rPr>
          <w:rStyle w:val="19"/>
          <w:rFonts w:hint="eastAsia" w:ascii="仿宋" w:hAnsi="仿宋" w:eastAsia="仿宋"/>
          <w:b w:val="0"/>
          <w:bCs/>
          <w:spacing w:val="-4"/>
          <w:sz w:val="32"/>
          <w:szCs w:val="32"/>
        </w:rPr>
        <w:t>用资金，切实做到每笔资金都由我局领导逐级审批，合理规范资金使用情况，确保资金落到实处，使资金使用效益达到最大化，切实保障办案部门正常运转。</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七、附表</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《玛纳斯县财政项目支出绩效自评表》</w:t>
      </w:r>
    </w:p>
    <w:p>
      <w:pPr>
        <w:spacing w:line="540" w:lineRule="exact"/>
        <w:ind w:firstLine="567"/>
        <w:rPr>
          <w:rStyle w:val="19"/>
          <w:rFonts w:ascii="仿宋" w:hAnsi="仿宋" w:eastAsia="仿宋"/>
          <w:b w:val="0"/>
          <w:bCs/>
          <w:spacing w:val="-4"/>
          <w:sz w:val="32"/>
          <w:szCs w:val="32"/>
        </w:rPr>
      </w:pPr>
    </w:p>
    <w:p>
      <w:pPr>
        <w:spacing w:line="540" w:lineRule="exact"/>
        <w:ind w:firstLine="567"/>
        <w:rPr>
          <w:rStyle w:val="19"/>
          <w:rFonts w:ascii="仿宋" w:hAnsi="仿宋" w:eastAsia="仿宋"/>
          <w:b w:val="0"/>
          <w:bCs/>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1673"/>
        <w:gridCol w:w="1387"/>
        <w:gridCol w:w="2260"/>
      </w:tblGrid>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玛纳斯县财政项目支出绩效自评表</w:t>
            </w:r>
          </w:p>
        </w:tc>
      </w:tr>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left"/>
              <w:rPr>
                <w:rFonts w:ascii="宋体" w:cs="宋体"/>
                <w:kern w:val="0"/>
                <w:sz w:val="24"/>
              </w:rPr>
            </w:pPr>
          </w:p>
        </w:tc>
        <w:tc>
          <w:tcPr>
            <w:tcW w:w="1300" w:type="dxa"/>
            <w:tcBorders>
              <w:top w:val="nil"/>
              <w:left w:val="nil"/>
              <w:bottom w:val="nil"/>
              <w:right w:val="nil"/>
            </w:tcBorders>
            <w:vAlign w:val="center"/>
          </w:tcPr>
          <w:p>
            <w:pPr>
              <w:widowControl/>
              <w:jc w:val="left"/>
              <w:rPr>
                <w:rFonts w:ascii="宋体" w:cs="宋体"/>
                <w:kern w:val="0"/>
                <w:sz w:val="24"/>
              </w:rPr>
            </w:pPr>
          </w:p>
        </w:tc>
        <w:tc>
          <w:tcPr>
            <w:tcW w:w="1400" w:type="dxa"/>
            <w:tcBorders>
              <w:top w:val="nil"/>
              <w:left w:val="nil"/>
              <w:bottom w:val="nil"/>
              <w:right w:val="nil"/>
            </w:tcBorders>
            <w:vAlign w:val="center"/>
          </w:tcPr>
          <w:p>
            <w:pPr>
              <w:widowControl/>
              <w:jc w:val="left"/>
              <w:rPr>
                <w:rFonts w:ascii="宋体" w:cs="宋体"/>
                <w:kern w:val="0"/>
                <w:sz w:val="24"/>
              </w:rPr>
            </w:pPr>
          </w:p>
        </w:tc>
        <w:tc>
          <w:tcPr>
            <w:tcW w:w="620" w:type="dxa"/>
            <w:tcBorders>
              <w:top w:val="nil"/>
              <w:left w:val="nil"/>
              <w:bottom w:val="nil"/>
              <w:right w:val="nil"/>
            </w:tcBorders>
            <w:vAlign w:val="center"/>
          </w:tcPr>
          <w:p>
            <w:pPr>
              <w:widowControl/>
              <w:jc w:val="left"/>
              <w:rPr>
                <w:rFonts w:ascii="宋体" w:cs="宋体"/>
                <w:kern w:val="0"/>
                <w:sz w:val="24"/>
              </w:rPr>
            </w:pPr>
          </w:p>
        </w:tc>
        <w:tc>
          <w:tcPr>
            <w:tcW w:w="1673" w:type="dxa"/>
            <w:tcBorders>
              <w:top w:val="nil"/>
              <w:left w:val="nil"/>
              <w:bottom w:val="nil"/>
              <w:right w:val="nil"/>
            </w:tcBorders>
            <w:vAlign w:val="center"/>
          </w:tcPr>
          <w:p>
            <w:pPr>
              <w:widowControl/>
              <w:jc w:val="left"/>
              <w:rPr>
                <w:rFonts w:ascii="宋体" w:cs="宋体"/>
                <w:kern w:val="0"/>
                <w:sz w:val="24"/>
              </w:rPr>
            </w:pPr>
          </w:p>
        </w:tc>
        <w:tc>
          <w:tcPr>
            <w:tcW w:w="1387" w:type="dxa"/>
            <w:tcBorders>
              <w:top w:val="nil"/>
              <w:left w:val="nil"/>
              <w:bottom w:val="nil"/>
              <w:right w:val="nil"/>
            </w:tcBorders>
            <w:vAlign w:val="center"/>
          </w:tcPr>
          <w:p>
            <w:pPr>
              <w:widowControl/>
              <w:jc w:val="left"/>
              <w:rPr>
                <w:rFonts w:ascii="宋体" w:cs="宋体"/>
                <w:kern w:val="0"/>
                <w:sz w:val="24"/>
              </w:rPr>
            </w:pPr>
          </w:p>
        </w:tc>
        <w:tc>
          <w:tcPr>
            <w:tcW w:w="2260" w:type="dxa"/>
            <w:tcBorders>
              <w:top w:val="nil"/>
              <w:left w:val="nil"/>
              <w:bottom w:val="nil"/>
              <w:right w:val="nil"/>
            </w:tcBorders>
            <w:vAlign w:val="center"/>
          </w:tcPr>
          <w:p>
            <w:pPr>
              <w:widowControl/>
              <w:jc w:val="left"/>
              <w:rPr>
                <w:rFonts w:ascii="宋体" w:cs="宋体"/>
                <w:kern w:val="0"/>
                <w:sz w:val="24"/>
              </w:rPr>
            </w:pP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反恐维稳基地综合楼及室内外附属设施项目建设款</w:t>
            </w: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玛纳斯县公安局</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预算数：</w:t>
            </w:r>
          </w:p>
        </w:tc>
        <w:tc>
          <w:tcPr>
            <w:tcW w:w="2293"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cs="宋体"/>
                <w:kern w:val="0"/>
                <w:sz w:val="24"/>
              </w:rPr>
              <w:t>0</w:t>
            </w:r>
          </w:p>
        </w:tc>
        <w:tc>
          <w:tcPr>
            <w:tcW w:w="138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执行数：</w:t>
            </w:r>
          </w:p>
        </w:tc>
        <w:tc>
          <w:tcPr>
            <w:tcW w:w="2260" w:type="dxa"/>
            <w:tcBorders>
              <w:top w:val="nil"/>
              <w:left w:val="nil"/>
              <w:bottom w:val="single" w:color="auto" w:sz="4" w:space="0"/>
              <w:right w:val="single" w:color="auto" w:sz="4" w:space="0"/>
            </w:tcBorders>
            <w:vAlign w:val="center"/>
          </w:tcPr>
          <w:p>
            <w:pPr>
              <w:jc w:val="right"/>
              <w:rPr>
                <w:rFonts w:ascii="仿宋" w:hAnsi="仿宋" w:eastAsia="仿宋" w:cs="宋体"/>
                <w:sz w:val="24"/>
              </w:rPr>
            </w:pPr>
            <w:r>
              <w:rPr>
                <w:rFonts w:ascii="仿宋" w:hAnsi="仿宋" w:eastAsia="仿宋"/>
              </w:rPr>
              <w:t xml:space="preserve">1103.63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7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其中：财政拨款</w:t>
            </w:r>
          </w:p>
        </w:tc>
        <w:tc>
          <w:tcPr>
            <w:tcW w:w="2293"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cs="宋体"/>
                <w:kern w:val="0"/>
                <w:sz w:val="24"/>
              </w:rPr>
              <w:t>0</w:t>
            </w:r>
          </w:p>
        </w:tc>
        <w:tc>
          <w:tcPr>
            <w:tcW w:w="138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其中：财政拨款</w:t>
            </w:r>
          </w:p>
        </w:tc>
        <w:tc>
          <w:tcPr>
            <w:tcW w:w="2260" w:type="dxa"/>
            <w:tcBorders>
              <w:top w:val="nil"/>
              <w:left w:val="nil"/>
              <w:bottom w:val="single" w:color="auto" w:sz="4" w:space="0"/>
              <w:right w:val="single" w:color="auto" w:sz="4" w:space="0"/>
            </w:tcBorders>
            <w:vAlign w:val="center"/>
          </w:tcPr>
          <w:p>
            <w:pPr>
              <w:widowControl/>
              <w:jc w:val="right"/>
              <w:rPr>
                <w:rFonts w:ascii="宋体" w:cs="宋体"/>
                <w:kern w:val="0"/>
                <w:sz w:val="24"/>
              </w:rPr>
            </w:pP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7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其他资金</w:t>
            </w:r>
          </w:p>
        </w:tc>
        <w:tc>
          <w:tcPr>
            <w:tcW w:w="2293"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cs="宋体"/>
                <w:kern w:val="0"/>
                <w:sz w:val="24"/>
              </w:rPr>
              <w:t>0</w:t>
            </w:r>
          </w:p>
        </w:tc>
        <w:tc>
          <w:tcPr>
            <w:tcW w:w="138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其他资金</w:t>
            </w:r>
          </w:p>
        </w:tc>
        <w:tc>
          <w:tcPr>
            <w:tcW w:w="2260"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hint="eastAsia" w:ascii="宋体" w:hAnsi="宋体" w:cs="宋体"/>
                <w:kern w:val="0"/>
                <w:sz w:val="24"/>
              </w:rPr>
              <w:t>　</w:t>
            </w:r>
          </w:p>
          <w:p>
            <w:pPr>
              <w:jc w:val="right"/>
              <w:rPr>
                <w:rFonts w:ascii="仿宋" w:hAnsi="仿宋" w:eastAsia="仿宋" w:cs="宋体"/>
                <w:sz w:val="24"/>
              </w:rPr>
            </w:pPr>
            <w:r>
              <w:rPr>
                <w:rFonts w:ascii="仿宋" w:hAnsi="仿宋" w:eastAsia="仿宋"/>
              </w:rPr>
              <w:t xml:space="preserve">1103.63 </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年度目标完成情况</w:t>
            </w:r>
          </w:p>
        </w:tc>
        <w:tc>
          <w:tcPr>
            <w:tcW w:w="4993"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预期目标</w:t>
            </w:r>
          </w:p>
        </w:tc>
        <w:tc>
          <w:tcPr>
            <w:tcW w:w="3647"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实际完成目标</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993" w:type="dxa"/>
            <w:gridSpan w:val="4"/>
            <w:vMerge w:val="restart"/>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减少违反犯罪事件，及时监控全县各地，预防严重违法犯罪事故发生，改善办公环境，从而提高办公效率，提高接警处置效率，充分发挥公安职能，维护社会稳定。</w:t>
            </w:r>
          </w:p>
        </w:tc>
        <w:tc>
          <w:tcPr>
            <w:tcW w:w="3647"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减少违反犯罪事件，及时监控全县各地，预防严重违法犯罪事故发生，改善办公环境，从而提高办公效率，提高接警处置效率，充分发挥公安职能，维护社会稳定。</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993"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c>
          <w:tcPr>
            <w:tcW w:w="364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993"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c>
          <w:tcPr>
            <w:tcW w:w="364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r>
      <w:tr>
        <w:tblPrEx>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二级指标</w:t>
            </w:r>
          </w:p>
        </w:tc>
        <w:tc>
          <w:tcPr>
            <w:tcW w:w="2293"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三级指标</w:t>
            </w:r>
          </w:p>
        </w:tc>
        <w:tc>
          <w:tcPr>
            <w:tcW w:w="138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实际完成指标值（包含数字及文字描述）</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restart"/>
            <w:tcBorders>
              <w:top w:val="nil"/>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项目完成指标</w:t>
            </w:r>
          </w:p>
        </w:tc>
        <w:tc>
          <w:tcPr>
            <w:tcW w:w="140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数量指标</w:t>
            </w:r>
          </w:p>
        </w:tc>
        <w:tc>
          <w:tcPr>
            <w:tcW w:w="2293"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项目投资金额</w:t>
            </w:r>
          </w:p>
        </w:tc>
        <w:tc>
          <w:tcPr>
            <w:tcW w:w="138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仿宋" w:hAnsi="仿宋" w:eastAsia="仿宋"/>
              </w:rPr>
              <w:t>1103.63</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仿宋" w:hAnsi="仿宋" w:eastAsia="仿宋"/>
              </w:rPr>
              <w:t>1103.63</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4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293"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建筑年限</w:t>
            </w:r>
          </w:p>
        </w:tc>
        <w:tc>
          <w:tcPr>
            <w:tcW w:w="1387"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val="en-US" w:eastAsia="zh-CN"/>
              </w:rPr>
              <w:t>2年</w:t>
            </w:r>
          </w:p>
        </w:tc>
        <w:tc>
          <w:tcPr>
            <w:tcW w:w="22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val="en-US" w:eastAsia="zh-CN"/>
              </w:rPr>
              <w:t>2年</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nil"/>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质量指标</w:t>
            </w:r>
          </w:p>
        </w:tc>
        <w:tc>
          <w:tcPr>
            <w:tcW w:w="2293"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专项资金依法执行率</w:t>
            </w:r>
          </w:p>
        </w:tc>
        <w:tc>
          <w:tcPr>
            <w:tcW w:w="138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时效指标</w:t>
            </w:r>
          </w:p>
        </w:tc>
        <w:tc>
          <w:tcPr>
            <w:tcW w:w="2293"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资金执行率</w:t>
            </w:r>
          </w:p>
        </w:tc>
        <w:tc>
          <w:tcPr>
            <w:tcW w:w="138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vAlign w:val="center"/>
          </w:tcPr>
          <w:p>
            <w:pPr>
              <w:widowControl/>
              <w:ind w:firstLine="240" w:firstLineChars="100"/>
              <w:jc w:val="left"/>
              <w:rPr>
                <w:rFonts w:ascii="宋体" w:cs="宋体"/>
                <w:kern w:val="0"/>
                <w:sz w:val="24"/>
              </w:rPr>
            </w:pPr>
            <w:r>
              <w:rPr>
                <w:rFonts w:hint="eastAsia" w:ascii="宋体" w:hAns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成本指标</w:t>
            </w:r>
          </w:p>
        </w:tc>
        <w:tc>
          <w:tcPr>
            <w:tcW w:w="2293"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上级专项资金金额</w:t>
            </w:r>
          </w:p>
        </w:tc>
        <w:tc>
          <w:tcPr>
            <w:tcW w:w="1387" w:type="dxa"/>
            <w:tcBorders>
              <w:top w:val="nil"/>
              <w:left w:val="nil"/>
              <w:bottom w:val="single" w:color="auto" w:sz="4" w:space="0"/>
              <w:right w:val="single" w:color="auto" w:sz="4" w:space="0"/>
            </w:tcBorders>
            <w:vAlign w:val="center"/>
          </w:tcPr>
          <w:p>
            <w:pPr>
              <w:widowControl/>
              <w:jc w:val="left"/>
              <w:rPr>
                <w:rFonts w:hint="default" w:ascii="宋体" w:cs="宋体"/>
                <w:kern w:val="0"/>
                <w:sz w:val="24"/>
                <w:lang w:val="en-US"/>
              </w:rPr>
            </w:pPr>
            <w:r>
              <w:rPr>
                <w:rFonts w:hint="eastAsia" w:ascii="宋体" w:hAnsi="宋体" w:cs="宋体"/>
                <w:kern w:val="0"/>
                <w:sz w:val="24"/>
                <w:lang w:val="en-US" w:eastAsia="zh-CN"/>
              </w:rPr>
              <w:t>1103.63</w:t>
            </w:r>
          </w:p>
        </w:tc>
        <w:tc>
          <w:tcPr>
            <w:tcW w:w="2260" w:type="dxa"/>
            <w:tcBorders>
              <w:top w:val="nil"/>
              <w:left w:val="nil"/>
              <w:bottom w:val="single" w:color="auto" w:sz="4" w:space="0"/>
              <w:right w:val="single" w:color="auto" w:sz="4" w:space="0"/>
            </w:tcBorders>
            <w:vAlign w:val="center"/>
          </w:tcPr>
          <w:p>
            <w:pPr>
              <w:widowControl/>
              <w:jc w:val="left"/>
              <w:rPr>
                <w:rFonts w:hint="default" w:ascii="宋体" w:cs="宋体"/>
                <w:kern w:val="0"/>
                <w:sz w:val="24"/>
                <w:lang w:val="en-US"/>
              </w:rPr>
            </w:pPr>
            <w:r>
              <w:rPr>
                <w:rFonts w:hint="eastAsia" w:ascii="宋体" w:hAnsi="宋体" w:cs="宋体"/>
                <w:kern w:val="0"/>
                <w:sz w:val="24"/>
                <w:lang w:val="en-US" w:eastAsia="zh-CN"/>
              </w:rPr>
              <w:t>1103.63</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经济效益指标</w:t>
            </w:r>
          </w:p>
        </w:tc>
        <w:tc>
          <w:tcPr>
            <w:tcW w:w="2293"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p>
        </w:tc>
        <w:tc>
          <w:tcPr>
            <w:tcW w:w="138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400"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社会效益指标</w:t>
            </w:r>
          </w:p>
        </w:tc>
        <w:tc>
          <w:tcPr>
            <w:tcW w:w="2293"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充分发挥公安职能，维护社会稳定</w:t>
            </w:r>
          </w:p>
        </w:tc>
        <w:tc>
          <w:tcPr>
            <w:tcW w:w="138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提升公安形象</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提升公安形象</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2293"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改善办公环境，方便群众办事，</w:t>
            </w:r>
          </w:p>
        </w:tc>
        <w:tc>
          <w:tcPr>
            <w:tcW w:w="138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群众满意度明显提高</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群众满意度明显提高</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生态效益指标</w:t>
            </w:r>
          </w:p>
        </w:tc>
        <w:tc>
          <w:tcPr>
            <w:tcW w:w="2293"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p>
        </w:tc>
        <w:tc>
          <w:tcPr>
            <w:tcW w:w="138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可持续影响指标</w:t>
            </w:r>
          </w:p>
        </w:tc>
        <w:tc>
          <w:tcPr>
            <w:tcW w:w="2293" w:type="dxa"/>
            <w:gridSpan w:val="2"/>
            <w:tcBorders>
              <w:top w:val="single" w:color="auto" w:sz="4" w:space="0"/>
              <w:left w:val="nil"/>
              <w:bottom w:val="single" w:color="auto" w:sz="4" w:space="0"/>
              <w:right w:val="single" w:color="000000"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eastAsia="zh-CN"/>
              </w:rPr>
              <w:t>社会面防控</w:t>
            </w:r>
          </w:p>
        </w:tc>
        <w:tc>
          <w:tcPr>
            <w:tcW w:w="138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满意度指标</w:t>
            </w:r>
          </w:p>
        </w:tc>
        <w:tc>
          <w:tcPr>
            <w:tcW w:w="2293"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138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&gt;90%</w:t>
            </w:r>
          </w:p>
        </w:tc>
      </w:tr>
    </w:tbl>
    <w:p>
      <w:pPr>
        <w:spacing w:line="540" w:lineRule="exact"/>
        <w:rPr>
          <w:rStyle w:val="19"/>
          <w:rFonts w:ascii="仿宋" w:hAnsi="仿宋" w:eastAsia="仿宋"/>
          <w:b w:val="0"/>
          <w:bCs/>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方正仿宋_GBK">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4</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CB0802"/>
    <w:multiLevelType w:val="singleLevel"/>
    <w:tmpl w:val="87CB0802"/>
    <w:lvl w:ilvl="0" w:tentative="0">
      <w:start w:val="2"/>
      <w:numFmt w:val="decimal"/>
      <w:suff w:val="nothing"/>
      <w:lvlText w:val="%1、"/>
      <w:lvlJc w:val="left"/>
    </w:lvl>
  </w:abstractNum>
  <w:abstractNum w:abstractNumId="1">
    <w:nsid w:val="5D0FB1CA"/>
    <w:multiLevelType w:val="singleLevel"/>
    <w:tmpl w:val="5D0FB1C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A1349"/>
    <w:rsid w:val="000B44B3"/>
    <w:rsid w:val="000E7402"/>
    <w:rsid w:val="00121AE4"/>
    <w:rsid w:val="00146AAD"/>
    <w:rsid w:val="001769BB"/>
    <w:rsid w:val="001B3A40"/>
    <w:rsid w:val="002039E6"/>
    <w:rsid w:val="00255E15"/>
    <w:rsid w:val="00296555"/>
    <w:rsid w:val="002977E8"/>
    <w:rsid w:val="003337E0"/>
    <w:rsid w:val="003C18BC"/>
    <w:rsid w:val="003D6F8B"/>
    <w:rsid w:val="00415DBF"/>
    <w:rsid w:val="004366A8"/>
    <w:rsid w:val="00464900"/>
    <w:rsid w:val="004852B0"/>
    <w:rsid w:val="004A7F62"/>
    <w:rsid w:val="00502BA7"/>
    <w:rsid w:val="005162F1"/>
    <w:rsid w:val="00535153"/>
    <w:rsid w:val="00542434"/>
    <w:rsid w:val="00554F82"/>
    <w:rsid w:val="0056390D"/>
    <w:rsid w:val="005719B0"/>
    <w:rsid w:val="005C50AE"/>
    <w:rsid w:val="005D10D6"/>
    <w:rsid w:val="00615C5C"/>
    <w:rsid w:val="00676C6C"/>
    <w:rsid w:val="006F709F"/>
    <w:rsid w:val="007806A5"/>
    <w:rsid w:val="007A7588"/>
    <w:rsid w:val="007C5E51"/>
    <w:rsid w:val="007D1D4C"/>
    <w:rsid w:val="007F1D5E"/>
    <w:rsid w:val="00855E3A"/>
    <w:rsid w:val="008858F2"/>
    <w:rsid w:val="008C60C2"/>
    <w:rsid w:val="008D24C5"/>
    <w:rsid w:val="008F7A1D"/>
    <w:rsid w:val="00922CB9"/>
    <w:rsid w:val="00935EB0"/>
    <w:rsid w:val="009C4E03"/>
    <w:rsid w:val="009E5CD9"/>
    <w:rsid w:val="009F4AB5"/>
    <w:rsid w:val="00A26421"/>
    <w:rsid w:val="00A337BA"/>
    <w:rsid w:val="00A4293B"/>
    <w:rsid w:val="00A67D50"/>
    <w:rsid w:val="00A8691A"/>
    <w:rsid w:val="00AA2202"/>
    <w:rsid w:val="00AC1946"/>
    <w:rsid w:val="00AF2231"/>
    <w:rsid w:val="00B40063"/>
    <w:rsid w:val="00B41F61"/>
    <w:rsid w:val="00BA46E6"/>
    <w:rsid w:val="00BF7F0C"/>
    <w:rsid w:val="00C042BC"/>
    <w:rsid w:val="00C56C72"/>
    <w:rsid w:val="00CA6457"/>
    <w:rsid w:val="00CC4FD7"/>
    <w:rsid w:val="00D17F2E"/>
    <w:rsid w:val="00D209D1"/>
    <w:rsid w:val="00D2223F"/>
    <w:rsid w:val="00D30354"/>
    <w:rsid w:val="00D82C00"/>
    <w:rsid w:val="00DF42A0"/>
    <w:rsid w:val="00E0665E"/>
    <w:rsid w:val="00E46C51"/>
    <w:rsid w:val="00E769FE"/>
    <w:rsid w:val="00EA2CBE"/>
    <w:rsid w:val="00EA3666"/>
    <w:rsid w:val="00EE7710"/>
    <w:rsid w:val="00EF2659"/>
    <w:rsid w:val="00F2607F"/>
    <w:rsid w:val="00F32FEE"/>
    <w:rsid w:val="00FB10BB"/>
    <w:rsid w:val="00FD0AD7"/>
    <w:rsid w:val="0D631F32"/>
    <w:rsid w:val="0F0C4725"/>
    <w:rsid w:val="14554603"/>
    <w:rsid w:val="14E34E6A"/>
    <w:rsid w:val="27FD7B4A"/>
    <w:rsid w:val="38A43D52"/>
    <w:rsid w:val="50537A8D"/>
    <w:rsid w:val="51570352"/>
    <w:rsid w:val="553C40C4"/>
    <w:rsid w:val="63777C42"/>
    <w:rsid w:val="63C42FF6"/>
    <w:rsid w:val="75CF2325"/>
    <w:rsid w:val="7A761B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0"/>
      <w:szCs w:val="20"/>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0"/>
      <w:szCs w:val="20"/>
    </w:rPr>
  </w:style>
  <w:style w:type="character" w:default="1" w:styleId="18">
    <w:name w:val="Default Paragraph Font"/>
    <w:semiHidden/>
    <w:qFormat/>
    <w:uiPriority w:val="99"/>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rPr>
  </w:style>
  <w:style w:type="character" w:styleId="20">
    <w:name w:val="Emphasis"/>
    <w:basedOn w:val="18"/>
    <w:qFormat/>
    <w:uiPriority w:val="99"/>
    <w:rPr>
      <w:rFonts w:ascii="Calibri" w:hAnsi="Calibri" w:cs="Times New Roman"/>
      <w:b/>
      <w:i/>
    </w:rPr>
  </w:style>
  <w:style w:type="character" w:customStyle="1" w:styleId="21">
    <w:name w:val="Heading 1 Char"/>
    <w:basedOn w:val="18"/>
    <w:link w:val="2"/>
    <w:qFormat/>
    <w:locked/>
    <w:uiPriority w:val="99"/>
    <w:rPr>
      <w:rFonts w:ascii="Cambria" w:hAnsi="Cambria" w:eastAsia="宋体" w:cs="Times New Roman"/>
      <w:b/>
      <w:kern w:val="32"/>
      <w:sz w:val="32"/>
    </w:rPr>
  </w:style>
  <w:style w:type="character" w:customStyle="1" w:styleId="22">
    <w:name w:val="Heading 2 Char"/>
    <w:basedOn w:val="18"/>
    <w:link w:val="3"/>
    <w:semiHidden/>
    <w:qFormat/>
    <w:locked/>
    <w:uiPriority w:val="99"/>
    <w:rPr>
      <w:rFonts w:ascii="Cambria" w:hAnsi="Cambria" w:eastAsia="宋体" w:cs="Times New Roman"/>
      <w:b/>
      <w:i/>
      <w:sz w:val="28"/>
    </w:rPr>
  </w:style>
  <w:style w:type="character" w:customStyle="1" w:styleId="23">
    <w:name w:val="Heading 3 Char"/>
    <w:basedOn w:val="18"/>
    <w:link w:val="4"/>
    <w:semiHidden/>
    <w:qFormat/>
    <w:locked/>
    <w:uiPriority w:val="99"/>
    <w:rPr>
      <w:rFonts w:ascii="Cambria" w:hAnsi="Cambria" w:eastAsia="宋体" w:cs="Times New Roman"/>
      <w:b/>
      <w:sz w:val="26"/>
    </w:rPr>
  </w:style>
  <w:style w:type="character" w:customStyle="1" w:styleId="24">
    <w:name w:val="Heading 4 Char"/>
    <w:basedOn w:val="18"/>
    <w:link w:val="5"/>
    <w:semiHidden/>
    <w:qFormat/>
    <w:locked/>
    <w:uiPriority w:val="99"/>
    <w:rPr>
      <w:rFonts w:cs="Times New Roman"/>
      <w:b/>
      <w:sz w:val="28"/>
    </w:rPr>
  </w:style>
  <w:style w:type="character" w:customStyle="1" w:styleId="25">
    <w:name w:val="Heading 5 Char"/>
    <w:basedOn w:val="18"/>
    <w:link w:val="6"/>
    <w:semiHidden/>
    <w:qFormat/>
    <w:locked/>
    <w:uiPriority w:val="99"/>
    <w:rPr>
      <w:rFonts w:cs="Times New Roman"/>
      <w:b/>
      <w:i/>
      <w:sz w:val="26"/>
    </w:rPr>
  </w:style>
  <w:style w:type="character" w:customStyle="1" w:styleId="26">
    <w:name w:val="Heading 6 Char"/>
    <w:basedOn w:val="18"/>
    <w:link w:val="7"/>
    <w:semiHidden/>
    <w:qFormat/>
    <w:locked/>
    <w:uiPriority w:val="99"/>
    <w:rPr>
      <w:rFonts w:cs="Times New Roman"/>
      <w:b/>
    </w:rPr>
  </w:style>
  <w:style w:type="character" w:customStyle="1" w:styleId="27">
    <w:name w:val="Heading 7 Char"/>
    <w:basedOn w:val="18"/>
    <w:link w:val="8"/>
    <w:semiHidden/>
    <w:qFormat/>
    <w:locked/>
    <w:uiPriority w:val="99"/>
    <w:rPr>
      <w:rFonts w:cs="Times New Roman"/>
      <w:sz w:val="24"/>
    </w:rPr>
  </w:style>
  <w:style w:type="character" w:customStyle="1" w:styleId="28">
    <w:name w:val="Heading 8 Char"/>
    <w:basedOn w:val="18"/>
    <w:link w:val="9"/>
    <w:semiHidden/>
    <w:qFormat/>
    <w:locked/>
    <w:uiPriority w:val="99"/>
    <w:rPr>
      <w:rFonts w:cs="Times New Roman"/>
      <w:i/>
      <w:sz w:val="24"/>
    </w:rPr>
  </w:style>
  <w:style w:type="character" w:customStyle="1" w:styleId="29">
    <w:name w:val="Heading 9 Char"/>
    <w:basedOn w:val="18"/>
    <w:link w:val="10"/>
    <w:semiHidden/>
    <w:qFormat/>
    <w:locked/>
    <w:uiPriority w:val="99"/>
    <w:rPr>
      <w:rFonts w:ascii="Cambria" w:hAnsi="Cambria" w:eastAsia="宋体" w:cs="Times New Roman"/>
    </w:rPr>
  </w:style>
  <w:style w:type="character" w:customStyle="1" w:styleId="30">
    <w:name w:val="Balloon Text Char"/>
    <w:basedOn w:val="18"/>
    <w:link w:val="11"/>
    <w:semiHidden/>
    <w:qFormat/>
    <w:locked/>
    <w:uiPriority w:val="99"/>
    <w:rPr>
      <w:rFonts w:ascii="Times New Roman" w:hAnsi="Times New Roman" w:eastAsia="宋体" w:cs="Times New Roman"/>
      <w:kern w:val="2"/>
      <w:sz w:val="18"/>
    </w:rPr>
  </w:style>
  <w:style w:type="character" w:customStyle="1" w:styleId="31">
    <w:name w:val="Footer Char"/>
    <w:basedOn w:val="18"/>
    <w:link w:val="12"/>
    <w:qFormat/>
    <w:locked/>
    <w:uiPriority w:val="99"/>
    <w:rPr>
      <w:rFonts w:ascii="Calibri" w:hAnsi="Calibri" w:eastAsia="宋体" w:cs="Times New Roman"/>
      <w:kern w:val="2"/>
      <w:sz w:val="18"/>
    </w:rPr>
  </w:style>
  <w:style w:type="character" w:customStyle="1" w:styleId="32">
    <w:name w:val="Header Char"/>
    <w:basedOn w:val="18"/>
    <w:link w:val="13"/>
    <w:qFormat/>
    <w:locked/>
    <w:uiPriority w:val="99"/>
    <w:rPr>
      <w:rFonts w:ascii="Calibri" w:hAnsi="Calibri" w:eastAsia="宋体" w:cs="Times New Roman"/>
      <w:kern w:val="2"/>
      <w:sz w:val="18"/>
    </w:rPr>
  </w:style>
  <w:style w:type="character" w:customStyle="1" w:styleId="33">
    <w:name w:val="Subtitle Char"/>
    <w:basedOn w:val="18"/>
    <w:link w:val="14"/>
    <w:qFormat/>
    <w:locked/>
    <w:uiPriority w:val="99"/>
    <w:rPr>
      <w:rFonts w:ascii="Cambria" w:hAnsi="Cambria" w:eastAsia="宋体" w:cs="Times New Roman"/>
      <w:sz w:val="24"/>
    </w:rPr>
  </w:style>
  <w:style w:type="character" w:customStyle="1" w:styleId="34">
    <w:name w:val="Title Char"/>
    <w:basedOn w:val="18"/>
    <w:link w:val="16"/>
    <w:qFormat/>
    <w:locked/>
    <w:uiPriority w:val="99"/>
    <w:rPr>
      <w:rFonts w:ascii="Cambria" w:hAnsi="Cambria" w:eastAsia="宋体" w:cs="Times New Roman"/>
      <w:b/>
      <w:kern w:val="28"/>
      <w:sz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Quote Char"/>
    <w:basedOn w:val="18"/>
    <w:link w:val="37"/>
    <w:qFormat/>
    <w:locked/>
    <w:uiPriority w:val="99"/>
    <w:rPr>
      <w:rFonts w:cs="Times New Roman"/>
      <w:i/>
      <w:sz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0"/>
    </w:rPr>
  </w:style>
  <w:style w:type="character" w:customStyle="1" w:styleId="40">
    <w:name w:val="Intense Quote Char"/>
    <w:basedOn w:val="18"/>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b/>
      <w:i/>
      <w:sz w:val="24"/>
      <w:u w:val="single"/>
    </w:rPr>
  </w:style>
  <w:style w:type="character" w:customStyle="1" w:styleId="43">
    <w:name w:val="不明显参考1"/>
    <w:qFormat/>
    <w:uiPriority w:val="99"/>
    <w:rPr>
      <w:sz w:val="24"/>
      <w:u w:val="single"/>
    </w:rPr>
  </w:style>
  <w:style w:type="character" w:customStyle="1" w:styleId="44">
    <w:name w:val="明显参考1"/>
    <w:qFormat/>
    <w:uiPriority w:val="99"/>
    <w:rPr>
      <w:b/>
      <w:sz w:val="24"/>
      <w:u w:val="single"/>
    </w:rPr>
  </w:style>
  <w:style w:type="character" w:customStyle="1" w:styleId="45">
    <w:name w:val="书籍标题1"/>
    <w:qFormat/>
    <w:uiPriority w:val="99"/>
    <w:rPr>
      <w:rFonts w:ascii="Cambria" w:hAnsi="Cambria" w:eastAsia="宋体"/>
      <w:b/>
      <w:i/>
      <w:sz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6</Pages>
  <Words>361</Words>
  <Characters>2062</Characters>
  <Lines>0</Lines>
  <Paragraphs>0</Paragraphs>
  <TotalTime>1</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2019-10-25T10:10:16Z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