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附件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  <w:t>玛纳斯县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val="en-US" w:eastAsia="zh-CN"/>
        </w:rPr>
        <w:t>中信国安葡萄酒业生态原产地产品保护认证项目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  <w:t>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both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both"/>
        <w:rPr>
          <w:rFonts w:hint="eastAsia" w:hAnsi="宋体" w:eastAsia="仿宋_GB2312" w:cs="宋体"/>
          <w:kern w:val="0"/>
          <w:sz w:val="36"/>
          <w:szCs w:val="36"/>
        </w:rPr>
      </w:pPr>
    </w:p>
    <w:p>
      <w:pPr>
        <w:spacing w:line="540" w:lineRule="exact"/>
        <w:jc w:val="both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中信国安葡萄酒业生态原产地产品保护认证项目</w:t>
      </w:r>
    </w:p>
    <w:p>
      <w:pPr>
        <w:spacing w:line="540" w:lineRule="exact"/>
        <w:jc w:val="center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实施单位（公章）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:新疆中信国安葡萄酒业有限公司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主管部门（公章）：玛纳斯县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商务和经济信息化委员会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张建坤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17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67"/>
        <w:jc w:val="both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主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0"/>
          <w:szCs w:val="32"/>
        </w:rPr>
        <w:t>玛纳斯县商务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0"/>
          <w:szCs w:val="32"/>
          <w:lang w:eastAsia="zh-CN"/>
        </w:rPr>
        <w:t>经信委现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0"/>
          <w:szCs w:val="32"/>
        </w:rPr>
        <w:t>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0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0"/>
          <w:szCs w:val="32"/>
        </w:rPr>
        <w:t>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0"/>
          <w:szCs w:val="32"/>
          <w:lang w:eastAsia="zh-CN"/>
        </w:rPr>
        <w:t>，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要负责有关内外贸易、国内外经济技术合作、外商投资、经济和在信息化、有趣管路工作等方面的政策、法规和方针政策，提出县内外贸易、新型工业化和信息化发展的战略和建议，研究制定相关政策措施，并组织实施和监督检查；协调解决招商引资、内外贸易、工业化和信息化进程中的重大问题。制定全县内外贸易、经济和信息化发展规划、年度计划、并组织实施；贯彻落实国家、区、州产业政策，制定全县内外贸易、工业和信息化产业优化布局、结构调整的政策措施并组织实施。负责全县对外投资工作，指导、协调对外投资审批限额以上外商投资企业合同、章程；监督检查外商投资企业执行有关法律法规、合同情况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7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40" w:lineRule="exact"/>
        <w:jc w:val="both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 xml:space="preserve">    中信国安葡萄酒业生态原产地产品保护认证项目</w:t>
      </w:r>
      <w:r>
        <w:rPr>
          <w:rFonts w:hint="eastAsia" w:hAnsi="宋体" w:eastAsia="仿宋_GB2312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</w:rPr>
        <w:t>促进了玛纳斯县葡萄酒产业的种植、技术创新、提高了产业知名度，引领和带动玛纳斯县葡萄酒行业发展</w:t>
      </w:r>
    </w:p>
    <w:p>
      <w:pPr>
        <w:numPr>
          <w:ilvl w:val="0"/>
          <w:numId w:val="1"/>
        </w:numPr>
        <w:spacing w:line="540" w:lineRule="exact"/>
        <w:ind w:firstLine="564" w:firstLineChars="181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项目基本性质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：</w:t>
      </w:r>
    </w:p>
    <w:p>
      <w:pP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 xml:space="preserve">  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中信国安葡萄酒业生态原产地产品保护认证项目</w:t>
      </w:r>
      <w:r>
        <w:rPr>
          <w:rFonts w:hint="eastAsia" w:hAnsi="宋体" w:eastAsia="仿宋_GB2312" w:cs="宋体"/>
          <w:kern w:val="0"/>
          <w:sz w:val="32"/>
          <w:szCs w:val="32"/>
          <w:lang w:eastAsia="zh-CN"/>
        </w:rPr>
        <w:t>补贴资金</w:t>
      </w:r>
    </w:p>
    <w:p>
      <w:pPr>
        <w:spacing w:line="540" w:lineRule="exact"/>
        <w:ind w:firstLine="564" w:firstLineChars="181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二、项目建成后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用途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：</w:t>
      </w:r>
    </w:p>
    <w:p>
      <w:pPr>
        <w:spacing w:line="540" w:lineRule="exact"/>
        <w:jc w:val="both"/>
        <w:rPr>
          <w:rFonts w:hint="eastAsia" w:ascii="仿宋" w:hAnsi="仿宋" w:eastAsia="仿宋"/>
          <w:sz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 xml:space="preserve"> 中信国安葡萄酒业生态原产地产品保护认证项目</w:t>
      </w:r>
      <w:r>
        <w:rPr>
          <w:rFonts w:hint="eastAsia" w:hAnsi="宋体" w:eastAsia="仿宋_GB2312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</w:rPr>
        <w:t>促进了玛纳斯县葡萄酒产业的种植、技术创新、提高了产业知名度，引领和带动玛纳斯县葡萄酒行业发展</w:t>
      </w:r>
      <w:r>
        <w:rPr>
          <w:rFonts w:hint="eastAsia" w:ascii="仿宋" w:hAnsi="仿宋" w:eastAsia="仿宋"/>
          <w:sz w:val="32"/>
          <w:lang w:eastAsia="zh-CN"/>
        </w:rPr>
        <w:t>。</w:t>
      </w:r>
    </w:p>
    <w:p>
      <w:pPr>
        <w:spacing w:line="540" w:lineRule="exact"/>
        <w:jc w:val="both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lang w:val="en-US" w:eastAsia="zh-CN"/>
        </w:rPr>
        <w:t xml:space="preserve">    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三、项目建设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主要内容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</w:rPr>
        <w:t>中信国安葡萄酒质量提升和产地、真实性识别关键技术与标准的研究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7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本级财政安排项目总投资150万元，用于中信国安葡萄酒质量提升和产地、真实性识别关键技术与标准的研究。</w:t>
      </w:r>
    </w:p>
    <w:p>
      <w:pPr>
        <w:numPr>
          <w:ilvl w:val="0"/>
          <w:numId w:val="2"/>
        </w:numPr>
        <w:spacing w:line="540" w:lineRule="exact"/>
        <w:ind w:firstLine="567" w:firstLineChars="181"/>
        <w:rPr>
          <w:rStyle w:val="17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项目资金实际使用情况分析</w:t>
      </w:r>
    </w:p>
    <w:p>
      <w:pPr>
        <w:spacing w:line="540" w:lineRule="exact"/>
        <w:ind w:firstLine="567" w:firstLineChars="181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项目总投资150万元，本级财政安排项目总投资150万元，用于中信国安葡萄酒质量提升和产地、真实性识别关键技术与标准的研究。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中信国安葡萄酒业获得生态原产地产品保护认证1个，引进优质酿酒葡萄品种253种，完成率100%。</w:t>
      </w:r>
    </w:p>
    <w:p>
      <w:pPr>
        <w:spacing w:line="540" w:lineRule="exact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  <w:lang w:val="en-US" w:eastAsia="zh-CN"/>
        </w:rPr>
        <w:t xml:space="preserve">   </w:t>
      </w: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24" w:firstLineChars="20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严格按照项目用途、要求及项目实施情况，根据财经会议纪要，并按照财务制度要求审核票据，票据合规、合法后拨付资金。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7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严格按照项目用途、要求及项目实施情况，配合指导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中信国安葡萄酒业获得生态原产地产品保护认证1个，引进优质酿酒葡萄品种253种，</w:t>
      </w:r>
      <w:r>
        <w:rPr>
          <w:rFonts w:hint="eastAsia" w:ascii="仿宋" w:hAnsi="仿宋" w:eastAsia="仿宋"/>
          <w:sz w:val="32"/>
          <w:szCs w:val="32"/>
        </w:rPr>
        <w:t>促进</w:t>
      </w:r>
      <w:r>
        <w:rPr>
          <w:rFonts w:hint="eastAsia" w:ascii="仿宋" w:hAnsi="仿宋" w:eastAsia="仿宋"/>
          <w:sz w:val="32"/>
          <w:szCs w:val="32"/>
          <w:lang w:eastAsia="zh-CN"/>
        </w:rPr>
        <w:t>了</w:t>
      </w:r>
      <w:r>
        <w:rPr>
          <w:rFonts w:hint="eastAsia" w:ascii="仿宋" w:hAnsi="仿宋" w:eastAsia="仿宋"/>
          <w:sz w:val="32"/>
          <w:szCs w:val="32"/>
        </w:rPr>
        <w:t>玛纳斯县葡萄酒产业的种植、技术创新、提高</w:t>
      </w:r>
      <w:r>
        <w:rPr>
          <w:rFonts w:hint="eastAsia" w:ascii="仿宋" w:hAnsi="仿宋" w:eastAsia="仿宋"/>
          <w:sz w:val="32"/>
          <w:szCs w:val="32"/>
          <w:lang w:eastAsia="zh-CN"/>
        </w:rPr>
        <w:t>了</w:t>
      </w:r>
      <w:r>
        <w:rPr>
          <w:rFonts w:hint="eastAsia" w:ascii="仿宋" w:hAnsi="仿宋" w:eastAsia="仿宋"/>
          <w:sz w:val="32"/>
          <w:szCs w:val="32"/>
        </w:rPr>
        <w:t>产业知名度，引领和带动玛纳斯县葡萄酒行业发展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24" w:firstLineChars="20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中信国安葡萄酒业与中国食品发酵研究院、玛纳斯县政府联合建立《新疆玛纳斯葡萄酒产区风土与识别技术联合研究基地》，由专人负责申报生态原产地产品保护认证；建立新疆天山北麓酿酒葡萄种植资源中心和苗木繁育中心，由专人负责引进优质酿酒葡萄品种253种。在整个项目实施中，根据项目实施情况，严格按资金拨付程序拨付。</w:t>
      </w:r>
    </w:p>
    <w:p>
      <w:pPr>
        <w:spacing w:line="540" w:lineRule="exact"/>
        <w:ind w:firstLine="640"/>
        <w:rPr>
          <w:rStyle w:val="17"/>
          <w:rFonts w:ascii="黑体" w:hAnsi="黑体" w:eastAsia="黑体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7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67" w:firstLineChars="181"/>
        <w:rPr>
          <w:rFonts w:hint="eastAsia" w:ascii="仿宋" w:hAnsi="仿宋" w:eastAsia="仿宋"/>
          <w:sz w:val="32"/>
          <w:lang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中信国安葡萄酒业生态原产地产品保护认证项目。</w:t>
      </w:r>
      <w:r>
        <w:rPr>
          <w:rFonts w:hint="eastAsia" w:ascii="仿宋" w:hAnsi="仿宋" w:eastAsia="仿宋"/>
          <w:sz w:val="32"/>
        </w:rPr>
        <w:t>获得生态原产地产品保护认证证书</w:t>
      </w:r>
      <w:r>
        <w:rPr>
          <w:rFonts w:hint="eastAsia" w:ascii="仿宋" w:hAnsi="仿宋" w:eastAsia="仿宋"/>
          <w:sz w:val="32"/>
          <w:lang w:eastAsia="zh-CN"/>
        </w:rPr>
        <w:t>、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引进优质酿酒葡萄品种253种、建立新疆天山北麓酿酒葡萄种植资源中心和苗木繁育中心，</w:t>
      </w:r>
      <w:r>
        <w:rPr>
          <w:rFonts w:hint="eastAsia" w:ascii="仿宋" w:hAnsi="仿宋" w:eastAsia="仿宋"/>
          <w:sz w:val="32"/>
        </w:rPr>
        <w:t>促进了玛纳斯县葡萄酒产业的种植、技术创新、提高了产业知名度，引领和带动玛纳斯县葡萄酒行业发展</w:t>
      </w:r>
      <w:r>
        <w:rPr>
          <w:rFonts w:hint="eastAsia" w:ascii="仿宋" w:hAnsi="仿宋" w:eastAsia="仿宋"/>
          <w:sz w:val="32"/>
          <w:lang w:eastAsia="zh-CN"/>
        </w:rPr>
        <w:t>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640"/>
        <w:rPr>
          <w:rFonts w:hint="eastAsia" w:ascii="仿宋" w:hAnsi="仿宋" w:eastAsia="仿宋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项目已完成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7" w:firstLineChars="181"/>
        <w:rPr>
          <w:rFonts w:hint="eastAsia" w:ascii="楷体" w:hAnsi="楷体" w:eastAsia="楷体"/>
          <w:b w:val="0"/>
          <w:bCs/>
          <w:spacing w:val="-4"/>
          <w:sz w:val="32"/>
          <w:szCs w:val="32"/>
          <w:lang w:eastAsia="zh-CN"/>
        </w:rPr>
      </w:pPr>
      <w:r>
        <w:rPr>
          <w:rFonts w:hint="eastAsia" w:ascii="楷体" w:hAnsi="楷体" w:eastAsia="楷体"/>
          <w:b w:val="0"/>
          <w:bCs/>
          <w:spacing w:val="-4"/>
          <w:sz w:val="32"/>
          <w:szCs w:val="32"/>
          <w:lang w:eastAsia="zh-CN"/>
        </w:rPr>
        <w:t>积极争取项目资金，利用财政补贴资金进一步促进企业发展。</w:t>
      </w:r>
    </w:p>
    <w:p>
      <w:pPr>
        <w:spacing w:line="540" w:lineRule="exact"/>
        <w:ind w:firstLine="567" w:firstLineChars="181"/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（二）主要经验及做法、存在问题和建议</w:t>
      </w:r>
    </w:p>
    <w:p>
      <w:pPr>
        <w:spacing w:line="540" w:lineRule="exact"/>
        <w:ind w:firstLine="567" w:firstLineChars="181"/>
        <w:rPr>
          <w:rFonts w:hint="eastAsia" w:ascii="仿宋" w:hAnsi="仿宋" w:eastAsia="仿宋"/>
          <w:sz w:val="32"/>
          <w:lang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中信国安葡萄酒业积极与中国食品发酵研究院、玛纳斯县政府联合建立《新疆玛纳斯葡萄酒产区风土与识别技术联合研究基地》，派专人负责申报生态原产地产品保护认证，引进优质酿酒葡萄品种；建立新疆天山北麓酿酒葡萄种植资源中心和苗木繁育中心，在整个项目实施中，根据项目实施情况，严格按资金拨付程序拨付。</w:t>
      </w:r>
      <w:r>
        <w:rPr>
          <w:rFonts w:hint="eastAsia" w:ascii="仿宋" w:hAnsi="仿宋" w:eastAsia="仿宋"/>
          <w:sz w:val="32"/>
        </w:rPr>
        <w:t>促进了玛纳斯县葡萄酒产业的种植、技术创新、提高了产业知名度，引领和带动玛纳斯县葡萄酒行业发展</w:t>
      </w:r>
      <w:r>
        <w:rPr>
          <w:rFonts w:hint="eastAsia" w:ascii="仿宋" w:hAnsi="仿宋" w:eastAsia="仿宋"/>
          <w:sz w:val="32"/>
          <w:lang w:eastAsia="zh-CN"/>
        </w:rPr>
        <w:t>。</w:t>
      </w:r>
    </w:p>
    <w:p>
      <w:pPr>
        <w:spacing w:line="540" w:lineRule="exact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624" w:firstLineChars="20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无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540" w:lineRule="exact"/>
        <w:ind w:firstLine="624" w:firstLineChars="20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项目实施后达到了预期目标，档案资料齐全，财务管理规范。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《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玛纳斯县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财政项目支出绩效自评表》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9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686"/>
        <w:gridCol w:w="194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540" w:lineRule="exact"/>
              <w:ind w:firstLine="567"/>
              <w:rPr>
                <w:rFonts w:hint="eastAsia" w:hAnsi="宋体" w:eastAsia="仿宋_GB2312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hAnsi="宋体" w:eastAsia="仿宋_GB2312" w:cs="宋体"/>
                <w:kern w:val="0"/>
                <w:sz w:val="36"/>
                <w:szCs w:val="36"/>
                <w:lang w:val="en-US" w:eastAsia="zh-CN"/>
              </w:rPr>
              <w:t xml:space="preserve">  </w:t>
            </w:r>
            <w:r>
              <w:rPr>
                <w:rStyle w:val="17"/>
                <w:rFonts w:hint="eastAsia" w:ascii="仿宋" w:hAnsi="仿宋" w:eastAsia="仿宋"/>
                <w:b w:val="0"/>
                <w:spacing w:val="-4"/>
                <w:sz w:val="32"/>
                <w:szCs w:val="32"/>
              </w:rPr>
              <w:t>《</w:t>
            </w:r>
            <w:r>
              <w:rPr>
                <w:rStyle w:val="17"/>
                <w:rFonts w:hint="eastAsia" w:ascii="仿宋" w:hAnsi="仿宋" w:eastAsia="仿宋"/>
                <w:b w:val="0"/>
                <w:spacing w:val="-4"/>
                <w:sz w:val="32"/>
                <w:szCs w:val="32"/>
                <w:lang w:eastAsia="zh-CN"/>
              </w:rPr>
              <w:t>玛纳斯县</w:t>
            </w:r>
            <w:r>
              <w:rPr>
                <w:rStyle w:val="17"/>
                <w:rFonts w:hint="eastAsia" w:ascii="仿宋" w:hAnsi="仿宋" w:eastAsia="仿宋"/>
                <w:b w:val="0"/>
                <w:spacing w:val="-4"/>
                <w:sz w:val="32"/>
                <w:szCs w:val="32"/>
              </w:rPr>
              <w:t>财政项目支出绩效自评表》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2018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both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中信国安葡萄酒业生态原产地产品保护认证项目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玛纳斯县商务经信委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150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150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254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26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0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26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中信国安葡萄酒质量提升和产地、真实性识别关键技术与标准的研究</w:t>
            </w:r>
          </w:p>
        </w:tc>
        <w:tc>
          <w:tcPr>
            <w:tcW w:w="40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中信国安葡萄酒质量提升和产地、真实性识别关键技术与标准的研究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生态原产地产品保护认证</w:t>
            </w: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证书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获得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生态原产地产品保护认证证书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Arial" w:hAnsi="Arial" w:cs="Arial"/>
                <w:kern w:val="0"/>
                <w:sz w:val="20"/>
                <w:szCs w:val="20"/>
                <w:lang w:val="en-US" w:eastAsia="zh-CN"/>
              </w:rPr>
              <w:t>1个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引进优质酿酒葡萄品种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253个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253个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获得率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成活率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abs>
                <w:tab w:val="left" w:pos="541"/>
              </w:tabs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%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%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项目实施时间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2018年1月1日至2018年12月30日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2018年1月1日至2018年12月30日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项目建设成本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150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葡萄酒产业的种植、技术创新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有所提升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有所提升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企业满意度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Arial" w:hAnsi="Arial" w:cs="Arial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Arial" w:hAnsi="Arial" w:cs="Arial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微软雅黑">
    <w:altName w:val="黑体"/>
    <w:panose1 w:val="020B0503020204020204"/>
    <w:charset w:val="86"/>
    <w:family w:val="script"/>
    <w:pitch w:val="default"/>
    <w:sig w:usb0="00000000" w:usb1="00000000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  <w:font w:name="黑体">
    <w:panose1 w:val="02010600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汉仪旗黑-55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文星标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文星仿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roman"/>
    <w:pitch w:val="default"/>
    <w:sig w:usb0="00000000" w:usb1="00000000" w:usb2="00000016" w:usb3="00000000" w:csb0="00040001" w:csb1="00000000"/>
  </w:font>
  <w:font w:name="方正楷体_GBK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Calibri">
    <w:panose1 w:val="020F0502020204030204"/>
    <w:charset w:val="00"/>
    <w:family w:val="decorative"/>
    <w:pitch w:val="default"/>
    <w:sig w:usb0="A00002EF" w:usb1="4000207B" w:usb2="00000000" w:usb3="00000000" w:csb0="200000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新宋体">
    <w:panose1 w:val="02010609030101010101"/>
    <w:charset w:val="86"/>
    <w:family w:val="modern"/>
    <w:pitch w:val="default"/>
    <w:sig w:usb0="00000003" w:usb1="080E0000" w:usb2="00000000" w:usb3="00000000" w:csb0="00040001" w:csb1="00000000"/>
  </w:font>
  <w:font w:name="Latha">
    <w:altName w:val="Palatino Linotype"/>
    <w:panose1 w:val="02000400000000000000"/>
    <w:charset w:val="00"/>
    <w:family w:val="auto"/>
    <w:pitch w:val="default"/>
    <w:sig w:usb0="00000000" w:usb1="00000000" w:usb2="00000000" w:usb3="00000000" w:csb0="00000000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仿宋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Adobe 宋体 Std L">
    <w:altName w:val="宋体"/>
    <w:panose1 w:val="00000000000000000000"/>
    <w:charset w:val="86"/>
    <w:family w:val="roman"/>
    <w:pitch w:val="default"/>
    <w:sig w:usb0="00000000" w:usb1="00000000" w:usb2="00000010" w:usb3="00000000" w:csb0="00060007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黑体">
    <w:panose1 w:val="02010600030101010101"/>
    <w:charset w:val="86"/>
    <w:family w:val="script"/>
    <w:pitch w:val="default"/>
    <w:sig w:usb0="00000001" w:usb1="080E0000" w:usb2="00000000" w:usb3="00000000" w:csb0="00040000" w:csb1="00000000"/>
  </w:font>
  <w:font w:name="文星简小标宋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黑体">
    <w:panose1 w:val="02010600030101010101"/>
    <w:charset w:val="86"/>
    <w:family w:val="swiss"/>
    <w:pitch w:val="default"/>
    <w:sig w:usb0="00000001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汉仪旗黑-55S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47637756">
    <w:nsid w:val="5C3F13FC"/>
    <w:multiLevelType w:val="singleLevel"/>
    <w:tmpl w:val="5C3F13FC"/>
    <w:lvl w:ilvl="0" w:tentative="1">
      <w:start w:val="1"/>
      <w:numFmt w:val="chineseCounting"/>
      <w:suff w:val="nothing"/>
      <w:lvlText w:val="%1、"/>
      <w:lvlJc w:val="left"/>
    </w:lvl>
  </w:abstractNum>
  <w:abstractNum w:abstractNumId="1547632912">
    <w:nsid w:val="5C3F0110"/>
    <w:multiLevelType w:val="singleLevel"/>
    <w:tmpl w:val="5C3F0110"/>
    <w:lvl w:ilvl="0" w:tentative="1">
      <w:start w:val="2"/>
      <w:numFmt w:val="chineseCounting"/>
      <w:suff w:val="nothing"/>
      <w:lvlText w:val="（%1）"/>
      <w:lvlJc w:val="left"/>
    </w:lvl>
  </w:abstractNum>
  <w:num w:numId="1">
    <w:abstractNumId w:val="1547637756"/>
  </w:num>
  <w:num w:numId="2">
    <w:abstractNumId w:val="15476329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56465"/>
    <w:rsid w:val="00121AE4"/>
    <w:rsid w:val="00146AAD"/>
    <w:rsid w:val="001B3A40"/>
    <w:rsid w:val="003C18BC"/>
    <w:rsid w:val="004366A8"/>
    <w:rsid w:val="00464900"/>
    <w:rsid w:val="00502BA7"/>
    <w:rsid w:val="005162F1"/>
    <w:rsid w:val="00535153"/>
    <w:rsid w:val="00554F82"/>
    <w:rsid w:val="0056390D"/>
    <w:rsid w:val="005719B0"/>
    <w:rsid w:val="005D10D6"/>
    <w:rsid w:val="007806A5"/>
    <w:rsid w:val="00855E3A"/>
    <w:rsid w:val="00922CB9"/>
    <w:rsid w:val="009B15F4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F42A0"/>
    <w:rsid w:val="00E46C51"/>
    <w:rsid w:val="00E769FE"/>
    <w:rsid w:val="00EA2CBE"/>
    <w:rsid w:val="00F32FEE"/>
    <w:rsid w:val="00FB10BB"/>
    <w:rsid w:val="038E7E59"/>
    <w:rsid w:val="072D2888"/>
    <w:rsid w:val="07E45CC7"/>
    <w:rsid w:val="0D736CDB"/>
    <w:rsid w:val="1373748C"/>
    <w:rsid w:val="159E22B8"/>
    <w:rsid w:val="15EE53C2"/>
    <w:rsid w:val="1A773398"/>
    <w:rsid w:val="1E9B21D1"/>
    <w:rsid w:val="20DE7729"/>
    <w:rsid w:val="219D076C"/>
    <w:rsid w:val="24DC661B"/>
    <w:rsid w:val="39FE58B7"/>
    <w:rsid w:val="406126CB"/>
    <w:rsid w:val="41346611"/>
    <w:rsid w:val="44DC19A4"/>
    <w:rsid w:val="51340694"/>
    <w:rsid w:val="544C7202"/>
    <w:rsid w:val="548D7A4F"/>
    <w:rsid w:val="553C40C4"/>
    <w:rsid w:val="55C31455"/>
    <w:rsid w:val="5B187F8A"/>
    <w:rsid w:val="5FBD7DD1"/>
    <w:rsid w:val="611A7498"/>
    <w:rsid w:val="62E2279B"/>
    <w:rsid w:val="63C42FF6"/>
    <w:rsid w:val="64043E20"/>
    <w:rsid w:val="64C57EE9"/>
    <w:rsid w:val="66B30F75"/>
    <w:rsid w:val="670D7BBC"/>
    <w:rsid w:val="67BF59FD"/>
    <w:rsid w:val="6BBA2684"/>
    <w:rsid w:val="778270A4"/>
    <w:rsid w:val="794050AA"/>
    <w:rsid w:val="7A7733E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6">
    <w:name w:val="Default Paragraph Font"/>
    <w:unhideWhenUsed/>
    <w:qFormat/>
    <w:uiPriority w:val="1"/>
  </w:style>
  <w:style w:type="table" w:default="1" w:styleId="1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6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6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6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6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6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6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6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6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6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6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6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6"/>
    <w:link w:val="33"/>
    <w:qFormat/>
    <w:uiPriority w:val="29"/>
    <w:rPr>
      <w:i/>
      <w:sz w:val="24"/>
      <w:szCs w:val="24"/>
    </w:rPr>
  </w:style>
  <w:style w:type="paragraph" w:customStyle="1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6"/>
    <w:link w:val="35"/>
    <w:qFormat/>
    <w:uiPriority w:val="30"/>
    <w:rPr>
      <w:b/>
      <w:i/>
      <w:sz w:val="24"/>
    </w:rPr>
  </w:style>
  <w:style w:type="character" w:customStyle="1" w:styleId="37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Intense Emphasis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39">
    <w:name w:val="Subtle Reference"/>
    <w:basedOn w:val="16"/>
    <w:qFormat/>
    <w:uiPriority w:val="31"/>
    <w:rPr>
      <w:sz w:val="24"/>
      <w:szCs w:val="24"/>
      <w:u w:val="single"/>
    </w:rPr>
  </w:style>
  <w:style w:type="character" w:customStyle="1" w:styleId="40">
    <w:name w:val="Intense Reference"/>
    <w:basedOn w:val="16"/>
    <w:qFormat/>
    <w:uiPriority w:val="32"/>
    <w:rPr>
      <w:b/>
      <w:sz w:val="24"/>
      <w:u w:val="single"/>
    </w:rPr>
  </w:style>
  <w:style w:type="character" w:customStyle="1" w:styleId="41">
    <w:name w:val="Book Title"/>
    <w:basedOn w:val="16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Heading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6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6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6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204</Words>
  <Characters>1164</Characters>
  <Lines>9</Lines>
  <Paragraphs>2</Paragraphs>
  <ScaleCrop>false</ScaleCrop>
  <LinksUpToDate>false</LinksUpToDate>
  <CharactersWithSpaces>1366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2019-01-15T02:33:00Z</cp:lastPrinted>
  <dcterms:modified xsi:type="dcterms:W3CDTF">2019-10-18T08:36:00Z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