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2018年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春节平价肉投放补贴项目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玛纳斯县农汇果蔬营销专业合作社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玛纳斯县商务和经济信息化委员会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单位主要职责是：贯彻执行国家、区、州商务、工业和信息化的法律法规和方针政策，提出工业和信息化发展规划和政策建议；拟订商务、工业和信息化发展的综合性政策、措施，并组织实施和监督检查；拟订玛纳斯县内外贸易、招商引资、对外经济合作、外商投资、对外投资中长期规划、年度计划，并组织实施；研究“一带一路”建设、区域经济合作、现代流通方式的发展趋势和流通体制改革并提出建议。监测分析工业经济运行态势，调节工业经济运行；拟订工业经济运行调控目标、政策措施；负责工业和信息化领域各行业的管理；负责工业和信息产业及信息化建设的技术改造投资管理，负责技术改造和投资项目审核、备案；拟订技术改造投资的有关政策措施；研究和规划本行政区域内技术改造项目投资方向和布局，引导企业、金融机构及社会资金投向；拟订工业和信息化领域技术创新政策措施；指导工业和信息化领域体制改革和管理创新；拟订工业和信息化领域资源节约和综合利用规划、政策；负责民爆行业管理；指导大宗产品批发市场规划和城市商业网点规划、商业体系建设工作，承担牵头协调整顿和规范市场经济秩序工作的责任。拟订玛纳斯县规范市场运行、流通秩序的政策，推动商务领域信用建设，指导商业信用销售；建立市场诚信公共服务平台，按有关规定对酒类流通、再生资源流通等特殊流通行业进行监督管理。指导外商投资工作。负责对外经济合作工作。制定电子商务发展规划和政策措施并组织实施；负责招商引资工作的协调、组织、管理；负责与自治区各地州县及内地各省市之间的横向经济联合协作。开展外引内联、对口支援及有关项目的对接落实工作；组织和参与各类商务领域交易会、洽谈会、博览会、展览会和有关招商活动。</w:t>
      </w:r>
    </w:p>
    <w:p>
      <w:pPr>
        <w:spacing w:line="540" w:lineRule="exact"/>
        <w:ind w:firstLine="640"/>
        <w:rPr>
          <w:rStyle w:val="5"/>
          <w:rFonts w:hint="default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机构设置情况玛纳斯县商务工信局无下属预算单位，下设 4个处室，分别是：党政办公室、工业股、商务股、信息化推进股。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为了进一步平抑春节期间蔬菜类价格，确保市场供应，政府采取补贴形式向市场计划投放蔬菜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80吨，预计近1.5万老百姓可享受补贴。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本级财政安排资金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106520元。用于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春节期间蔬菜类价格，确保市场供应，政府采取补贴形式向市场计划投放蔬菜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80吨，实际销售62.39吨，近1.5万老百姓享受补贴。</w:t>
      </w:r>
    </w:p>
    <w:p>
      <w:pPr>
        <w:spacing w:line="540" w:lineRule="exact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 w:firstLineChars="181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本级财政安排资金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106520元。用于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春节期间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2018年2月14日-2月18日共5天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蔬菜类价格补贴，投入蔬菜种类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11种，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设蔬菜直销店12个，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有近1.5万老百姓享受补贴。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蔬菜新鲜率达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90%以上，受益群众满意度达95%。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在全县设蔬菜直销点12个，根据投放数量平均到每天销售完为止，各销售点按实际销售量汇总上报，按实际销售量和补贴标准给予补助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2018年2月14日-2月18日共5天，由县商务经信委牵头，农汇果蔬合作社具体实施在12家蔬菜直销店投放平价菜，投此次投放活动组织有序，菜类质量全程监管，老百姓满意度较高。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平价菜投放由县商务经信委牵头组织协调，农业部门负责菜类质量监管，农汇果蔬合作社负责向12家蔬菜直销店批发蔬菜，确保了菜类投放有序进行。</w:t>
      </w:r>
    </w:p>
    <w:p>
      <w:pPr>
        <w:spacing w:line="540" w:lineRule="exact"/>
        <w:ind w:firstLine="64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5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春节期间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2018年2月14日-2月18日共5天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蔬菜类价格补贴，投入蔬菜种类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11种，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设蔬菜直销店12个，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有近1.5万老百姓享受补贴。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蔬菜新鲜率达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90%以上，受益群众满意度达95%。确保了春节市场供应的同时，主要平抑了节日期间市场物价。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bookmarkStart w:id="0" w:name="_GoBack"/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eastAsia="zh-CN"/>
        </w:rPr>
        <w:t>县经信委在两节期间做好市场调查，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确保了春节市场供应的同时，平抑节日期间市场物价。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（二）主要经验及做法、存在问题和建议</w:t>
      </w:r>
    </w:p>
    <w:bookmarkEnd w:id="0"/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eastAsia="zh-CN"/>
        </w:rPr>
        <w:t>县经信委在两节期间做好市场调查，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牵头组织协调，</w:t>
      </w: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eastAsia="zh-CN"/>
        </w:rPr>
        <w:t>前期确定好各小区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蔬菜直销店，农业部门负责菜类质量监管，农汇果蔬合作社负责向12家蔬菜直销店批发蔬菜，确保了菜类投放有序进行。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numPr>
          <w:ilvl w:val="0"/>
          <w:numId w:val="0"/>
        </w:numPr>
        <w:spacing w:line="540" w:lineRule="exact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2018年春节期间政府平价蔬菜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补贴资金请示、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2018年春节期间政府平价蔬菜投放补贴明细表。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通过项目到实施，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县商务经信委牵头，畜牧、公安等部门配合，乳泉牧业合作社具体实施投放平价肉，投放肉全部为现宰活体，严格检疫程序，投放活动实行实名登记、限量供应原则，每户限购1次，低保户可再享受额外补贴。此次投放活动组织有序，肉类质量全程监管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确保了节日市场供应的同时，平抑了节日期间市场物价。受益群众满意度达95%</w:t>
      </w:r>
    </w:p>
    <w:p>
      <w:pPr>
        <w:spacing w:line="540" w:lineRule="exact"/>
        <w:ind w:firstLine="640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624" w:firstLineChars="20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</w:pPr>
    </w:p>
    <w:p>
      <w:pPr>
        <w:spacing w:line="540" w:lineRule="exact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</w:rPr>
              <w:t xml:space="preserve">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</w:t>
            </w: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val="en-US" w:eastAsia="zh-CN"/>
              </w:rPr>
              <w:t>2018年</w:t>
            </w: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春节平价菜投放补贴项目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玛纳斯县商务和经济信息化委员会　</w:t>
            </w:r>
          </w:p>
        </w:tc>
      </w:tr>
      <w:tr>
        <w:tblPrEx>
          <w:tblLayout w:type="fixed"/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</w:p>
        </w:tc>
      </w:tr>
      <w:tr>
        <w:tblPrEx>
          <w:tblLayout w:type="fixed"/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80吨蔬菜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80吨蔬菜</w:t>
            </w:r>
          </w:p>
        </w:tc>
      </w:tr>
      <w:tr>
        <w:tblPrEx>
          <w:tblLayout w:type="fixed"/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投放平价蔬菜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62.39吨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62.39吨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蔬菜种类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10种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10种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设蔬菜直销点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12个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12个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蔬菜新鲜率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≥90%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春节期间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5天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投放平价蔬菜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10.652万元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受益人数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1.5万余人群众享受补贴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1.5万余人群众享受补贴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受益群众满意度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cript"/>
    <w:pitch w:val="default"/>
    <w:sig w:usb0="00000000" w:usb1="00000000" w:usb2="00000016" w:usb3="00000000" w:csb0="0004001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文星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星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楷体_GBK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Latha">
    <w:altName w:val="Palatino Linotype"/>
    <w:panose1 w:val="02000400000000000000"/>
    <w:charset w:val="00"/>
    <w:family w:val="auto"/>
    <w:pitch w:val="default"/>
    <w:sig w:usb0="00000000" w:usb1="00000000" w:usb2="00000000" w:usb3="00000000" w:csb0="0000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黑体">
    <w:panose1 w:val="02010600030101010101"/>
    <w:charset w:val="86"/>
    <w:family w:val="script"/>
    <w:pitch w:val="default"/>
    <w:sig w:usb0="00000001" w:usb1="080E0000" w:usb2="00000000" w:usb3="00000000" w:csb0="00040000" w:csb1="00000000"/>
  </w:font>
  <w:font w:name="文星简小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14B7"/>
    <w:rsid w:val="03F040AE"/>
    <w:rsid w:val="05886E8B"/>
    <w:rsid w:val="06F80957"/>
    <w:rsid w:val="097721B4"/>
    <w:rsid w:val="0C185596"/>
    <w:rsid w:val="105B0497"/>
    <w:rsid w:val="105D5FE3"/>
    <w:rsid w:val="146C4442"/>
    <w:rsid w:val="1854152C"/>
    <w:rsid w:val="187A363A"/>
    <w:rsid w:val="1A9A38FD"/>
    <w:rsid w:val="1D5E7AF8"/>
    <w:rsid w:val="1E512FEF"/>
    <w:rsid w:val="1E8124E4"/>
    <w:rsid w:val="20053734"/>
    <w:rsid w:val="245E79D0"/>
    <w:rsid w:val="24662F7D"/>
    <w:rsid w:val="27C9042F"/>
    <w:rsid w:val="2842768C"/>
    <w:rsid w:val="2AAB2374"/>
    <w:rsid w:val="2B3527EA"/>
    <w:rsid w:val="2C202A46"/>
    <w:rsid w:val="30E62531"/>
    <w:rsid w:val="344E4617"/>
    <w:rsid w:val="368C6868"/>
    <w:rsid w:val="36E6161E"/>
    <w:rsid w:val="37064EE3"/>
    <w:rsid w:val="38BB3F42"/>
    <w:rsid w:val="3AA87626"/>
    <w:rsid w:val="3D50587B"/>
    <w:rsid w:val="3D96152A"/>
    <w:rsid w:val="3E6038A8"/>
    <w:rsid w:val="42842535"/>
    <w:rsid w:val="42AA702C"/>
    <w:rsid w:val="43B53C80"/>
    <w:rsid w:val="45BA5C76"/>
    <w:rsid w:val="4717095D"/>
    <w:rsid w:val="47886921"/>
    <w:rsid w:val="48016129"/>
    <w:rsid w:val="4AFA64D9"/>
    <w:rsid w:val="4E435335"/>
    <w:rsid w:val="4E9B0BFF"/>
    <w:rsid w:val="505F26EA"/>
    <w:rsid w:val="515604E3"/>
    <w:rsid w:val="54177B9A"/>
    <w:rsid w:val="563B340D"/>
    <w:rsid w:val="577E76AD"/>
    <w:rsid w:val="59E32364"/>
    <w:rsid w:val="5BE46B63"/>
    <w:rsid w:val="5BFE505B"/>
    <w:rsid w:val="5C465E4A"/>
    <w:rsid w:val="5C975883"/>
    <w:rsid w:val="5EB46839"/>
    <w:rsid w:val="5FB4116C"/>
    <w:rsid w:val="6043730D"/>
    <w:rsid w:val="61001F0C"/>
    <w:rsid w:val="616600F9"/>
    <w:rsid w:val="62A510E8"/>
    <w:rsid w:val="63853CC7"/>
    <w:rsid w:val="66EE54A4"/>
    <w:rsid w:val="67F04A72"/>
    <w:rsid w:val="6D4C0146"/>
    <w:rsid w:val="70852589"/>
    <w:rsid w:val="70983D21"/>
    <w:rsid w:val="70C57636"/>
    <w:rsid w:val="72996BB0"/>
    <w:rsid w:val="74A55AC5"/>
    <w:rsid w:val="77955176"/>
    <w:rsid w:val="79213441"/>
    <w:rsid w:val="79284371"/>
    <w:rsid w:val="79474503"/>
    <w:rsid w:val="795B4A43"/>
    <w:rsid w:val="7C8872C9"/>
    <w:rsid w:val="7C921630"/>
    <w:rsid w:val="7DE919D9"/>
    <w:rsid w:val="7FAA02AD"/>
    <w:rsid w:val="7FCA03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after="260" w:afterLines="0" w:line="415" w:lineRule="auto"/>
      <w:outlineLvl w:val="2"/>
    </w:pPr>
    <w:rPr>
      <w:rFonts w:ascii="MS Sans Serif" w:hAnsi="MS Sans Serif" w:eastAsia="宋体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2019-01-28T05:06:00Z</cp:lastPrinted>
  <dcterms:modified xsi:type="dcterms:W3CDTF">2019-10-18T09:30:24Z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