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AB" w:rsidRDefault="006D44AB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6D44AB" w:rsidRDefault="006D44A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项目名称：玛纳斯县（体育彩票公益金返还资金）</w:t>
      </w:r>
    </w:p>
    <w:p w:rsidR="006D44AB" w:rsidRDefault="006D44AB" w:rsidP="00A279A6">
      <w:pPr>
        <w:spacing w:line="700" w:lineRule="exact"/>
        <w:ind w:firstLineChars="100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实施单位（公章）：玛纳斯县文广局</w:t>
      </w:r>
    </w:p>
    <w:p w:rsidR="006D44AB" w:rsidRDefault="006D44AB" w:rsidP="00A279A6">
      <w:pPr>
        <w:spacing w:line="700" w:lineRule="exact"/>
        <w:ind w:firstLineChars="100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主管部门（公章）：玛纳斯县文广局</w:t>
      </w:r>
    </w:p>
    <w:p w:rsidR="006D44AB" w:rsidRDefault="006D44AB" w:rsidP="00A279A6">
      <w:pPr>
        <w:spacing w:line="700" w:lineRule="exact"/>
        <w:ind w:firstLineChars="100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项目负责人（签章）：陶发文</w:t>
      </w:r>
    </w:p>
    <w:p w:rsidR="006D44AB" w:rsidRDefault="006D44AB" w:rsidP="00A279A6">
      <w:pPr>
        <w:spacing w:line="700" w:lineRule="exact"/>
        <w:ind w:firstLineChars="100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2019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 xml:space="preserve"> 15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6D44AB" w:rsidRDefault="006D44A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44AB" w:rsidRDefault="006D44AB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6D44AB" w:rsidRDefault="006D44AB"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一是制作全县文化、体育、旅游、广播影视、新闻出版产业发展规划，协调、促进产业发展；指导全县重点文化、体育、旅游、广播影视、新闻出版基础设施建设；监督、管理本系统国有资产及经费；依法监督、管理全县体育彩票发行、销售工作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二是综合管理全县文化艺术事业。指导艺术创作与生产，扶持代表性文化艺术产品种，促进各门类艺术的发展，指导、监督全县文物保护工作和非物质文化遗产的保护、研究，传承和宣传等工作；指导群众文化艺术工作，组织全县性重大文化艺术活动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三是综合管理全县体育事业。指导群众体育工作，组织全县性重大体育活动；推进体育工作社会化和全民健身活动的开展；会同有关部门做好学校体育、少数民族体育工作。统筹规划全县竞技体育发展工作，指导体育训练和体育科研工作，输送优秀竞技体育后备人才；管理和指导全县性体育竞赛工作；监督管理县业余体校（体育馆）工作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四是综合管理全县旅游事业。负责全县旅游资源普查、评估、规划、开发、利用工作；监督、检查旅游市场秩序和服务质量，接受旅游者投诉，维护旅游者合法权益；指导旅游行业精神文明建设和创建优秀旅游城市工作；对经营旅游业务的企事业单位进行行业管理，指导并协助旅游经营单位提高管理水平；组织全县性重大旅游项目推介活动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五是把握正确的舆论导向，指导全县广播电视宣传工作，监督、检查广播电视宣传纪律的执行情况；按照国家的统筹规划、宏观政策和法律法规，对广播电视专用网进行规划和管理，保证广播电视节目的安全播放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六是综合管理全县文化、体育、旅游、广播影视、出版物市场依法指导市场稽查，研究市场发展态势，引导市场经营方向。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预期目标及阶段性目标：用于体育场馆维护项目经费。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项目基本性质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: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加强全民健身运动，举办体育赛事，丰富群众文化体育生活。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用途：体育场馆免费开放，设施设备维修、维护、器材购置，水电热及物业费用，全民健身活动开展，体育赛事举办，青少年后备队员培养，及社会体育指导员、教练员培训等相关支出。</w:t>
      </w: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年项目资金落实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2.71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万元，全部用于体育场馆免费开放，设施设备维修、维护、器材购置，水电热及物业费用，全民健身活动开展，体育赛事举办，青少年后备队员培养，及社会体育指导员、教练员培训等相关支出。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已全部到位，到位率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</w:p>
    <w:p w:rsidR="006D44AB" w:rsidRDefault="006D44AB" w:rsidP="00A279A6">
      <w:pPr>
        <w:numPr>
          <w:ilvl w:val="0"/>
          <w:numId w:val="1"/>
        </w:num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项目资金实际使用情况分析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年项目资金实际使用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2.71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万元，用于设施设备维修、维护、水电热及全民健身活动开展，体育赛事举办等方面。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结余资金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万元，资金使用完成率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6D44AB" w:rsidRDefault="006D44AB" w:rsidP="00A279A6">
      <w:pPr>
        <w:numPr>
          <w:ilvl w:val="0"/>
          <w:numId w:val="1"/>
        </w:num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项目资金管理情况分析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制定了《玛纳斯县体彩公益金管理办法》，严格资金使用用途，严禁挤占挪用专项资金，资金全部用于场馆免开及全身健身。</w:t>
      </w: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年项目资金无调整。</w:t>
      </w:r>
    </w:p>
    <w:p w:rsidR="006D44AB" w:rsidRDefault="006D44AB" w:rsidP="00A279A6">
      <w:pPr>
        <w:numPr>
          <w:ilvl w:val="0"/>
          <w:numId w:val="2"/>
        </w:num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项目管理情况分析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制定了《</w:t>
      </w:r>
      <w:bookmarkStart w:id="0" w:name="_GoBack"/>
      <w:bookmarkEnd w:id="0"/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玛纳斯县体体彩公益金管理办法》，保证场馆规范运营，惠及民生，发挥长期的使用效益。</w:t>
      </w: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6D44AB" w:rsidRDefault="006D44AB" w:rsidP="00A279A6">
      <w:pPr>
        <w:spacing w:line="540" w:lineRule="exact"/>
        <w:ind w:firstLineChars="181" w:firstLine="3168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6D44AB" w:rsidRDefault="006D44AB" w:rsidP="00A87372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本项目共设置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一级指标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3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个、二级指标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8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个、三级指标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14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个已完成指标完成率</w:t>
      </w:r>
      <w:r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100%</w:t>
      </w: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/>
          <w:b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、产出指标完成情况分析。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）项目完成数量。按项目绩效目标申报设定数量全部完成，完成率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）项目完成质量。该项目参加体育锻炼人次已达到预期值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万人次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完成。</w:t>
      </w:r>
    </w:p>
    <w:p w:rsidR="006D44AB" w:rsidRPr="00DC29FA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）项目实施进度</w:t>
      </w:r>
      <w:r w:rsidRPr="00DC29FA"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  <w:r w:rsidRPr="00DC29FA"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全民健身活动于</w:t>
      </w:r>
      <w:r w:rsidRPr="00DC29FA"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2018</w:t>
      </w:r>
      <w:r w:rsidRPr="00DC29FA"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 w:rsidRPr="00DC29FA"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1</w:t>
      </w:r>
      <w:r w:rsidRPr="00DC29FA"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月开始至</w:t>
      </w:r>
      <w:r w:rsidRPr="00DC29FA"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12</w:t>
      </w:r>
      <w:r w:rsidRPr="00DC29FA"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月达</w:t>
      </w:r>
      <w:r w:rsidRPr="00DC29FA">
        <w:rPr>
          <w:rStyle w:val="Strong"/>
          <w:rFonts w:ascii="仿宋" w:eastAsia="仿宋" w:hAnsi="仿宋"/>
          <w:b w:val="0"/>
          <w:spacing w:val="-4"/>
          <w:sz w:val="32"/>
          <w:szCs w:val="32"/>
        </w:rPr>
        <w:t>150</w:t>
      </w:r>
      <w:r w:rsidRPr="00DC29FA"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余场次，</w:t>
      </w:r>
      <w:r w:rsidRPr="00DC29FA">
        <w:rPr>
          <w:rFonts w:ascii="方正仿宋_GBK" w:eastAsia="方正仿宋_GBK" w:hAnsi="方正仿宋_GBK" w:cs="方正仿宋_GBK" w:hint="eastAsia"/>
          <w:bCs/>
          <w:sz w:val="32"/>
          <w:szCs w:val="32"/>
        </w:rPr>
        <w:t>已在项目规定期限内完成，完成率</w:t>
      </w:r>
      <w:r w:rsidRPr="00DC29FA"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  <w:r w:rsidRPr="00DC29FA"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）项目成本节约情况。项目预计总成本全区大型场馆全年免费开放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360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天实际完成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360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天全年开放。</w:t>
      </w:r>
    </w:p>
    <w:p w:rsidR="006D44AB" w:rsidRDefault="006D44AB" w:rsidP="00A87372">
      <w:pPr>
        <w:spacing w:line="560" w:lineRule="exac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/>
          <w:b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、效益指标完成情况分析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）项目实施的经济效益分析。通过本项目的实施，增加知名度、有助于旅游业发展，场馆利用率显著提高，促进全县经济发展。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）项目实施的可持续影响分析。增强公共体育服务发展，增强各族群众身体素质。</w:t>
      </w:r>
    </w:p>
    <w:p w:rsidR="006D44AB" w:rsidRDefault="006D44AB" w:rsidP="00A87372">
      <w:pPr>
        <w:spacing w:line="540" w:lineRule="exact"/>
        <w:ind w:firstLine="645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/>
          <w:bCs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、满意度指标情况的分析</w:t>
      </w:r>
    </w:p>
    <w:p w:rsidR="006D44AB" w:rsidRDefault="006D44AB" w:rsidP="00A87372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该项目指标全部完成，按项目绩效目标申报设定的体育场馆房费开放达到满意度达到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90%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。社会对体育发展满意度达到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95%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。通过体育活动提升群众幸福感。</w:t>
      </w:r>
    </w:p>
    <w:p w:rsidR="006D44AB" w:rsidRDefault="006D44AB" w:rsidP="00A279A6">
      <w:pPr>
        <w:spacing w:line="540" w:lineRule="exact"/>
        <w:ind w:firstLineChars="181" w:firstLine="3168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6D44AB" w:rsidRDefault="006D44AB" w:rsidP="00A87372">
      <w:pPr>
        <w:spacing w:line="560" w:lineRule="exact"/>
        <w:ind w:firstLineChars="200" w:firstLine="3168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该项目已完成所有设定的绩效目标任务，完成率</w:t>
      </w:r>
      <w:r>
        <w:rPr>
          <w:rFonts w:ascii="方正仿宋_GBK" w:eastAsia="方正仿宋_GBK" w:hAnsi="方正仿宋_GBK" w:cs="方正仿宋_GBK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6D44AB" w:rsidRDefault="006D44AB" w:rsidP="00DC29FA">
      <w:pPr>
        <w:numPr>
          <w:ilvl w:val="0"/>
          <w:numId w:val="3"/>
        </w:numPr>
        <w:adjustRightInd w:val="0"/>
        <w:spacing w:line="600" w:lineRule="exact"/>
        <w:ind w:firstLineChars="200" w:firstLine="31680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预算执行进度与绩效指标偏差分析。</w:t>
      </w:r>
    </w:p>
    <w:p w:rsidR="006D44AB" w:rsidRPr="00DC29FA" w:rsidRDefault="006D44AB" w:rsidP="00DC29FA">
      <w:pPr>
        <w:adjustRightInd w:val="0"/>
        <w:spacing w:line="600" w:lineRule="exact"/>
        <w:ind w:firstLineChars="200" w:firstLine="3168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该项目预算执行进度与绩效指标总体完成率无偏差。</w:t>
      </w:r>
    </w:p>
    <w:p w:rsidR="006D44AB" w:rsidRDefault="006D44AB" w:rsidP="00A87372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6D44AB" w:rsidRDefault="006D44AB" w:rsidP="00A279A6">
      <w:pPr>
        <w:spacing w:line="540" w:lineRule="exact"/>
        <w:ind w:firstLineChars="181" w:firstLine="3168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继续做好免费开放工作，发挥惠及全民的作用，举办丰富彩的活动，以此为依托，发挥阵地的凝聚向心作用。</w:t>
      </w:r>
    </w:p>
    <w:p w:rsidR="006D44AB" w:rsidRDefault="006D44AB" w:rsidP="00A279A6">
      <w:pPr>
        <w:spacing w:line="540" w:lineRule="exact"/>
        <w:ind w:firstLineChars="181" w:firstLine="3168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合理安排资金使用，杜绝浪费资金，对全民健身场所进行维护，加强宣传，爱护公共基础设施。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存在的问题：随着开放时间的增长，健身人群逐渐增多，场馆运行经费不足。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措施和建议：希望加大对体育场馆及全民健身的投入。</w:t>
      </w:r>
    </w:p>
    <w:p w:rsidR="006D44AB" w:rsidRDefault="006D44AB"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>其他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6D44AB" w:rsidRDefault="006D44AB" w:rsidP="00A279A6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严格按照项目资金管理制度使用资金，不得改变资金用途，挪作他用。举办了丰富多彩的体育活动，丰富了群众的文化生活。</w:t>
      </w:r>
    </w:p>
    <w:p w:rsidR="006D44AB" w:rsidRDefault="006D44AB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6D44AB" w:rsidRDefault="006D44AB" w:rsidP="00DC29FA">
      <w:pPr>
        <w:spacing w:line="540" w:lineRule="exact"/>
        <w:ind w:firstLineChars="181" w:firstLine="3168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tbl>
      <w:tblPr>
        <w:tblpPr w:leftFromText="180" w:rightFromText="180" w:vertAnchor="text" w:horzAnchor="page" w:tblpX="1876" w:tblpY="132"/>
        <w:tblOverlap w:val="never"/>
        <w:tblW w:w="9020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6D44AB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6D44AB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6D44AB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6D44AB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体育场馆维护项目经费（体育彩票公益金返还资金）</w:t>
            </w:r>
          </w:p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6D44AB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玛纳斯县文化体育旅游广播影视局　</w:t>
            </w:r>
          </w:p>
        </w:tc>
      </w:tr>
      <w:tr w:rsidR="006D44AB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6D44AB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6D44AB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6D44AB">
        <w:trPr>
          <w:trHeight w:val="9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目标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：贯彻落实《全民健身条例》，大力开展全民健身活动，丰富群众体育活动，不断满足人民群众对美好生活的向往。</w:t>
            </w:r>
          </w:p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：加快推进公共体育设施建设，提高体育公共服务能力和水平，不断改善群众体育健身活动场地和设施，把全民健身与全民健康有机融合，推动广大各族群众积极开展全民健身活动。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全民健身活动开展丰富多彩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1-8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余场次，参加体育锻炼人数增加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，青少年后备队员培养人数达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人次，并成绩不断提高，经常参加体育锻炼人数达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万人次。场馆利用率显著提高，各族群众身体素质明显增强，体育场馆开放群众满意度高。</w:t>
            </w:r>
          </w:p>
        </w:tc>
      </w:tr>
      <w:tr w:rsidR="006D44AB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*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：全民健身活动开展丰富多彩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场次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：新增参加体育锻炼人数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2%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：青少年后备队员培养人数增加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人次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：全县经常参加体育锻炼人次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万人次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万人次</w:t>
            </w:r>
          </w:p>
        </w:tc>
      </w:tr>
      <w:tr w:rsidR="006D44AB">
        <w:trPr>
          <w:trHeight w:val="39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：青少年后备队员培养成绩不断提高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合格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：场馆运营环境进一步改善、利用率显著提高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健身人次增加，场馆全年开放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天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健身人次增加，场馆全年开放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天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：降低下一期开放成本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2%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：规定完成全区大型场馆补助工作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全年免开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天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全年免开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天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：场馆利用率显著提高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每年开放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360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天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每年开放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360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天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：利用各级体育场馆开展全民健身活动场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场次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：增强公共体育服务发展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可持续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增强公共体育服务发展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：增强各族群众身体素质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可持续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增强各族群众身体素质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：体育场馆免费开放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  <w:lang/>
              </w:rPr>
              <w:t>≧</w:t>
            </w:r>
            <w:r>
              <w:rPr>
                <w:rStyle w:val="font11"/>
                <w:lang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Style w:val="font11"/>
                <w:lang/>
              </w:rPr>
              <w:t>90%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：社会对体育发展满意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  <w:lang/>
              </w:rPr>
              <w:t>≧</w:t>
            </w:r>
            <w:r>
              <w:rPr>
                <w:rStyle w:val="font11"/>
                <w:lang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通过体育活动提升群众幸福感</w:t>
            </w:r>
            <w:r>
              <w:rPr>
                <w:rStyle w:val="font11"/>
                <w:lang/>
              </w:rPr>
              <w:t>95%</w:t>
            </w:r>
          </w:p>
        </w:tc>
      </w:tr>
      <w:tr w:rsidR="006D44A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Default="006D44AB" w:rsidP="00DC29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D44AB" w:rsidRDefault="006D44AB"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 w:rsidR="006D44AB" w:rsidRDefault="006D44AB">
      <w:pPr>
        <w:spacing w:line="540" w:lineRule="exact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 w:rsidR="006D44AB" w:rsidSect="006E67B3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AB" w:rsidRDefault="006D44AB" w:rsidP="006E67B3">
      <w:r>
        <w:separator/>
      </w:r>
    </w:p>
  </w:endnote>
  <w:endnote w:type="continuationSeparator" w:id="1">
    <w:p w:rsidR="006D44AB" w:rsidRDefault="006D44AB" w:rsidP="006E6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华文中宋">
    <w:altName w:val="Dotum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方正小标宋_GBK">
    <w:altName w:val="方正兰亭超细黑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4AB" w:rsidRDefault="006D44AB">
    <w:pPr>
      <w:pStyle w:val="Footer"/>
      <w:jc w:val="center"/>
    </w:pPr>
    <w:fldSimple w:instr="PAGE   \* MERGEFORMAT">
      <w:r w:rsidRPr="00BC7A70">
        <w:rPr>
          <w:noProof/>
          <w:lang w:val="zh-CN"/>
        </w:rPr>
        <w:t>4</w:t>
      </w:r>
    </w:fldSimple>
  </w:p>
  <w:p w:rsidR="006D44AB" w:rsidRDefault="006D4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AB" w:rsidRDefault="006D44AB" w:rsidP="006E67B3">
      <w:r>
        <w:separator/>
      </w:r>
    </w:p>
  </w:footnote>
  <w:footnote w:type="continuationSeparator" w:id="1">
    <w:p w:rsidR="006D44AB" w:rsidRDefault="006D44AB" w:rsidP="006E6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B5E1"/>
    <w:multiLevelType w:val="singleLevel"/>
    <w:tmpl w:val="0264B5E1"/>
    <w:lvl w:ilvl="0">
      <w:start w:val="3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5C3CB920"/>
    <w:multiLevelType w:val="singleLevel"/>
    <w:tmpl w:val="5C3CB920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2">
    <w:nsid w:val="5C3CC068"/>
    <w:multiLevelType w:val="singleLevel"/>
    <w:tmpl w:val="5C3CC068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56465"/>
    <w:rsid w:val="00121AE4"/>
    <w:rsid w:val="00146AAD"/>
    <w:rsid w:val="001B3A40"/>
    <w:rsid w:val="00252145"/>
    <w:rsid w:val="003550A7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C561B"/>
    <w:rsid w:val="005D10D6"/>
    <w:rsid w:val="006D44AB"/>
    <w:rsid w:val="006E67B3"/>
    <w:rsid w:val="007806A5"/>
    <w:rsid w:val="00855E3A"/>
    <w:rsid w:val="00922CB9"/>
    <w:rsid w:val="009E5CD9"/>
    <w:rsid w:val="00A26421"/>
    <w:rsid w:val="00A279A6"/>
    <w:rsid w:val="00A4293B"/>
    <w:rsid w:val="00A67D50"/>
    <w:rsid w:val="00A8691A"/>
    <w:rsid w:val="00A87372"/>
    <w:rsid w:val="00AC1946"/>
    <w:rsid w:val="00B40063"/>
    <w:rsid w:val="00B41F61"/>
    <w:rsid w:val="00BA46E6"/>
    <w:rsid w:val="00BC7A70"/>
    <w:rsid w:val="00C56C72"/>
    <w:rsid w:val="00CA6457"/>
    <w:rsid w:val="00D17F2E"/>
    <w:rsid w:val="00D30354"/>
    <w:rsid w:val="00DC29FA"/>
    <w:rsid w:val="00DF42A0"/>
    <w:rsid w:val="00E46C51"/>
    <w:rsid w:val="00E769FE"/>
    <w:rsid w:val="00EA2CBE"/>
    <w:rsid w:val="00ED5AD6"/>
    <w:rsid w:val="00F32FEE"/>
    <w:rsid w:val="00FB10BB"/>
    <w:rsid w:val="05CD0426"/>
    <w:rsid w:val="07195E49"/>
    <w:rsid w:val="1109694F"/>
    <w:rsid w:val="11CC235E"/>
    <w:rsid w:val="1A427A4E"/>
    <w:rsid w:val="1ABA766B"/>
    <w:rsid w:val="1D776841"/>
    <w:rsid w:val="217D3C94"/>
    <w:rsid w:val="21F36C12"/>
    <w:rsid w:val="23986B4E"/>
    <w:rsid w:val="24F50076"/>
    <w:rsid w:val="273460A7"/>
    <w:rsid w:val="27F71F2E"/>
    <w:rsid w:val="28646166"/>
    <w:rsid w:val="2C1E65B5"/>
    <w:rsid w:val="2C770E61"/>
    <w:rsid w:val="2E7214EB"/>
    <w:rsid w:val="2ED91181"/>
    <w:rsid w:val="32DB3E91"/>
    <w:rsid w:val="336B6803"/>
    <w:rsid w:val="35EC38C7"/>
    <w:rsid w:val="36240664"/>
    <w:rsid w:val="370B228F"/>
    <w:rsid w:val="3A017640"/>
    <w:rsid w:val="401C41ED"/>
    <w:rsid w:val="49EB4BE3"/>
    <w:rsid w:val="4E50521D"/>
    <w:rsid w:val="553C40C4"/>
    <w:rsid w:val="55B040BE"/>
    <w:rsid w:val="572426BE"/>
    <w:rsid w:val="590B38B8"/>
    <w:rsid w:val="5E8247F7"/>
    <w:rsid w:val="63C42FF6"/>
    <w:rsid w:val="65DA3BBB"/>
    <w:rsid w:val="671F72A3"/>
    <w:rsid w:val="68B7516C"/>
    <w:rsid w:val="7AA61EAB"/>
    <w:rsid w:val="7B54789C"/>
    <w:rsid w:val="7D676A29"/>
    <w:rsid w:val="7FA9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7B3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7B3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67B3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67B3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7B3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67B3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67B3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67B3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E67B3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67B3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67B3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67B3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E67B3"/>
    <w:rPr>
      <w:rFonts w:ascii="Cambria" w:eastAsia="宋体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67B3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E67B3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E67B3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E67B3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E67B3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E67B3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E67B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67B3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6E67B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67B3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6E6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67B3"/>
    <w:rPr>
      <w:rFonts w:ascii="Calibri" w:eastAsia="宋体" w:hAnsi="Calibri"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6E67B3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E67B3"/>
    <w:rPr>
      <w:rFonts w:ascii="Cambria" w:eastAsia="宋体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6E67B3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E67B3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6E67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E67B3"/>
    <w:rPr>
      <w:rFonts w:ascii="Calibri" w:hAnsi="Calibri" w:cs="Times New Roman"/>
      <w:b/>
      <w:i/>
      <w:iCs/>
    </w:rPr>
  </w:style>
  <w:style w:type="paragraph" w:customStyle="1" w:styleId="NoSpacing1">
    <w:name w:val="No Spacing1"/>
    <w:basedOn w:val="Normal"/>
    <w:uiPriority w:val="99"/>
    <w:rsid w:val="006E67B3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Normal"/>
    <w:uiPriority w:val="99"/>
    <w:rsid w:val="006E67B3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Normal"/>
    <w:next w:val="Normal"/>
    <w:link w:val="Char"/>
    <w:uiPriority w:val="99"/>
    <w:rsid w:val="006E67B3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">
    <w:name w:val="引用 Char"/>
    <w:basedOn w:val="DefaultParagraphFont"/>
    <w:link w:val="Quote1"/>
    <w:uiPriority w:val="99"/>
    <w:locked/>
    <w:rsid w:val="006E67B3"/>
    <w:rPr>
      <w:rFonts w:cs="Times New Roman"/>
      <w:i/>
      <w:sz w:val="24"/>
      <w:szCs w:val="24"/>
    </w:rPr>
  </w:style>
  <w:style w:type="paragraph" w:customStyle="1" w:styleId="IntenseQuote1">
    <w:name w:val="Intense Quote1"/>
    <w:basedOn w:val="Normal"/>
    <w:next w:val="Normal"/>
    <w:link w:val="Char0"/>
    <w:uiPriority w:val="99"/>
    <w:rsid w:val="006E67B3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0">
    <w:name w:val="明显引用 Char"/>
    <w:basedOn w:val="DefaultParagraphFont"/>
    <w:link w:val="IntenseQuote1"/>
    <w:uiPriority w:val="99"/>
    <w:locked/>
    <w:rsid w:val="006E67B3"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sid w:val="006E67B3"/>
    <w:rPr>
      <w:i/>
      <w:color w:val="595959"/>
    </w:rPr>
  </w:style>
  <w:style w:type="character" w:customStyle="1" w:styleId="IntenseEmphasis1">
    <w:name w:val="Intense Emphasis1"/>
    <w:basedOn w:val="DefaultParagraphFont"/>
    <w:uiPriority w:val="99"/>
    <w:rsid w:val="006E67B3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basedOn w:val="DefaultParagraphFont"/>
    <w:uiPriority w:val="99"/>
    <w:rsid w:val="006E67B3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basedOn w:val="DefaultParagraphFont"/>
    <w:uiPriority w:val="99"/>
    <w:rsid w:val="006E67B3"/>
    <w:rPr>
      <w:rFonts w:cs="Times New Roman"/>
      <w:b/>
      <w:sz w:val="24"/>
      <w:u w:val="single"/>
    </w:rPr>
  </w:style>
  <w:style w:type="character" w:customStyle="1" w:styleId="BookTitle1">
    <w:name w:val="Book Title1"/>
    <w:basedOn w:val="DefaultParagraphFont"/>
    <w:uiPriority w:val="99"/>
    <w:rsid w:val="006E67B3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99"/>
    <w:rsid w:val="006E67B3"/>
    <w:pPr>
      <w:outlineLvl w:val="9"/>
    </w:pPr>
    <w:rPr>
      <w:lang w:eastAsia="en-US"/>
    </w:rPr>
  </w:style>
  <w:style w:type="character" w:customStyle="1" w:styleId="font11">
    <w:name w:val="font11"/>
    <w:basedOn w:val="DefaultParagraphFont"/>
    <w:uiPriority w:val="99"/>
    <w:rsid w:val="006E67B3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7</Pages>
  <Words>515</Words>
  <Characters>2938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Administrator</cp:lastModifiedBy>
  <cp:revision>20</cp:revision>
  <cp:lastPrinted>2019-10-24T18:54:00Z</cp:lastPrinted>
  <dcterms:created xsi:type="dcterms:W3CDTF">2018-08-15T02:06:00Z</dcterms:created>
  <dcterms:modified xsi:type="dcterms:W3CDTF">2019-10-24T19:40:00Z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