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67" w:rsidRDefault="002564D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2564D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821267" w:rsidRDefault="0082126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21267" w:rsidRDefault="002564D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度</w:t>
      </w:r>
      <w:r>
        <w:rPr>
          <w:rFonts w:eastAsia="仿宋_GB2312" w:hAnsi="宋体" w:cs="宋体" w:hint="eastAsia"/>
          <w:kern w:val="0"/>
          <w:sz w:val="36"/>
          <w:szCs w:val="36"/>
        </w:rPr>
        <w:t>）</w:t>
      </w: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21267" w:rsidRDefault="002564D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项目名称：其他民政管理事务支出</w:t>
      </w:r>
    </w:p>
    <w:p w:rsidR="00821267" w:rsidRDefault="002564D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实施单位（公章）：玛纳斯县民政局</w:t>
      </w:r>
    </w:p>
    <w:p w:rsidR="00821267" w:rsidRDefault="002564D0" w:rsidP="000F465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主管部门（公章）：玛纳斯县民政局</w:t>
      </w:r>
    </w:p>
    <w:p w:rsidR="00821267" w:rsidRDefault="002564D0" w:rsidP="000F465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项目负责人（签章）：王奎</w:t>
      </w:r>
    </w:p>
    <w:p w:rsidR="00821267" w:rsidRDefault="002564D0" w:rsidP="000F465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821267" w:rsidRDefault="0082126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21267" w:rsidRDefault="00821267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821267" w:rsidRDefault="002564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821267" w:rsidRDefault="002564D0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821267" w:rsidRDefault="002564D0">
      <w:pPr>
        <w:spacing w:line="540" w:lineRule="exact"/>
        <w:ind w:firstLineChars="200" w:firstLine="624"/>
        <w:rPr>
          <w:rStyle w:val="a8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民政局现有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6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个内设科室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: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即综合行政办公室、社会保障办公室（救灾救济、城乡低保、城乡解困、医疗救助）、基层政权办公室、社会事务办公室（婚姻登记处）、行政区划地名办公室、双拥及优抚安置办公室，下属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个单位：殡葬管理所、殡仪馆和民政福利园区（即社会福利院、光荣院、敬老院、孤儿院、老年公寓、社会救助站）。这些科室单位具体承办救灾救济、城乡低保、医疗救助、基层政权和社区建设等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23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项业务。</w:t>
      </w:r>
    </w:p>
    <w:p w:rsidR="00821267" w:rsidRDefault="002564D0">
      <w:pPr>
        <w:widowControl/>
        <w:jc w:val="left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 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821267" w:rsidRDefault="00821267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821267" w:rsidRDefault="002564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821267" w:rsidRDefault="002564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821267" w:rsidRDefault="002564D0">
      <w:pPr>
        <w:pStyle w:val="110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年其他民政管理事</w:t>
      </w:r>
      <w:r>
        <w:rPr>
          <w:rFonts w:ascii="仿宋_GB2312" w:eastAsia="仿宋_GB2312" w:hAnsi="仿宋_GB2312" w:cs="仿宋_GB2312" w:hint="eastAsia"/>
          <w:sz w:val="32"/>
          <w:szCs w:val="32"/>
        </w:rPr>
        <w:t>务主要用于</w:t>
      </w:r>
      <w:r>
        <w:rPr>
          <w:rFonts w:ascii="仿宋_GB2312" w:eastAsia="仿宋_GB2312" w:hAnsi="仿宋_GB2312" w:cs="仿宋_GB2312" w:hint="eastAsia"/>
          <w:sz w:val="32"/>
          <w:szCs w:val="32"/>
        </w:rPr>
        <w:t>智慧养老购买服务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财政拨款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万，本年支出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万。资金已全部落实。</w:t>
      </w:r>
    </w:p>
    <w:p w:rsidR="00821267" w:rsidRDefault="002564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821267" w:rsidRDefault="002564D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年财政拨付</w:t>
      </w:r>
      <w:r>
        <w:rPr>
          <w:rFonts w:ascii="仿宋" w:eastAsia="仿宋" w:hAnsi="仿宋" w:cs="仿宋" w:hint="eastAsia"/>
          <w:sz w:val="32"/>
          <w:szCs w:val="32"/>
        </w:rPr>
        <w:t>其他民政事务管理</w:t>
      </w:r>
      <w:r>
        <w:rPr>
          <w:rFonts w:ascii="仿宋" w:eastAsia="仿宋" w:hAnsi="仿宋" w:cs="仿宋" w:hint="eastAsia"/>
          <w:sz w:val="32"/>
          <w:szCs w:val="32"/>
        </w:rPr>
        <w:t>项目资金</w:t>
      </w:r>
      <w:r>
        <w:rPr>
          <w:rFonts w:ascii="仿宋" w:eastAsia="仿宋" w:hAnsi="仿宋" w:cs="仿宋" w:hint="eastAsia"/>
          <w:sz w:val="32"/>
          <w:szCs w:val="32"/>
        </w:rPr>
        <w:t>主要用于智慧养老服务</w:t>
      </w:r>
      <w:r>
        <w:rPr>
          <w:rFonts w:ascii="仿宋" w:eastAsia="仿宋" w:hAnsi="仿宋" w:cs="仿宋" w:hint="eastAsia"/>
          <w:sz w:val="32"/>
          <w:szCs w:val="32"/>
        </w:rPr>
        <w:t>支出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821267" w:rsidRDefault="002564D0">
      <w:pPr>
        <w:numPr>
          <w:ilvl w:val="0"/>
          <w:numId w:val="1"/>
        </w:numPr>
        <w:spacing w:line="540" w:lineRule="exact"/>
        <w:ind w:firstLineChars="200" w:firstLine="62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项目资金管理情况分析</w:t>
      </w:r>
    </w:p>
    <w:p w:rsidR="00821267" w:rsidRDefault="002564D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智慧养老主要用于丰富老年人的文化生活。</w:t>
      </w:r>
    </w:p>
    <w:p w:rsidR="00821267" w:rsidRDefault="002564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821267" w:rsidRDefault="002564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821267" w:rsidRDefault="002564D0">
      <w:pPr>
        <w:spacing w:line="540" w:lineRule="exact"/>
        <w:ind w:firstLineChars="181" w:firstLine="57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821267" w:rsidRDefault="002564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821267" w:rsidRDefault="002564D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821267" w:rsidRDefault="002564D0">
      <w:pPr>
        <w:spacing w:line="540" w:lineRule="exact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 xml:space="preserve">     </w:t>
      </w: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 w:hint="eastAsia"/>
        </w:rPr>
        <w:t xml:space="preserve"> 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821267" w:rsidRDefault="002564D0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821267" w:rsidRDefault="002564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821267" w:rsidRDefault="002564D0">
      <w:pPr>
        <w:spacing w:line="540" w:lineRule="exact"/>
        <w:ind w:firstLineChars="181" w:firstLine="57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821267" w:rsidRDefault="002564D0">
      <w:pPr>
        <w:spacing w:line="540" w:lineRule="exact"/>
        <w:ind w:firstLineChars="181" w:firstLine="57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821267" w:rsidRDefault="002564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821267" w:rsidRDefault="002564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821267" w:rsidRDefault="002564D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821267" w:rsidRDefault="002564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821267" w:rsidRDefault="002564D0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821267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821267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度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821267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267" w:rsidRDefault="008212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21267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其他民政管理事务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1267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玛纳斯县民政局　</w:t>
            </w:r>
          </w:p>
        </w:tc>
      </w:tr>
      <w:tr w:rsidR="0082126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　</w:t>
            </w:r>
          </w:p>
        </w:tc>
      </w:tr>
      <w:tr w:rsidR="00821267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267" w:rsidRDefault="008212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　</w:t>
            </w:r>
          </w:p>
        </w:tc>
      </w:tr>
      <w:tr w:rsidR="00821267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267" w:rsidRDefault="008212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1267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821267" w:rsidTr="000F4653">
        <w:trPr>
          <w:trHeight w:val="13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267" w:rsidRDefault="008212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1267" w:rsidRDefault="002564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0F4653" w:rsidRPr="000F4653">
              <w:rPr>
                <w:rFonts w:ascii="宋体" w:hAnsi="宋体" w:cs="宋体" w:hint="eastAsia"/>
                <w:kern w:val="0"/>
                <w:sz w:val="20"/>
                <w:szCs w:val="20"/>
              </w:rPr>
              <w:t>2018年其他民政管理事务主要用于智慧养老购买服务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1267" w:rsidRP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已完成</w:t>
            </w:r>
          </w:p>
        </w:tc>
      </w:tr>
      <w:tr w:rsidR="00821267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67" w:rsidRDefault="002564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0F4653" w:rsidTr="009757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指标1：智慧养老聘用人数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</w:tr>
      <w:tr w:rsidR="000F4653" w:rsidTr="009757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指标2：筹集资金总额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50万元</w:t>
            </w:r>
            <w:bookmarkStart w:id="0" w:name="_GoBack"/>
            <w:bookmarkEnd w:id="0"/>
          </w:p>
        </w:tc>
      </w:tr>
      <w:tr w:rsidR="000F465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0F465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：智慧养老项目经费拨付率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F4653" w:rsidTr="009B605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指标1：是否按时完成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F4653" w:rsidTr="009B605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指标2：资金下拨及时率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Pr="00281A4E" w:rsidRDefault="000F4653" w:rsidP="008C1D28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 w:rsidP="008C1D28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0F465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指标1：提高老年人文化生活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进一步提高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已提高</w:t>
            </w:r>
          </w:p>
        </w:tc>
      </w:tr>
      <w:tr w:rsidR="000F465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F465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指标1：提高老年人文化生活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进一步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已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0F465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指标1：满意程度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80%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653" w:rsidRDefault="000F46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80%</w:t>
            </w:r>
          </w:p>
        </w:tc>
      </w:tr>
    </w:tbl>
    <w:p w:rsidR="00821267" w:rsidRDefault="0082126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821267">
      <w:footerReference w:type="default" r:id="rId9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D0" w:rsidRDefault="002564D0">
      <w:r>
        <w:separator/>
      </w:r>
    </w:p>
  </w:endnote>
  <w:endnote w:type="continuationSeparator" w:id="0">
    <w:p w:rsidR="002564D0" w:rsidRDefault="0025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</w:sdtPr>
    <w:sdtEndPr/>
    <w:sdtContent>
      <w:p w:rsidR="00821267" w:rsidRDefault="002564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653" w:rsidRPr="000F4653">
          <w:rPr>
            <w:noProof/>
            <w:lang w:val="zh-CN"/>
          </w:rPr>
          <w:t>4</w:t>
        </w:r>
        <w:r>
          <w:fldChar w:fldCharType="end"/>
        </w:r>
      </w:p>
    </w:sdtContent>
  </w:sdt>
  <w:p w:rsidR="00821267" w:rsidRDefault="0082126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D0" w:rsidRDefault="002564D0">
      <w:r>
        <w:separator/>
      </w:r>
    </w:p>
  </w:footnote>
  <w:footnote w:type="continuationSeparator" w:id="0">
    <w:p w:rsidR="002564D0" w:rsidRDefault="00256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181B"/>
    <w:multiLevelType w:val="singleLevel"/>
    <w:tmpl w:val="24EB181B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769E"/>
    <w:rsid w:val="00030B86"/>
    <w:rsid w:val="00056465"/>
    <w:rsid w:val="000F4653"/>
    <w:rsid w:val="00121AE4"/>
    <w:rsid w:val="00146AAD"/>
    <w:rsid w:val="001B3A40"/>
    <w:rsid w:val="001C465E"/>
    <w:rsid w:val="0023157A"/>
    <w:rsid w:val="002564D0"/>
    <w:rsid w:val="00260E62"/>
    <w:rsid w:val="0031773C"/>
    <w:rsid w:val="003C18BC"/>
    <w:rsid w:val="003C502D"/>
    <w:rsid w:val="004366A8"/>
    <w:rsid w:val="00464900"/>
    <w:rsid w:val="00500078"/>
    <w:rsid w:val="00502BA7"/>
    <w:rsid w:val="005162F1"/>
    <w:rsid w:val="0053481F"/>
    <w:rsid w:val="00535153"/>
    <w:rsid w:val="00554F82"/>
    <w:rsid w:val="0056390D"/>
    <w:rsid w:val="005719B0"/>
    <w:rsid w:val="005D10D6"/>
    <w:rsid w:val="006334E0"/>
    <w:rsid w:val="006A2139"/>
    <w:rsid w:val="006C5F85"/>
    <w:rsid w:val="007107B9"/>
    <w:rsid w:val="007806A5"/>
    <w:rsid w:val="00821267"/>
    <w:rsid w:val="00855E3A"/>
    <w:rsid w:val="008807FB"/>
    <w:rsid w:val="00922CB9"/>
    <w:rsid w:val="009E5CD9"/>
    <w:rsid w:val="00A26421"/>
    <w:rsid w:val="00A4293B"/>
    <w:rsid w:val="00A67D50"/>
    <w:rsid w:val="00A8691A"/>
    <w:rsid w:val="00AC1946"/>
    <w:rsid w:val="00AF2F52"/>
    <w:rsid w:val="00B40063"/>
    <w:rsid w:val="00B41F61"/>
    <w:rsid w:val="00BA46E6"/>
    <w:rsid w:val="00BC42B6"/>
    <w:rsid w:val="00C11C49"/>
    <w:rsid w:val="00C56C72"/>
    <w:rsid w:val="00CA6457"/>
    <w:rsid w:val="00D13F7B"/>
    <w:rsid w:val="00D17F2E"/>
    <w:rsid w:val="00D30354"/>
    <w:rsid w:val="00D64895"/>
    <w:rsid w:val="00DF42A0"/>
    <w:rsid w:val="00E46C51"/>
    <w:rsid w:val="00E769FE"/>
    <w:rsid w:val="00EA2CBE"/>
    <w:rsid w:val="00F267E1"/>
    <w:rsid w:val="00F318EB"/>
    <w:rsid w:val="00F32FEE"/>
    <w:rsid w:val="00F828E6"/>
    <w:rsid w:val="00FB10BB"/>
    <w:rsid w:val="177775F2"/>
    <w:rsid w:val="1D7065B8"/>
    <w:rsid w:val="1E3F6098"/>
    <w:rsid w:val="4BDB56D9"/>
    <w:rsid w:val="553C40C4"/>
    <w:rsid w:val="5A2B1A2E"/>
    <w:rsid w:val="63C42FF6"/>
    <w:rsid w:val="7060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0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12"/>
    <w:uiPriority w:val="29"/>
    <w:qFormat/>
    <w:rPr>
      <w:i/>
      <w:sz w:val="24"/>
      <w:szCs w:val="24"/>
    </w:rPr>
  </w:style>
  <w:style w:type="paragraph" w:customStyle="1" w:styleId="13">
    <w:name w:val="明显引用1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13"/>
    <w:uiPriority w:val="30"/>
    <w:qFormat/>
    <w:rPr>
      <w:b/>
      <w:i/>
      <w:sz w:val="24"/>
    </w:rPr>
  </w:style>
  <w:style w:type="character" w:customStyle="1" w:styleId="14">
    <w:name w:val="不明显强调1"/>
    <w:uiPriority w:val="19"/>
    <w:qFormat/>
    <w:rPr>
      <w:i/>
      <w:color w:val="595959" w:themeColor="text1" w:themeTint="A6"/>
    </w:rPr>
  </w:style>
  <w:style w:type="character" w:customStyle="1" w:styleId="15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7">
    <w:name w:val="明显参考1"/>
    <w:basedOn w:val="a0"/>
    <w:uiPriority w:val="32"/>
    <w:qFormat/>
    <w:rPr>
      <w:b/>
      <w:sz w:val="24"/>
      <w:u w:val="single"/>
    </w:rPr>
  </w:style>
  <w:style w:type="character" w:customStyle="1" w:styleId="18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paragraph" w:customStyle="1" w:styleId="110">
    <w:name w:val="列出段落11"/>
    <w:basedOn w:val="a"/>
    <w:qFormat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192</Words>
  <Characters>1098</Characters>
  <Application>Microsoft Office Word</Application>
  <DocSecurity>0</DocSecurity>
  <Lines>9</Lines>
  <Paragraphs>2</Paragraphs>
  <ScaleCrop>false</ScaleCrop>
  <Company>微软中国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Windows 用户</cp:lastModifiedBy>
  <cp:revision>26</cp:revision>
  <cp:lastPrinted>2019-01-13T12:20:00Z</cp:lastPrinted>
  <dcterms:created xsi:type="dcterms:W3CDTF">2018-08-15T02:06:00Z</dcterms:created>
  <dcterms:modified xsi:type="dcterms:W3CDTF">2019-10-18T05:06:00Z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