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项目名称：玛纳斯县应急指挥中心和维稳指挥部建设项目资金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Fonts w:hint="eastAsia" w:ascii="仿宋" w:hAnsi="仿宋" w:eastAsia="仿宋" w:cs="Times New Roman"/>
          <w:spacing w:val="-4"/>
          <w:kern w:val="2"/>
          <w:sz w:val="32"/>
          <w:szCs w:val="32"/>
          <w:lang w:val="en-US" w:eastAsia="zh-CN" w:bidi="ar-SA"/>
        </w:rPr>
        <w:t>主要职能：（1）、保持严打高压，继续深化对敌斗争；（2）、坚持多措并举，强化社会治安防控；（3）、坚持综合施策，强化行政服务管理；（4）、深化四项建设，打牢公安基层基础</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Fonts w:hint="eastAsia" w:ascii="仿宋" w:hAnsi="仿宋" w:eastAsia="仿宋" w:cs="Times New Roman"/>
          <w:spacing w:val="-4"/>
          <w:kern w:val="2"/>
          <w:sz w:val="32"/>
          <w:szCs w:val="32"/>
          <w:lang w:val="en-US" w:eastAsia="zh-CN" w:bidi="ar-SA"/>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提高公安各办案部门工作效率，增强队伍实战能力，全面提升公安工作现代化水平，从而更好的维护稳定和长治久安，减少犯罪率，预防重大事故发生。预防严重违法犯罪事故发生，改善办公环境，从而提高办公效率，充分发挥公安职能，维护社会稳定。</w:t>
      </w:r>
      <w:r>
        <w:rPr>
          <w:rStyle w:val="19"/>
          <w:rFonts w:hint="eastAsia" w:ascii="仿宋" w:hAnsi="仿宋" w:eastAsia="仿宋"/>
          <w:b w:val="0"/>
          <w:spacing w:val="-4"/>
          <w:sz w:val="32"/>
          <w:szCs w:val="32"/>
          <w:lang w:eastAsia="zh-CN"/>
        </w:rPr>
        <w:t>确保社会大局稳定。</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本项目共设置一级指标3个、二级指标9个、三级指标9个指标。三级指标可量化7个，占比75%。</w:t>
      </w:r>
      <w:r>
        <w:rPr>
          <w:rFonts w:hint="eastAsia" w:ascii="仿宋" w:hAnsi="仿宋" w:eastAsia="仿宋" w:cs="Times New Roman"/>
          <w:spacing w:val="-4"/>
          <w:kern w:val="2"/>
          <w:sz w:val="32"/>
          <w:szCs w:val="32"/>
          <w:lang w:val="en-US" w:eastAsia="zh-CN" w:bidi="ar-SA"/>
        </w:rPr>
        <w:t>经费主要用于玛纳斯县应急指挥中心和维稳指挥部建设项目建设</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Fonts w:hint="eastAsia" w:ascii="仿宋" w:hAnsi="仿宋" w:eastAsia="仿宋" w:cs="Times New Roman"/>
          <w:spacing w:val="-4"/>
          <w:kern w:val="2"/>
          <w:sz w:val="32"/>
          <w:szCs w:val="32"/>
          <w:lang w:val="en-US" w:eastAsia="zh-CN" w:bidi="ar-SA"/>
        </w:rPr>
        <w:t>玛纳斯县应急指挥中心和维稳指挥部建设</w:t>
      </w:r>
      <w:r>
        <w:rPr>
          <w:rStyle w:val="19"/>
          <w:rFonts w:hint="eastAsia" w:ascii="仿宋" w:hAnsi="仿宋" w:eastAsia="仿宋"/>
          <w:b w:val="0"/>
          <w:spacing w:val="-4"/>
          <w:sz w:val="32"/>
          <w:szCs w:val="32"/>
          <w:lang w:eastAsia="zh-CN"/>
        </w:rPr>
        <w:t>项目</w:t>
      </w:r>
      <w:r>
        <w:rPr>
          <w:rStyle w:val="19"/>
          <w:rFonts w:hint="eastAsia" w:ascii="仿宋" w:hAnsi="仿宋" w:eastAsia="仿宋"/>
          <w:b w:val="0"/>
          <w:spacing w:val="-4"/>
          <w:sz w:val="32"/>
          <w:szCs w:val="32"/>
          <w:lang w:val="en-US" w:eastAsia="zh-CN"/>
        </w:rPr>
        <w:t>2018年安排总金额1300万元。资金已全部到位，执行率100%。</w:t>
      </w:r>
      <w:r>
        <w:rPr>
          <w:rFonts w:hint="eastAsia" w:ascii="仿宋" w:hAnsi="仿宋" w:eastAsia="仿宋" w:cs="Times New Roman"/>
          <w:spacing w:val="-4"/>
          <w:kern w:val="2"/>
          <w:sz w:val="32"/>
          <w:szCs w:val="32"/>
          <w:lang w:val="en-US" w:eastAsia="zh-CN" w:bidi="ar-SA"/>
        </w:rPr>
        <w:t>由我局向县财政局申请资金，县财经领导会议小组同意后办理采购手续，相关手续齐全后向财政局申情资金.</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1300万元。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w:t>
      </w:r>
      <w:r>
        <w:rPr>
          <w:rFonts w:hint="eastAsia" w:ascii="仿宋" w:hAnsi="仿宋" w:eastAsia="仿宋" w:cs="Times New Roman"/>
          <w:spacing w:val="-4"/>
          <w:kern w:val="2"/>
          <w:sz w:val="32"/>
          <w:szCs w:val="32"/>
          <w:lang w:val="en-US" w:eastAsia="zh-CN" w:bidi="ar-SA"/>
        </w:rPr>
        <w:t>玛纳斯县应急指挥中心和维稳指挥部建设项目。</w:t>
      </w:r>
      <w:r>
        <w:rPr>
          <w:rStyle w:val="19"/>
          <w:rFonts w:hint="eastAsia" w:ascii="仿宋" w:hAnsi="仿宋" w:eastAsia="仿宋"/>
          <w:b w:val="0"/>
          <w:spacing w:val="-4"/>
          <w:sz w:val="32"/>
          <w:szCs w:val="32"/>
        </w:rPr>
        <w:t>资金全部到位，</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Fonts w:hint="eastAsia" w:ascii="仿宋" w:hAnsi="仿宋" w:eastAsia="仿宋" w:cs="Times New Roman"/>
          <w:spacing w:val="-4"/>
          <w:kern w:val="2"/>
          <w:sz w:val="32"/>
          <w:szCs w:val="32"/>
          <w:lang w:val="en-US" w:eastAsia="zh-CN" w:bidi="ar-SA"/>
        </w:rPr>
      </w:pPr>
      <w:r>
        <w:rPr>
          <w:rFonts w:hint="eastAsia" w:ascii="仿宋" w:hAnsi="仿宋" w:eastAsia="仿宋" w:cs="Times New Roman"/>
          <w:spacing w:val="-4"/>
          <w:kern w:val="2"/>
          <w:sz w:val="32"/>
          <w:szCs w:val="32"/>
          <w:lang w:val="en-US" w:eastAsia="zh-CN" w:bidi="ar-SA"/>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1300万元，主要用于</w:t>
      </w:r>
      <w:r>
        <w:rPr>
          <w:rStyle w:val="19"/>
          <w:rFonts w:hint="eastAsia" w:ascii="仿宋" w:hAnsi="仿宋" w:eastAsia="仿宋"/>
          <w:b w:val="0"/>
          <w:spacing w:val="-4"/>
          <w:sz w:val="32"/>
          <w:szCs w:val="32"/>
        </w:rPr>
        <w:t>支付</w:t>
      </w:r>
      <w:r>
        <w:rPr>
          <w:rFonts w:hint="eastAsia" w:ascii="仿宋" w:hAnsi="仿宋" w:eastAsia="仿宋" w:cs="Times New Roman"/>
          <w:spacing w:val="-4"/>
          <w:kern w:val="2"/>
          <w:sz w:val="32"/>
          <w:szCs w:val="32"/>
          <w:lang w:val="en-US" w:eastAsia="zh-CN" w:bidi="ar-SA"/>
        </w:rPr>
        <w:t>根据采购管理办法办理政府采购手续、中标手续等，玛纳斯县应急指挥中心和维稳指挥部建设。项目资金无调整情况。我局资金使用严格执行我局各项规章制度，资金落实到位，不拖欠，不做项目外的其他支出。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一、项目管理制度建设：按照公安厅及上级部门制订的相关财务制度，我局也根据单位的实际情况制定了切实可行的《财务管理制度》、《财务岗位职责》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二、日常检查监督管理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本项目共设置一级指标3个、二级指标9个、三级指标9个指标。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2018年，</w:t>
      </w:r>
      <w:r>
        <w:rPr>
          <w:rStyle w:val="19"/>
          <w:rFonts w:hint="eastAsia" w:ascii="仿宋" w:hAnsi="仿宋" w:eastAsia="仿宋"/>
          <w:b w:val="0"/>
          <w:spacing w:val="-4"/>
          <w:sz w:val="32"/>
          <w:szCs w:val="32"/>
          <w:lang w:eastAsia="zh-CN"/>
        </w:rPr>
        <w:t>我局</w:t>
      </w:r>
      <w:r>
        <w:rPr>
          <w:rStyle w:val="19"/>
          <w:rFonts w:hint="eastAsia" w:ascii="仿宋" w:hAnsi="仿宋" w:eastAsia="仿宋"/>
          <w:b w:val="0"/>
          <w:spacing w:val="-4"/>
          <w:sz w:val="32"/>
          <w:szCs w:val="32"/>
        </w:rPr>
        <w:t>紧紧围绕坚持维护社会平安稳定，</w:t>
      </w:r>
      <w:r>
        <w:rPr>
          <w:rStyle w:val="19"/>
          <w:rFonts w:hint="eastAsia" w:ascii="仿宋" w:hAnsi="仿宋" w:eastAsia="仿宋"/>
          <w:b w:val="0"/>
          <w:spacing w:val="-4"/>
          <w:sz w:val="32"/>
          <w:szCs w:val="32"/>
          <w:lang w:eastAsia="zh-CN"/>
        </w:rPr>
        <w:t>预防和惩治违法犯罪行为，维护社会秩序</w:t>
      </w:r>
      <w:r>
        <w:rPr>
          <w:rStyle w:val="19"/>
          <w:rFonts w:hint="eastAsia" w:ascii="仿宋" w:hAnsi="仿宋" w:eastAsia="仿宋"/>
          <w:b w:val="0"/>
          <w:spacing w:val="-4"/>
          <w:sz w:val="32"/>
          <w:szCs w:val="32"/>
        </w:rPr>
        <w:t>，积极推进</w:t>
      </w:r>
      <w:r>
        <w:rPr>
          <w:rStyle w:val="19"/>
          <w:rFonts w:hint="eastAsia" w:ascii="仿宋" w:hAnsi="仿宋" w:eastAsia="仿宋"/>
          <w:b w:val="0"/>
          <w:spacing w:val="-4"/>
          <w:sz w:val="32"/>
          <w:szCs w:val="32"/>
          <w:lang w:eastAsia="zh-CN"/>
        </w:rPr>
        <w:t>公安工作</w:t>
      </w:r>
      <w:r>
        <w:rPr>
          <w:rStyle w:val="19"/>
          <w:rFonts w:hint="eastAsia" w:ascii="仿宋" w:hAnsi="仿宋" w:eastAsia="仿宋"/>
          <w:b w:val="0"/>
          <w:spacing w:val="-4"/>
          <w:sz w:val="32"/>
          <w:szCs w:val="32"/>
        </w:rPr>
        <w:t>改革创新，不断加强</w:t>
      </w:r>
      <w:r>
        <w:rPr>
          <w:rStyle w:val="19"/>
          <w:rFonts w:hint="eastAsia" w:ascii="仿宋" w:hAnsi="仿宋" w:eastAsia="仿宋"/>
          <w:b w:val="0"/>
          <w:spacing w:val="-4"/>
          <w:sz w:val="32"/>
          <w:szCs w:val="32"/>
          <w:lang w:eastAsia="zh-CN"/>
        </w:rPr>
        <w:t>公安工作新办法，新经验</w:t>
      </w:r>
      <w:r>
        <w:rPr>
          <w:rStyle w:val="19"/>
          <w:rFonts w:hint="eastAsia" w:ascii="仿宋" w:hAnsi="仿宋" w:eastAsia="仿宋"/>
          <w:b w:val="0"/>
          <w:spacing w:val="-4"/>
          <w:sz w:val="32"/>
          <w:szCs w:val="32"/>
        </w:rPr>
        <w:t>等各项工作取得了新的进展。2018年</w:t>
      </w:r>
      <w:r>
        <w:rPr>
          <w:rStyle w:val="19"/>
          <w:rFonts w:hint="eastAsia" w:ascii="仿宋" w:hAnsi="仿宋" w:eastAsia="仿宋"/>
          <w:b w:val="0"/>
          <w:bCs/>
          <w:spacing w:val="-4"/>
          <w:sz w:val="32"/>
          <w:szCs w:val="32"/>
          <w:lang w:val="en-US" w:eastAsia="zh-CN"/>
        </w:rPr>
        <w:t>上级</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1300万元，</w:t>
      </w:r>
      <w:r>
        <w:rPr>
          <w:rStyle w:val="19"/>
          <w:rFonts w:hint="eastAsia" w:ascii="仿宋" w:hAnsi="仿宋" w:eastAsia="仿宋"/>
          <w:b w:val="0"/>
          <w:spacing w:val="-4"/>
          <w:sz w:val="32"/>
          <w:szCs w:val="32"/>
        </w:rPr>
        <w:t>资金全部到位。</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2"/>
        </w:numPr>
        <w:kinsoku/>
        <w:wordWrap/>
        <w:overflowPunct/>
        <w:topLinePunct w:val="0"/>
        <w:autoSpaceDE/>
        <w:autoSpaceDN/>
        <w:bidi w:val="0"/>
        <w:spacing w:after="0" w:line="540" w:lineRule="exact"/>
        <w:ind w:left="915" w:leftChars="0" w:firstLine="0" w:firstLineChars="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项目完成数量。全年支付金额</w:t>
      </w:r>
      <w:r>
        <w:rPr>
          <w:rStyle w:val="19"/>
          <w:rFonts w:hint="eastAsia" w:ascii="仿宋" w:hAnsi="仿宋" w:eastAsia="仿宋"/>
          <w:b w:val="0"/>
          <w:spacing w:val="-4"/>
          <w:sz w:val="32"/>
          <w:szCs w:val="32"/>
          <w:lang w:val="en-US" w:eastAsia="zh-CN"/>
        </w:rPr>
        <w:t xml:space="preserve">1300万 </w:t>
      </w:r>
    </w:p>
    <w:p>
      <w:pPr>
        <w:keepNext w:val="0"/>
        <w:keepLines w:val="0"/>
        <w:pageBreakBefore w:val="0"/>
        <w:widowControl w:val="0"/>
        <w:numPr>
          <w:ilvl w:val="0"/>
          <w:numId w:val="2"/>
        </w:numPr>
        <w:kinsoku/>
        <w:wordWrap/>
        <w:overflowPunct/>
        <w:topLinePunct w:val="0"/>
        <w:autoSpaceDE/>
        <w:autoSpaceDN/>
        <w:bidi w:val="0"/>
        <w:spacing w:after="0" w:line="540" w:lineRule="exact"/>
        <w:ind w:left="915" w:leftChars="0" w:firstLine="0" w:firstLineChars="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w:t>
      </w:r>
      <w:r>
        <w:rPr>
          <w:rStyle w:val="19"/>
          <w:rFonts w:hint="eastAsia" w:ascii="仿宋" w:hAnsi="仿宋" w:eastAsia="仿宋"/>
          <w:b w:val="0"/>
          <w:spacing w:val="-4"/>
          <w:sz w:val="32"/>
          <w:szCs w:val="32"/>
          <w:lang w:eastAsia="zh-CN"/>
        </w:rPr>
        <w:t>项目完成质量。专项经费依法执行率</w:t>
      </w:r>
      <w:r>
        <w:rPr>
          <w:rStyle w:val="19"/>
          <w:rFonts w:hint="eastAsia" w:ascii="仿宋" w:hAnsi="仿宋" w:eastAsia="仿宋"/>
          <w:b w:val="0"/>
          <w:spacing w:val="-4"/>
          <w:sz w:val="32"/>
          <w:szCs w:val="32"/>
          <w:lang w:val="en-US" w:eastAsia="zh-CN"/>
        </w:rPr>
        <w:t>100% 。</w:t>
      </w:r>
    </w:p>
    <w:p>
      <w:pPr>
        <w:keepNext w:val="0"/>
        <w:keepLines w:val="0"/>
        <w:pageBreakBefore w:val="0"/>
        <w:widowControl w:val="0"/>
        <w:numPr>
          <w:ilvl w:val="0"/>
          <w:numId w:val="2"/>
        </w:numPr>
        <w:kinsoku/>
        <w:wordWrap/>
        <w:overflowPunct/>
        <w:topLinePunct w:val="0"/>
        <w:autoSpaceDE/>
        <w:autoSpaceDN/>
        <w:bidi w:val="0"/>
        <w:spacing w:after="0" w:line="540" w:lineRule="exact"/>
        <w:ind w:left="915" w:leftChars="0" w:firstLine="0" w:firstLineChars="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left="1026" w:leftChars="456" w:hanging="68" w:hangingChars="22"/>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（4）项目成本。禁毒专项项目成本</w:t>
      </w:r>
      <w:r>
        <w:rPr>
          <w:rStyle w:val="19"/>
          <w:rFonts w:hint="eastAsia" w:ascii="仿宋" w:hAnsi="仿宋" w:eastAsia="仿宋"/>
          <w:b w:val="0"/>
          <w:spacing w:val="-4"/>
          <w:sz w:val="32"/>
          <w:szCs w:val="32"/>
          <w:lang w:val="en-US" w:eastAsia="zh-CN"/>
        </w:rPr>
        <w:t>29.3万元，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b w:val="0"/>
          <w:color w:val="000000" w:themeColor="text1"/>
          <w:spacing w:val="-4"/>
          <w:sz w:val="32"/>
          <w:szCs w:val="32"/>
          <w:lang w:eastAsia="zh-CN"/>
        </w:rPr>
        <w:t>全面提高对辖区管控能力，改善办公环境。方便群众办事提高办事效率和质量，辖区的违法案件明显减少，社会治安明显好转，群众的安全感和满意度明显提高，</w:t>
      </w:r>
      <w:r>
        <w:rPr>
          <w:rStyle w:val="19"/>
          <w:rFonts w:hint="eastAsia" w:ascii="仿宋" w:hAnsi="仿宋" w:eastAsia="仿宋"/>
          <w:b w:val="0"/>
          <w:color w:val="000000" w:themeColor="text1"/>
          <w:spacing w:val="-4"/>
          <w:sz w:val="32"/>
          <w:szCs w:val="32"/>
        </w:rPr>
        <w:t>保护人民群众合法权益，维护社会安定稳定，维护社会公平正义</w:t>
      </w:r>
      <w:r>
        <w:rPr>
          <w:rStyle w:val="19"/>
          <w:rFonts w:hint="eastAsia" w:ascii="仿宋" w:hAnsi="仿宋" w:eastAsia="仿宋"/>
          <w:b w:val="0"/>
          <w:color w:val="000000" w:themeColor="text1"/>
          <w:spacing w:val="-4"/>
          <w:sz w:val="32"/>
          <w:szCs w:val="32"/>
          <w:lang w:eastAsia="zh-CN"/>
        </w:rPr>
        <w:t>，</w:t>
      </w:r>
      <w:r>
        <w:rPr>
          <w:rStyle w:val="19"/>
          <w:rFonts w:hint="eastAsia" w:ascii="仿宋" w:hAnsi="仿宋" w:eastAsia="仿宋"/>
          <w:b w:val="0"/>
          <w:color w:val="000000" w:themeColor="text1"/>
          <w:spacing w:val="-4"/>
          <w:sz w:val="32"/>
          <w:szCs w:val="32"/>
        </w:rPr>
        <w:t>促进了社会公平正义与和谐进步。</w:t>
      </w:r>
      <w:r>
        <w:rPr>
          <w:rFonts w:hint="eastAsia" w:ascii="仿宋" w:hAnsi="仿宋" w:eastAsia="仿宋" w:cs="仿宋"/>
          <w:b w:val="0"/>
          <w:bCs/>
          <w:color w:val="auto"/>
          <w:kern w:val="0"/>
          <w:sz w:val="32"/>
          <w:szCs w:val="32"/>
          <w:lang w:eastAsia="zh-CN"/>
        </w:rPr>
        <w:t>已完成该项指标，完成率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bookmarkStart w:id="0" w:name="_GoBack"/>
      <w:bookmarkEnd w:id="0"/>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Fonts w:hint="eastAsia" w:ascii="仿宋" w:hAnsi="仿宋" w:eastAsia="仿宋"/>
          <w:spacing w:val="-4"/>
          <w:sz w:val="32"/>
          <w:szCs w:val="32"/>
          <w:lang w:eastAsia="zh-CN"/>
        </w:rPr>
        <w:t>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无</w:t>
      </w:r>
    </w:p>
    <w:p>
      <w:pPr>
        <w:numPr>
          <w:ilvl w:val="0"/>
          <w:numId w:val="0"/>
        </w:numPr>
        <w:spacing w:line="540" w:lineRule="exact"/>
        <w:ind w:left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778"/>
        <w:gridCol w:w="1282"/>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7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28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玛纳斯县应急指挥中心和维稳指挥部建设项目资金</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1300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1300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09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54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9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rPr>
            </w:pPr>
            <w:r>
              <w:rPr>
                <w:rFonts w:hint="eastAsia" w:ascii="宋体" w:hAnsi="宋体" w:cs="宋体"/>
                <w:kern w:val="0"/>
                <w:sz w:val="24"/>
              </w:rPr>
              <w:t>减少违反犯罪事件，预防严重违法犯罪事故发生，改善办公环境，从而提高办公效率，充分发挥公安职能，维护社会稳定。</w:t>
            </w:r>
          </w:p>
          <w:p>
            <w:pPr>
              <w:widowControl/>
              <w:jc w:val="left"/>
              <w:rPr>
                <w:rFonts w:ascii="宋体" w:hAnsi="宋体" w:cs="宋体"/>
                <w:kern w:val="0"/>
                <w:sz w:val="24"/>
              </w:rPr>
            </w:pPr>
          </w:p>
        </w:tc>
        <w:tc>
          <w:tcPr>
            <w:tcW w:w="354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减少违反犯罪事件，预防严重违法犯罪事故发生，改善办公环境，从而提高办公效率，充分发挥公安职能，维护社会稳定</w:t>
            </w:r>
          </w:p>
        </w:tc>
      </w:tr>
      <w:tr>
        <w:tblPrEx>
          <w:tblCellMar>
            <w:top w:w="0" w:type="dxa"/>
            <w:left w:w="108" w:type="dxa"/>
            <w:bottom w:w="0" w:type="dxa"/>
            <w:right w:w="108" w:type="dxa"/>
          </w:tblCellMar>
        </w:tblPrEx>
        <w:trPr>
          <w:trHeight w:val="7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9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4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9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4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全年支付金额</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1300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1300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cs="宋体"/>
                <w:kern w:val="0"/>
                <w:sz w:val="24"/>
              </w:rPr>
            </w:pPr>
          </w:p>
        </w:tc>
        <w:tc>
          <w:tcPr>
            <w:tcW w:w="1400" w:type="dxa"/>
            <w:vMerge w:val="continue"/>
            <w:tcBorders>
              <w:left w:val="nil"/>
              <w:bottom w:val="nil"/>
              <w:right w:val="single" w:color="auto" w:sz="4" w:space="0"/>
            </w:tcBorders>
            <w:shd w:val="clear" w:color="auto" w:fill="auto"/>
            <w:vAlign w:val="center"/>
          </w:tcPr>
          <w:p>
            <w:pPr>
              <w:widowControl/>
              <w:jc w:val="center"/>
              <w:rPr>
                <w:rFonts w:hint="eastAsia" w:ascii="宋体" w:hAnsi="宋体" w:cs="宋体"/>
                <w:kern w:val="0"/>
                <w:sz w:val="24"/>
              </w:rPr>
            </w:pP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建筑年限</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eastAsia="zh-CN"/>
              </w:rPr>
            </w:pPr>
            <w:r>
              <w:rPr>
                <w:rFonts w:hint="eastAsia" w:ascii="宋体" w:hAnsi="宋体" w:cs="宋体"/>
                <w:kern w:val="0"/>
                <w:sz w:val="24"/>
                <w:lang w:val="en-US" w:eastAsia="zh-CN"/>
              </w:rPr>
              <w:t>2年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2年</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专项经费依法执行率</w:t>
            </w:r>
            <w:r>
              <w:rPr>
                <w:rFonts w:ascii="宋体" w:hAnsi="宋体" w:cs="宋体"/>
                <w:kern w:val="0"/>
                <w:sz w:val="24"/>
              </w:rPr>
              <w:t xml:space="preserve"> </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cs="宋体"/>
                <w:kern w:val="0"/>
                <w:sz w:val="24"/>
                <w:lang w:val="en-US" w:eastAsia="zh-CN"/>
              </w:rPr>
              <w:t>1300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1300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社会面管控</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39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2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BEAB"/>
    <w:multiLevelType w:val="singleLevel"/>
    <w:tmpl w:val="0112BEAB"/>
    <w:lvl w:ilvl="0" w:tentative="0">
      <w:start w:val="1"/>
      <w:numFmt w:val="decimal"/>
      <w:suff w:val="nothing"/>
      <w:lvlText w:val="（%1）"/>
      <w:lvlJc w:val="left"/>
      <w:pPr>
        <w:ind w:left="915" w:leftChars="0" w:firstLine="0" w:firstLineChars="0"/>
      </w:pPr>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0F39"/>
    <w:rsid w:val="000E7402"/>
    <w:rsid w:val="00121AE4"/>
    <w:rsid w:val="00146AAD"/>
    <w:rsid w:val="001B3A40"/>
    <w:rsid w:val="002977E8"/>
    <w:rsid w:val="003337E0"/>
    <w:rsid w:val="003422CC"/>
    <w:rsid w:val="00351685"/>
    <w:rsid w:val="00364E0B"/>
    <w:rsid w:val="003B13D3"/>
    <w:rsid w:val="003C18BC"/>
    <w:rsid w:val="004366A8"/>
    <w:rsid w:val="00464900"/>
    <w:rsid w:val="00502BA7"/>
    <w:rsid w:val="005162F1"/>
    <w:rsid w:val="00535153"/>
    <w:rsid w:val="00542434"/>
    <w:rsid w:val="00554F82"/>
    <w:rsid w:val="0056390D"/>
    <w:rsid w:val="005719B0"/>
    <w:rsid w:val="005C50AE"/>
    <w:rsid w:val="005D10D6"/>
    <w:rsid w:val="00672B57"/>
    <w:rsid w:val="006F709F"/>
    <w:rsid w:val="00722C22"/>
    <w:rsid w:val="007806A5"/>
    <w:rsid w:val="007A3794"/>
    <w:rsid w:val="007A7588"/>
    <w:rsid w:val="007C5E51"/>
    <w:rsid w:val="007D1D4C"/>
    <w:rsid w:val="007F7BED"/>
    <w:rsid w:val="00855E3A"/>
    <w:rsid w:val="00876371"/>
    <w:rsid w:val="008858F2"/>
    <w:rsid w:val="008D24C5"/>
    <w:rsid w:val="008F7A1D"/>
    <w:rsid w:val="00922CB9"/>
    <w:rsid w:val="00996504"/>
    <w:rsid w:val="009C4E03"/>
    <w:rsid w:val="009E5CD9"/>
    <w:rsid w:val="009F4AB5"/>
    <w:rsid w:val="00A133D0"/>
    <w:rsid w:val="00A26421"/>
    <w:rsid w:val="00A337BA"/>
    <w:rsid w:val="00A4293B"/>
    <w:rsid w:val="00A67D50"/>
    <w:rsid w:val="00A8691A"/>
    <w:rsid w:val="00AA2202"/>
    <w:rsid w:val="00AC1946"/>
    <w:rsid w:val="00AF2231"/>
    <w:rsid w:val="00B40063"/>
    <w:rsid w:val="00B41F61"/>
    <w:rsid w:val="00B60449"/>
    <w:rsid w:val="00B65FCB"/>
    <w:rsid w:val="00BA46E6"/>
    <w:rsid w:val="00C042BC"/>
    <w:rsid w:val="00C56C72"/>
    <w:rsid w:val="00CA6457"/>
    <w:rsid w:val="00CC4FD7"/>
    <w:rsid w:val="00D17F2E"/>
    <w:rsid w:val="00D209D1"/>
    <w:rsid w:val="00D2223F"/>
    <w:rsid w:val="00D30354"/>
    <w:rsid w:val="00D82C00"/>
    <w:rsid w:val="00DA62E5"/>
    <w:rsid w:val="00DF42A0"/>
    <w:rsid w:val="00E0665E"/>
    <w:rsid w:val="00E46C51"/>
    <w:rsid w:val="00E769FE"/>
    <w:rsid w:val="00EA2CBE"/>
    <w:rsid w:val="00EE7710"/>
    <w:rsid w:val="00EF2659"/>
    <w:rsid w:val="00F04F7A"/>
    <w:rsid w:val="00F2607F"/>
    <w:rsid w:val="00F32FEE"/>
    <w:rsid w:val="00F51E2C"/>
    <w:rsid w:val="00FB10BB"/>
    <w:rsid w:val="00FD0AD7"/>
    <w:rsid w:val="1B522D73"/>
    <w:rsid w:val="24AE5DC9"/>
    <w:rsid w:val="357D6EE2"/>
    <w:rsid w:val="50F21AAF"/>
    <w:rsid w:val="553C40C4"/>
    <w:rsid w:val="5C4D0274"/>
    <w:rsid w:val="63C42FF6"/>
    <w:rsid w:val="6DF73C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357</Words>
  <Characters>2035</Characters>
  <Lines>16</Lines>
  <Paragraphs>4</Paragraphs>
  <TotalTime>0</TotalTime>
  <ScaleCrop>false</ScaleCrop>
  <LinksUpToDate>false</LinksUpToDate>
  <CharactersWithSpaces>2388</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2019-10-25T13:23:07Z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