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bookmarkStart w:id="0" w:name="_GoBack"/>
      <w:bookmarkEnd w:id="0"/>
      <w:r>
        <w:rPr>
          <w:rFonts w:hint="eastAsia" w:hAnsi="宋体" w:eastAsia="仿宋_GB2312" w:cs="宋体"/>
          <w:kern w:val="0"/>
          <w:sz w:val="36"/>
          <w:szCs w:val="36"/>
        </w:rPr>
        <w:t>项目名称：玛纳斯县工业园区特勤消防站项目</w:t>
      </w:r>
    </w:p>
    <w:p>
      <w:pPr>
        <w:spacing w:line="700" w:lineRule="exact"/>
        <w:ind w:firstLine="849" w:firstLineChars="236"/>
        <w:jc w:val="left"/>
        <w:rPr>
          <w:rFonts w:hAnsi="宋体" w:eastAsia="仿宋_GB2312" w:cs="宋体"/>
          <w:spacing w:val="-20"/>
          <w:kern w:val="0"/>
          <w:sz w:val="36"/>
          <w:szCs w:val="36"/>
        </w:rPr>
      </w:pPr>
      <w:r>
        <w:rPr>
          <w:rFonts w:hint="eastAsia" w:hAnsi="宋体" w:eastAsia="仿宋_GB2312" w:cs="宋体"/>
          <w:kern w:val="0"/>
          <w:sz w:val="36"/>
          <w:szCs w:val="36"/>
        </w:rPr>
        <w:t>实施单位（公章）：</w:t>
      </w:r>
      <w:r>
        <w:rPr>
          <w:rFonts w:hint="eastAsia" w:hAnsi="宋体" w:eastAsia="仿宋_GB2312" w:cs="宋体"/>
          <w:spacing w:val="-20"/>
          <w:kern w:val="0"/>
          <w:sz w:val="36"/>
          <w:szCs w:val="36"/>
        </w:rPr>
        <w:t>玛纳斯县工业园区管理委员会</w:t>
      </w:r>
    </w:p>
    <w:p>
      <w:pPr>
        <w:spacing w:line="700" w:lineRule="exact"/>
        <w:ind w:firstLine="849" w:firstLineChars="236"/>
        <w:jc w:val="left"/>
        <w:rPr>
          <w:rFonts w:hAnsi="宋体" w:eastAsia="仿宋_GB2312" w:cs="宋体"/>
          <w:spacing w:val="-20"/>
          <w:kern w:val="0"/>
          <w:sz w:val="36"/>
          <w:szCs w:val="36"/>
        </w:rPr>
      </w:pPr>
      <w:r>
        <w:rPr>
          <w:rFonts w:hint="eastAsia" w:hAnsi="宋体" w:eastAsia="仿宋_GB2312" w:cs="宋体"/>
          <w:kern w:val="0"/>
          <w:sz w:val="36"/>
          <w:szCs w:val="36"/>
        </w:rPr>
        <w:t>主管部门（公章）：</w:t>
      </w:r>
      <w:r>
        <w:rPr>
          <w:rFonts w:hint="eastAsia" w:hAnsi="宋体" w:eastAsia="仿宋_GB2312" w:cs="宋体"/>
          <w:spacing w:val="-20"/>
          <w:kern w:val="0"/>
          <w:sz w:val="36"/>
          <w:szCs w:val="36"/>
        </w:rPr>
        <w:t>玛纳斯县工业园区管理委员会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 2月13日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lang w:val="en-US" w:eastAsia="zh-CN"/>
        </w:rPr>
        <w:t xml:space="preserve">    </w:t>
      </w:r>
      <w:r>
        <w:rPr>
          <w:rStyle w:val="18"/>
          <w:rFonts w:hint="eastAsia" w:ascii="仿宋" w:hAnsi="仿宋" w:eastAsia="仿宋"/>
          <w:b w:val="0"/>
          <w:spacing w:val="-4"/>
          <w:sz w:val="32"/>
          <w:szCs w:val="32"/>
        </w:rPr>
        <w:t>玛纳斯县工业园区管理委员会是县人民政府的派出事业机构，业务范围是为工业园区建设提供监管保障，工业园区建设中长期规划编制和实施，投资项目协调服务，园区内土地开发、物业管理，重点项目遴选。</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工业园区是2010年8月30日经自治区人民政府批准的自治区级工业园区，截止2017年底园区共入驻各类企业58家，就业总人数达到11000人，园区基础设施累计投资11.66亿元，园区全部工业企业完成总产值200亿元。争取自治区、自治州各类专项补助资金5600万元。通过不懈努力，玛纳斯县工业园区纺织服装产业园被纳入自治区重点扶持的服装产业园，并获得了稳定的专项资金支持。</w:t>
      </w:r>
    </w:p>
    <w:p>
      <w:pPr>
        <w:numPr>
          <w:ilvl w:val="0"/>
          <w:numId w:val="1"/>
        </w:num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610"/>
        <w:rPr>
          <w:rStyle w:val="18"/>
          <w:rFonts w:ascii="楷体" w:hAnsi="楷体" w:eastAsia="楷体"/>
          <w:spacing w:val="-4"/>
          <w:sz w:val="32"/>
          <w:szCs w:val="32"/>
        </w:rPr>
      </w:pPr>
      <w:r>
        <w:rPr>
          <w:rStyle w:val="18"/>
          <w:rFonts w:hint="eastAsia" w:ascii="楷体" w:hAnsi="楷体" w:eastAsia="楷体"/>
          <w:spacing w:val="-4"/>
          <w:sz w:val="32"/>
          <w:szCs w:val="32"/>
        </w:rPr>
        <w:t>1、预期目标及阶段性目标：</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为了完善玛纳斯县工业园区消防安全体系，创造良好的消防安全环境，提高园区预防和抵御火灾的整体能力，提高消防队伍紧急处置各种灾害事故、抢险救援的综合能力，最大限度地保障人民生命安全，减少火灾及其它灾害事故的损失，促进园区消防建设协调有序发展，适应玛纳斯县工业园区消防安全保障的需要，工业园区特勤消防站建设项目是迫在眉睫的任务，项目的实施意义重大，并且符合国家改革开放和全面建设小康社会的政治经济形式的需要，符合玛纳斯县经济社会发展和社会稳定的要求，也是玛纳斯县工业园区加强公共消防设施建设，提高火灾防御能力，切实贯彻公安部“三基”工程建设的重要举措。</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建设条件基本具备，社会效益显著，同时有助于更好的服务园区企业经济建设和招商引资环境。项目建设后，有助于全面提升玛纳斯县特勤消防站的整体业务技术水平，充分发挥其维护社会治安、社会稳定、社会秩序的社会职能。因此，本项目建设势在必行，是玛纳斯县经济发展和社会稳定的硬件保障，非常必要。</w:t>
      </w:r>
    </w:p>
    <w:p>
      <w:pPr>
        <w:numPr>
          <w:ilvl w:val="0"/>
          <w:numId w:val="2"/>
        </w:num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项目基本性质、用途：</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lang w:val="en-US" w:eastAsia="zh-CN"/>
        </w:rPr>
        <w:t xml:space="preserve">   </w:t>
      </w:r>
      <w:r>
        <w:rPr>
          <w:rStyle w:val="18"/>
          <w:rFonts w:hint="eastAsia" w:ascii="仿宋" w:hAnsi="仿宋" w:eastAsia="仿宋"/>
          <w:b w:val="0"/>
          <w:spacing w:val="-4"/>
          <w:sz w:val="32"/>
          <w:szCs w:val="32"/>
        </w:rPr>
        <w:t>玛纳斯县工业园区特勤消防站是玛纳斯县工业园区基础设施建设的重要组成部分。是保障社会公共安全、生产安全必不可少的建设项目，是保障玛纳斯县社会生产生活安全运行，提升玛纳斯县防灾抗灾能力的重要前提和基础。</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的建设是回应人民群众期待，满足人民群众需要，实现人民群众满意，直接面向群众、服务群众，是一项便民、利民、惠民的举措，为促进当地经济发展、社会稳定具有积极的现实意义。本项目建成后，对加强玛纳斯县公共消防设施建设，提高火灾防御能力。保证玛纳斯县当地社会秩序稳定，民族团结，人民安居乐业，切实为当地人民群众服务打下了坚实的基础。</w:t>
      </w:r>
    </w:p>
    <w:p>
      <w:pPr>
        <w:spacing w:line="540" w:lineRule="exact"/>
        <w:ind w:firstLine="564" w:firstLineChars="181"/>
        <w:rPr>
          <w:rStyle w:val="18"/>
          <w:rFonts w:ascii="仿宋" w:hAnsi="仿宋" w:eastAsia="仿宋"/>
          <w:b w:val="0"/>
          <w:color w:val="FF0000"/>
          <w:spacing w:val="-4"/>
          <w:sz w:val="32"/>
          <w:szCs w:val="32"/>
        </w:rPr>
      </w:pPr>
      <w:r>
        <w:rPr>
          <w:rStyle w:val="18"/>
          <w:rFonts w:hint="eastAsia" w:ascii="仿宋" w:hAnsi="仿宋" w:eastAsia="仿宋"/>
          <w:b w:val="0"/>
          <w:spacing w:val="-4"/>
          <w:sz w:val="32"/>
          <w:szCs w:val="32"/>
        </w:rPr>
        <w:t>3、主要内容、涉及范围：新建5600平方米特勤消防站办公楼，包括土建、室内外装修、供水管道、排水管道、供暖管道、电气、围墙、训练场、停车场硬化地面、景观园林、监控。涉及玛纳斯县全域。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Style w:val="18"/>
          <w:rFonts w:hint="eastAsia" w:ascii="仿宋" w:hAnsi="仿宋" w:eastAsia="仿宋"/>
          <w:b w:val="0"/>
          <w:spacing w:val="-4"/>
          <w:sz w:val="32"/>
          <w:szCs w:val="32"/>
        </w:rPr>
      </w:pPr>
      <w:r>
        <w:rPr>
          <w:rStyle w:val="18"/>
          <w:rFonts w:hint="eastAsia" w:ascii="仿宋" w:hAnsi="仿宋" w:eastAsia="仿宋"/>
          <w:b w:val="0"/>
          <w:spacing w:val="-4"/>
          <w:sz w:val="32"/>
          <w:szCs w:val="32"/>
          <w:lang w:eastAsia="zh-CN"/>
        </w:rPr>
        <w:t>该项目通过招投标，</w:t>
      </w:r>
      <w:r>
        <w:rPr>
          <w:rStyle w:val="18"/>
          <w:rFonts w:hint="eastAsia" w:ascii="仿宋" w:hAnsi="仿宋" w:eastAsia="仿宋"/>
          <w:b w:val="0"/>
          <w:spacing w:val="-4"/>
          <w:sz w:val="32"/>
          <w:szCs w:val="32"/>
        </w:rPr>
        <w:t>工程中标价为1580.16万元</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2018年</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根据工程实际情况</w:t>
      </w:r>
      <w:r>
        <w:rPr>
          <w:rStyle w:val="18"/>
          <w:rFonts w:hint="eastAsia" w:ascii="仿宋" w:hAnsi="仿宋" w:eastAsia="仿宋"/>
          <w:b w:val="0"/>
          <w:spacing w:val="-4"/>
          <w:sz w:val="32"/>
          <w:szCs w:val="32"/>
          <w:lang w:eastAsia="zh-CN"/>
        </w:rPr>
        <w:t>和本县财力，</w:t>
      </w:r>
      <w:r>
        <w:rPr>
          <w:rStyle w:val="18"/>
          <w:rFonts w:hint="eastAsia" w:ascii="仿宋" w:hAnsi="仿宋" w:eastAsia="仿宋"/>
          <w:b w:val="0"/>
          <w:spacing w:val="-4"/>
          <w:sz w:val="32"/>
          <w:szCs w:val="32"/>
        </w:rPr>
        <w:t>经过县财经领导小组审议通过，2018年</w:t>
      </w:r>
      <w:r>
        <w:rPr>
          <w:rStyle w:val="18"/>
          <w:rFonts w:hint="eastAsia" w:ascii="仿宋" w:hAnsi="仿宋" w:eastAsia="仿宋"/>
          <w:b w:val="0"/>
          <w:spacing w:val="-4"/>
          <w:sz w:val="32"/>
          <w:szCs w:val="32"/>
          <w:lang w:eastAsia="zh-CN"/>
        </w:rPr>
        <w:t>从县本级财政</w:t>
      </w:r>
      <w:r>
        <w:rPr>
          <w:rStyle w:val="18"/>
          <w:rFonts w:hint="eastAsia" w:ascii="仿宋" w:hAnsi="仿宋" w:eastAsia="仿宋"/>
          <w:b w:val="0"/>
          <w:spacing w:val="-4"/>
          <w:sz w:val="32"/>
          <w:szCs w:val="32"/>
        </w:rPr>
        <w:t>安排项目资金395320元，</w:t>
      </w:r>
      <w:r>
        <w:rPr>
          <w:rStyle w:val="18"/>
          <w:rFonts w:hint="eastAsia" w:ascii="仿宋" w:hAnsi="仿宋" w:eastAsia="仿宋"/>
          <w:b w:val="0"/>
          <w:spacing w:val="-4"/>
          <w:sz w:val="32"/>
          <w:szCs w:val="32"/>
          <w:lang w:eastAsia="zh-CN"/>
        </w:rPr>
        <w:t>用于支付项目耕地占用税</w:t>
      </w:r>
      <w:r>
        <w:rPr>
          <w:rStyle w:val="18"/>
          <w:rFonts w:hint="eastAsia" w:ascii="仿宋" w:hAnsi="仿宋" w:eastAsia="仿宋"/>
          <w:b w:val="0"/>
          <w:spacing w:val="-4"/>
          <w:sz w:val="32"/>
          <w:szCs w:val="32"/>
        </w:rPr>
        <w:t>395320元。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根据玛纳斯县工业园区报送县人民政府的工程实际进度和工程施工情况，并报经相关单位同意后，直接支付</w:t>
      </w:r>
      <w:r>
        <w:rPr>
          <w:rStyle w:val="18"/>
          <w:rFonts w:hint="eastAsia" w:ascii="仿宋" w:hAnsi="仿宋" w:eastAsia="仿宋"/>
          <w:b w:val="0"/>
          <w:spacing w:val="-4"/>
          <w:sz w:val="32"/>
          <w:szCs w:val="32"/>
          <w:lang w:eastAsia="zh-CN"/>
        </w:rPr>
        <w:t>项目耕地占用税</w:t>
      </w:r>
      <w:r>
        <w:rPr>
          <w:rStyle w:val="18"/>
          <w:rFonts w:hint="eastAsia" w:ascii="仿宋" w:hAnsi="仿宋" w:eastAsia="仿宋"/>
          <w:b w:val="0"/>
          <w:spacing w:val="-4"/>
          <w:sz w:val="32"/>
          <w:szCs w:val="32"/>
        </w:rPr>
        <w:t>395320元</w:t>
      </w:r>
      <w:r>
        <w:rPr>
          <w:rStyle w:val="18"/>
          <w:rFonts w:hint="eastAsia" w:ascii="仿宋" w:hAnsi="仿宋" w:eastAsia="仿宋"/>
          <w:b w:val="0"/>
          <w:spacing w:val="-4"/>
          <w:sz w:val="32"/>
          <w:szCs w:val="32"/>
          <w:lang w:eastAsia="zh-CN"/>
        </w:rPr>
        <w:t>，耕地占用税缴纳率</w:t>
      </w:r>
      <w:r>
        <w:rPr>
          <w:rStyle w:val="18"/>
          <w:rFonts w:hint="eastAsia" w:ascii="仿宋" w:hAnsi="仿宋" w:eastAsia="仿宋"/>
          <w:b w:val="0"/>
          <w:spacing w:val="-4"/>
          <w:sz w:val="32"/>
          <w:szCs w:val="32"/>
          <w:lang w:val="en-US" w:eastAsia="zh-CN"/>
        </w:rPr>
        <w:t>100%，2018年完成主体工程量70%。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我单位严格财政项目资金管理制度，根据相关工程资料所反映的工程进度和质量支付相关项目资金，做到了专款专用，坚决杜绝了挪用、跑冒滴漏等违规违纪现象。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ind w:firstLine="640" w:firstLineChars="200"/>
        <w:rPr>
          <w:rFonts w:ascii="仿宋" w:hAnsi="仿宋" w:eastAsia="仿宋"/>
          <w:sz w:val="32"/>
          <w:szCs w:val="32"/>
        </w:rPr>
      </w:pPr>
      <w:r>
        <w:rPr>
          <w:rFonts w:hint="eastAsia" w:ascii="仿宋" w:hAnsi="仿宋" w:eastAsia="仿宋"/>
          <w:sz w:val="32"/>
          <w:szCs w:val="32"/>
        </w:rPr>
        <w:t>1、项目投标情况：玛纳斯县工业园区特勤消防站办公楼建设项目于2017年1月16日公开招标，</w:t>
      </w:r>
      <w:r>
        <w:rPr>
          <w:rFonts w:hint="eastAsia" w:ascii="仿宋" w:hAnsi="仿宋" w:eastAsia="仿宋"/>
          <w:sz w:val="32"/>
          <w:szCs w:val="32"/>
          <w:lang w:eastAsia="zh-CN"/>
        </w:rPr>
        <w:t>计划于</w:t>
      </w:r>
      <w:r>
        <w:rPr>
          <w:rFonts w:hint="eastAsia" w:ascii="仿宋" w:hAnsi="仿宋" w:eastAsia="仿宋"/>
          <w:sz w:val="32"/>
          <w:szCs w:val="32"/>
          <w:lang w:val="en-US" w:eastAsia="zh-CN"/>
        </w:rPr>
        <w:t>2020年完工，</w:t>
      </w:r>
      <w:r>
        <w:rPr>
          <w:rFonts w:hint="eastAsia" w:ascii="仿宋" w:hAnsi="仿宋" w:eastAsia="仿宋"/>
          <w:sz w:val="32"/>
          <w:szCs w:val="32"/>
        </w:rPr>
        <w:t>中标单位是玛纳斯县峰源建筑安装有限责任公司，中标价为1580.16万元。</w:t>
      </w:r>
      <w:r>
        <w:rPr>
          <w:rFonts w:hint="eastAsia" w:ascii="仿宋" w:hAnsi="仿宋" w:eastAsia="仿宋"/>
          <w:sz w:val="32"/>
          <w:szCs w:val="32"/>
          <w:lang w:eastAsia="zh-CN"/>
        </w:rPr>
        <w:t>由专人跟踪项目，根据</w:t>
      </w:r>
      <w:r>
        <w:rPr>
          <w:rStyle w:val="18"/>
          <w:rFonts w:hint="eastAsia" w:ascii="仿宋" w:hAnsi="仿宋" w:eastAsia="仿宋"/>
          <w:b w:val="0"/>
          <w:spacing w:val="-4"/>
          <w:sz w:val="32"/>
          <w:szCs w:val="32"/>
        </w:rPr>
        <w:t>工程实际进度和工程施工情况，经过县财经领导小组审议通过，</w:t>
      </w:r>
      <w:r>
        <w:rPr>
          <w:rStyle w:val="18"/>
          <w:rFonts w:hint="eastAsia" w:ascii="仿宋" w:hAnsi="仿宋" w:eastAsia="仿宋"/>
          <w:b w:val="0"/>
          <w:spacing w:val="-4"/>
          <w:sz w:val="32"/>
          <w:szCs w:val="32"/>
          <w:lang w:eastAsia="zh-CN"/>
        </w:rPr>
        <w:t>支付工程款。</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该项目负责人对项目施工组织情况，监理组织情况，施工建设进度，工程质量，施工安全等情况实行不定期和定期检查相结合，对项目进展及施工质量进行日常检查监督。</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项目</w:t>
      </w:r>
      <w:r>
        <w:rPr>
          <w:rStyle w:val="18"/>
          <w:rFonts w:hint="eastAsia" w:ascii="仿宋" w:hAnsi="仿宋" w:eastAsia="仿宋"/>
          <w:b w:val="0"/>
          <w:spacing w:val="-4"/>
          <w:sz w:val="32"/>
          <w:szCs w:val="32"/>
          <w:lang w:eastAsia="zh-CN"/>
        </w:rPr>
        <w:t>责任人</w:t>
      </w:r>
      <w:r>
        <w:rPr>
          <w:rStyle w:val="18"/>
          <w:rFonts w:hint="eastAsia" w:ascii="仿宋" w:hAnsi="仿宋" w:eastAsia="仿宋"/>
          <w:b w:val="0"/>
          <w:spacing w:val="-4"/>
          <w:sz w:val="32"/>
          <w:szCs w:val="32"/>
        </w:rPr>
        <w:t>对</w:t>
      </w:r>
      <w:r>
        <w:rPr>
          <w:rStyle w:val="18"/>
          <w:rFonts w:hint="eastAsia" w:ascii="仿宋" w:hAnsi="仿宋" w:eastAsia="仿宋"/>
          <w:b w:val="0"/>
          <w:spacing w:val="-4"/>
          <w:sz w:val="32"/>
          <w:szCs w:val="32"/>
          <w:lang w:eastAsia="zh-CN"/>
        </w:rPr>
        <w:t>该</w:t>
      </w:r>
      <w:r>
        <w:rPr>
          <w:rStyle w:val="18"/>
          <w:rFonts w:hint="eastAsia" w:ascii="仿宋" w:hAnsi="仿宋" w:eastAsia="仿宋"/>
          <w:b w:val="0"/>
          <w:spacing w:val="-4"/>
          <w:sz w:val="32"/>
          <w:szCs w:val="32"/>
        </w:rPr>
        <w:t>项目施工组织情况，监理组织情况，施工建设进度，工程质量，施工安全等情况实行不定期和定期检查相结合，对项目进展及施工质量进行日常检查监督。</w:t>
      </w:r>
      <w:r>
        <w:rPr>
          <w:rStyle w:val="18"/>
          <w:rFonts w:hint="eastAsia" w:ascii="仿宋" w:hAnsi="仿宋" w:eastAsia="仿宋"/>
          <w:b w:val="0"/>
          <w:spacing w:val="-4"/>
          <w:sz w:val="32"/>
          <w:szCs w:val="32"/>
          <w:lang w:eastAsia="zh-CN"/>
        </w:rPr>
        <w:t>项目建成后</w:t>
      </w:r>
      <w:r>
        <w:rPr>
          <w:rStyle w:val="18"/>
          <w:rFonts w:hint="eastAsia" w:ascii="仿宋" w:hAnsi="仿宋" w:eastAsia="仿宋"/>
          <w:b w:val="0"/>
          <w:spacing w:val="-4"/>
          <w:sz w:val="32"/>
          <w:szCs w:val="32"/>
        </w:rPr>
        <w:t>有助于更好的服务园区企业经济建设和招商引资环境</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rPr>
        <w:t>有助于全面提升玛纳斯县特勤消防站的整体业务技术水平，充分发挥其维护社会治安、社会稳定、社会秩序的社会职能。</w:t>
      </w:r>
      <w:r>
        <w:rPr>
          <w:rStyle w:val="18"/>
          <w:rFonts w:hint="eastAsia" w:ascii="仿宋" w:hAnsi="仿宋" w:eastAsia="仿宋"/>
          <w:b w:val="0"/>
          <w:spacing w:val="-4"/>
          <w:sz w:val="32"/>
          <w:szCs w:val="32"/>
          <w:lang w:eastAsia="zh-CN"/>
        </w:rPr>
        <w:t>耕地占用税缴纳率</w:t>
      </w:r>
      <w:r>
        <w:rPr>
          <w:rStyle w:val="18"/>
          <w:rFonts w:hint="eastAsia" w:ascii="仿宋" w:hAnsi="仿宋" w:eastAsia="仿宋"/>
          <w:b w:val="0"/>
          <w:spacing w:val="-4"/>
          <w:sz w:val="32"/>
          <w:szCs w:val="32"/>
          <w:lang w:val="en-US" w:eastAsia="zh-CN"/>
        </w:rPr>
        <w:t>100%，2018年完成主体工程量70%。</w:t>
      </w:r>
    </w:p>
    <w:p>
      <w:pPr>
        <w:spacing w:line="540" w:lineRule="exact"/>
        <w:rPr>
          <w:rFonts w:ascii="楷体" w:hAnsi="楷体" w:eastAsia="楷体"/>
          <w:b/>
          <w:spacing w:val="-4"/>
          <w:sz w:val="32"/>
          <w:szCs w:val="32"/>
        </w:rPr>
      </w:pPr>
      <w:r>
        <w:rPr>
          <w:rFonts w:hint="eastAsia" w:ascii="楷体" w:hAnsi="楷体" w:eastAsia="楷体"/>
          <w:b/>
          <w:spacing w:val="-4"/>
          <w:sz w:val="32"/>
          <w:szCs w:val="32"/>
          <w:lang w:val="en-US" w:eastAsia="zh-CN"/>
        </w:rPr>
        <w:t xml:space="preserve">   </w:t>
      </w: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Style w:val="18"/>
          <w:rFonts w:hint="eastAsia" w:ascii="仿宋" w:hAnsi="仿宋" w:eastAsia="仿宋"/>
          <w:b w:val="0"/>
          <w:spacing w:val="-4"/>
          <w:sz w:val="32"/>
          <w:szCs w:val="32"/>
          <w:lang w:eastAsia="zh-CN"/>
        </w:rPr>
        <w:t>项目</w:t>
      </w:r>
      <w:r>
        <w:rPr>
          <w:rStyle w:val="18"/>
          <w:rFonts w:hint="eastAsia" w:ascii="仿宋" w:hAnsi="仿宋" w:eastAsia="仿宋"/>
          <w:b w:val="0"/>
          <w:spacing w:val="-4"/>
          <w:sz w:val="32"/>
          <w:szCs w:val="32"/>
        </w:rPr>
        <w:t>未完工，</w:t>
      </w:r>
      <w:r>
        <w:rPr>
          <w:rStyle w:val="18"/>
          <w:rFonts w:hint="eastAsia" w:ascii="仿宋" w:hAnsi="仿宋" w:eastAsia="仿宋"/>
          <w:b w:val="0"/>
          <w:spacing w:val="-4"/>
          <w:sz w:val="32"/>
          <w:szCs w:val="32"/>
          <w:lang w:eastAsia="zh-CN"/>
        </w:rPr>
        <w:t>根据县级财力逐步实施</w:t>
      </w:r>
      <w:r>
        <w:rPr>
          <w:rStyle w:val="18"/>
          <w:rFonts w:hint="eastAsia" w:ascii="仿宋" w:hAnsi="仿宋" w:eastAsia="仿宋"/>
          <w:b w:val="0"/>
          <w:spacing w:val="-4"/>
          <w:sz w:val="32"/>
          <w:szCs w:val="32"/>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计划2019年复工，</w:t>
      </w:r>
      <w:r>
        <w:rPr>
          <w:rFonts w:hint="eastAsia" w:ascii="仿宋" w:hAnsi="仿宋" w:eastAsia="仿宋"/>
          <w:spacing w:val="-4"/>
          <w:sz w:val="32"/>
          <w:szCs w:val="32"/>
          <w:lang w:eastAsia="zh-CN"/>
        </w:rPr>
        <w:t>工业园区将积极争取上级资金，根据本县财力情况加快项目实施</w:t>
      </w:r>
      <w:r>
        <w:rPr>
          <w:rFonts w:hint="eastAsia" w:ascii="仿宋" w:hAnsi="仿宋" w:eastAsia="仿宋"/>
          <w:spacing w:val="-4"/>
          <w:sz w:val="32"/>
          <w:szCs w:val="32"/>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20"/>
        <w:tblpPr w:leftFromText="180" w:rightFromText="180" w:vertAnchor="text" w:horzAnchor="page" w:tblpX="1859" w:tblpYSpec="center"/>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玛纳斯县工业园区特勤消防站建设项目</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玛纳斯县工业园区</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39</w:t>
            </w:r>
            <w:r>
              <w:rPr>
                <w:rFonts w:hint="eastAsia" w:ascii="宋体" w:hAnsi="宋体" w:cs="宋体"/>
                <w:kern w:val="0"/>
                <w:sz w:val="20"/>
                <w:szCs w:val="20"/>
                <w:lang w:val="en-US" w:eastAsia="zh-CN"/>
              </w:rPr>
              <w:t>.</w:t>
            </w:r>
            <w:r>
              <w:rPr>
                <w:rFonts w:hint="eastAsia" w:ascii="宋体" w:hAnsi="宋体" w:cs="宋体"/>
                <w:kern w:val="0"/>
                <w:sz w:val="20"/>
                <w:szCs w:val="20"/>
              </w:rPr>
              <w:t>53</w:t>
            </w:r>
            <w:r>
              <w:rPr>
                <w:rFonts w:hint="eastAsia" w:ascii="宋体" w:hAnsi="宋体" w:cs="宋体"/>
                <w:kern w:val="0"/>
                <w:sz w:val="20"/>
                <w:szCs w:val="20"/>
                <w:lang w:eastAsia="zh-CN"/>
              </w:rPr>
              <w:t>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39</w:t>
            </w:r>
            <w:r>
              <w:rPr>
                <w:rFonts w:hint="eastAsia" w:ascii="宋体" w:hAnsi="宋体" w:cs="宋体"/>
                <w:kern w:val="0"/>
                <w:sz w:val="20"/>
                <w:szCs w:val="20"/>
                <w:lang w:val="en-US" w:eastAsia="zh-CN"/>
              </w:rPr>
              <w:t>.</w:t>
            </w:r>
            <w:r>
              <w:rPr>
                <w:rFonts w:hint="eastAsia" w:ascii="宋体" w:hAnsi="宋体" w:cs="宋体"/>
                <w:kern w:val="0"/>
                <w:sz w:val="20"/>
                <w:szCs w:val="20"/>
              </w:rPr>
              <w:t>53</w:t>
            </w:r>
            <w:r>
              <w:rPr>
                <w:rFonts w:hint="eastAsia" w:ascii="宋体" w:hAnsi="宋体" w:cs="宋体"/>
                <w:kern w:val="0"/>
                <w:sz w:val="20"/>
                <w:szCs w:val="20"/>
                <w:lang w:eastAsia="zh-CN"/>
              </w:rPr>
              <w:t>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39</w:t>
            </w:r>
            <w:r>
              <w:rPr>
                <w:rFonts w:hint="eastAsia" w:ascii="宋体" w:hAnsi="宋体" w:cs="宋体"/>
                <w:kern w:val="0"/>
                <w:sz w:val="20"/>
                <w:szCs w:val="20"/>
                <w:lang w:val="en-US" w:eastAsia="zh-CN"/>
              </w:rPr>
              <w:t>.</w:t>
            </w:r>
            <w:r>
              <w:rPr>
                <w:rFonts w:hint="eastAsia" w:ascii="宋体" w:hAnsi="宋体" w:cs="宋体"/>
                <w:kern w:val="0"/>
                <w:sz w:val="20"/>
                <w:szCs w:val="20"/>
              </w:rPr>
              <w:t>53</w:t>
            </w:r>
            <w:r>
              <w:rPr>
                <w:rFonts w:hint="eastAsia" w:ascii="宋体" w:hAnsi="宋体" w:cs="宋体"/>
                <w:kern w:val="0"/>
                <w:sz w:val="20"/>
                <w:szCs w:val="20"/>
                <w:lang w:eastAsia="zh-CN"/>
              </w:rPr>
              <w:t>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39</w:t>
            </w:r>
            <w:r>
              <w:rPr>
                <w:rFonts w:hint="eastAsia" w:ascii="宋体" w:hAnsi="宋体" w:cs="宋体"/>
                <w:kern w:val="0"/>
                <w:sz w:val="20"/>
                <w:szCs w:val="20"/>
                <w:lang w:val="en-US" w:eastAsia="zh-CN"/>
              </w:rPr>
              <w:t>.</w:t>
            </w:r>
            <w:r>
              <w:rPr>
                <w:rFonts w:hint="eastAsia" w:ascii="宋体" w:hAnsi="宋体" w:cs="宋体"/>
                <w:kern w:val="0"/>
                <w:sz w:val="20"/>
                <w:szCs w:val="20"/>
              </w:rPr>
              <w:t>53</w:t>
            </w:r>
            <w:r>
              <w:rPr>
                <w:rFonts w:hint="eastAsia" w:ascii="宋体" w:hAnsi="宋体" w:cs="宋体"/>
                <w:kern w:val="0"/>
                <w:sz w:val="20"/>
                <w:szCs w:val="20"/>
                <w:lang w:eastAsia="zh-CN"/>
              </w:rPr>
              <w:t>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缴纳玛纳斯县工业园区特勤消防站建设项目耕地占用税</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完成缴纳玛纳斯县工业园区特勤消防站建设项目耕地占用税</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指标1：建设特勤消防站</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1座</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1座</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占地</w:t>
            </w:r>
            <w:r>
              <w:rPr>
                <w:rFonts w:hint="eastAsia" w:ascii="宋体" w:hAnsi="宋体" w:cs="宋体"/>
                <w:kern w:val="0"/>
                <w:sz w:val="20"/>
                <w:szCs w:val="20"/>
              </w:rPr>
              <w:t>面积</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20000</w:t>
            </w:r>
            <w:r>
              <w:rPr>
                <w:rFonts w:hint="eastAsia" w:ascii="宋体" w:hAnsi="宋体" w:cs="宋体"/>
                <w:kern w:val="0"/>
                <w:sz w:val="20"/>
                <w:szCs w:val="20"/>
              </w:rPr>
              <w:t>平方米</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20000</w:t>
            </w:r>
            <w:r>
              <w:rPr>
                <w:rFonts w:hint="eastAsia" w:ascii="宋体" w:hAnsi="宋体" w:cs="宋体"/>
                <w:kern w:val="0"/>
                <w:sz w:val="20"/>
                <w:szCs w:val="20"/>
              </w:rPr>
              <w:t>平方米</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指标1：工程验收合格率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70%（主体工程完工70%）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70%（主体工程完工70%）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建设工期</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2017年4月至2020年10月</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2017年4月至2020年10月</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指标1：工程建设成本</w:t>
            </w:r>
            <w:r>
              <w:rPr>
                <w:rFonts w:hint="eastAsia" w:ascii="宋体" w:hAnsi="宋体" w:cs="宋体"/>
                <w:kern w:val="0"/>
                <w:sz w:val="20"/>
                <w:szCs w:val="20"/>
                <w:lang w:eastAsia="zh-CN"/>
              </w:rPr>
              <w:t>（耕地占用税）</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20"/>
                <w:szCs w:val="20"/>
                <w:lang w:val="en-US" w:eastAsia="zh-CN"/>
              </w:rPr>
            </w:pPr>
            <w:r>
              <w:rPr>
                <w:rFonts w:hint="eastAsia" w:ascii="宋体" w:hAnsi="宋体" w:cs="宋体"/>
                <w:color w:val="auto"/>
                <w:kern w:val="0"/>
                <w:sz w:val="20"/>
                <w:szCs w:val="20"/>
                <w:lang w:val="en-US" w:eastAsia="zh-CN"/>
              </w:rPr>
              <w:t>39.53万元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39.53万元</w:t>
            </w:r>
          </w:p>
        </w:tc>
      </w:tr>
      <w:tr>
        <w:tblPrEx>
          <w:tblLayout w:type="fixed"/>
          <w:tblCellMar>
            <w:top w:w="0" w:type="dxa"/>
            <w:left w:w="108" w:type="dxa"/>
            <w:bottom w:w="0" w:type="dxa"/>
            <w:right w:w="108" w:type="dxa"/>
          </w:tblCellMar>
        </w:tblPrEx>
        <w:trPr>
          <w:trHeight w:val="464"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指标1：业务保障能力</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开展消防应急保障业务</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因该项目未完工，工业园区特勤消防站尚未开展应急消防业务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指标1：受益群体满意度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default" w:ascii="Arial" w:hAnsi="Arial" w:eastAsia="宋体" w:cs="Arial"/>
                <w:kern w:val="0"/>
                <w:sz w:val="20"/>
                <w:szCs w:val="20"/>
                <w:lang w:eastAsia="zh-CN"/>
              </w:rPr>
              <w:t>≥</w:t>
            </w:r>
            <w:r>
              <w:rPr>
                <w:rFonts w:hint="eastAsia" w:ascii="Arial" w:hAnsi="Arial" w:cs="Arial"/>
                <w:kern w:val="0"/>
                <w:sz w:val="20"/>
                <w:szCs w:val="20"/>
                <w:lang w:val="en-US" w:eastAsia="zh-CN"/>
              </w:rPr>
              <w:t>95%</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Arial" w:hAnsi="Arial" w:cs="Arial"/>
                <w:kern w:val="0"/>
                <w:sz w:val="20"/>
                <w:szCs w:val="20"/>
                <w:lang w:val="en-US" w:eastAsia="zh-CN"/>
              </w:rPr>
              <w:t>95%</w:t>
            </w:r>
          </w:p>
        </w:tc>
      </w:tr>
    </w:tbl>
    <w:p>
      <w:pPr>
        <w:spacing w:line="540" w:lineRule="exact"/>
        <w:ind w:firstLine="567"/>
        <w:rPr>
          <w:rStyle w:val="18"/>
          <w:rFonts w:hint="default" w:ascii="仿宋" w:hAnsi="仿宋" w:eastAsia="仿宋"/>
          <w:b w:val="0"/>
          <w:spacing w:val="-4"/>
          <w:sz w:val="32"/>
          <w:szCs w:val="32"/>
          <w:lang w:val="en-US" w:eastAsia="zh-CN"/>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decorative"/>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003363"/>
    </w:sdtPr>
    <w:sdtContent>
      <w:p>
        <w:pPr>
          <w:pStyle w:val="13"/>
          <w:jc w:val="center"/>
        </w:pPr>
        <w:r>
          <w:fldChar w:fldCharType="begin"/>
        </w:r>
        <w:r>
          <w:instrText xml:space="preserve">PAGE   \* MERGEFORMAT</w:instrText>
        </w:r>
        <w:r>
          <w:fldChar w:fldCharType="separate"/>
        </w:r>
        <w:r>
          <w:t>7</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47523108">
    <w:nsid w:val="5C3D5424"/>
    <w:multiLevelType w:val="singleLevel"/>
    <w:tmpl w:val="5C3D5424"/>
    <w:lvl w:ilvl="0" w:tentative="1">
      <w:start w:val="2"/>
      <w:numFmt w:val="decimal"/>
      <w:suff w:val="nothing"/>
      <w:lvlText w:val="%1、"/>
      <w:lvlJc w:val="left"/>
    </w:lvl>
  </w:abstractNum>
  <w:abstractNum w:abstractNumId="1547522884">
    <w:nsid w:val="5C3D5344"/>
    <w:multiLevelType w:val="singleLevel"/>
    <w:tmpl w:val="5C3D5344"/>
    <w:lvl w:ilvl="0" w:tentative="1">
      <w:start w:val="2"/>
      <w:numFmt w:val="chineseCounting"/>
      <w:suff w:val="nothing"/>
      <w:lvlText w:val="（%1）"/>
      <w:lvlJc w:val="left"/>
    </w:lvl>
  </w:abstractNum>
  <w:num w:numId="1">
    <w:abstractNumId w:val="1547522884"/>
  </w:num>
  <w:num w:numId="2">
    <w:abstractNumId w:val="15475231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031DE"/>
    <w:rsid w:val="00104571"/>
    <w:rsid w:val="00121AE4"/>
    <w:rsid w:val="00146AAD"/>
    <w:rsid w:val="001B3A40"/>
    <w:rsid w:val="003C18BC"/>
    <w:rsid w:val="004366A8"/>
    <w:rsid w:val="004368BD"/>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D630A"/>
    <w:rsid w:val="00DF42A0"/>
    <w:rsid w:val="00E46C51"/>
    <w:rsid w:val="00E769FE"/>
    <w:rsid w:val="00EA2CBE"/>
    <w:rsid w:val="00F32FEE"/>
    <w:rsid w:val="00FB10BB"/>
    <w:rsid w:val="02385E8F"/>
    <w:rsid w:val="09F06376"/>
    <w:rsid w:val="0DD67601"/>
    <w:rsid w:val="228A10EF"/>
    <w:rsid w:val="2B754274"/>
    <w:rsid w:val="32281188"/>
    <w:rsid w:val="44FA18A6"/>
    <w:rsid w:val="4E660C07"/>
    <w:rsid w:val="4EB22938"/>
    <w:rsid w:val="5250732A"/>
    <w:rsid w:val="52BA7057"/>
    <w:rsid w:val="553C40C4"/>
    <w:rsid w:val="5E20292F"/>
    <w:rsid w:val="63C42FF6"/>
    <w:rsid w:val="65241E1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ody Text Indent"/>
    <w:basedOn w:val="1"/>
    <w:unhideWhenUsed/>
    <w:qFormat/>
    <w:uiPriority w:val="99"/>
    <w:pPr>
      <w:spacing w:after="120"/>
      <w:ind w:left="420" w:leftChars="200"/>
    </w:pPr>
  </w:style>
  <w:style w:type="paragraph" w:styleId="12">
    <w:name w:val="Balloon Text"/>
    <w:basedOn w:val="1"/>
    <w:link w:val="46"/>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5"/>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7"/>
    <w:link w:val="14"/>
    <w:qFormat/>
    <w:uiPriority w:val="99"/>
    <w:rPr>
      <w:rFonts w:ascii="Calibri" w:hAnsi="Calibri" w:eastAsia="宋体"/>
      <w:kern w:val="2"/>
      <w:sz w:val="18"/>
      <w:szCs w:val="18"/>
    </w:rPr>
  </w:style>
  <w:style w:type="character" w:customStyle="1" w:styleId="45">
    <w:name w:val="页脚 Char"/>
    <w:basedOn w:val="17"/>
    <w:link w:val="13"/>
    <w:qFormat/>
    <w:uiPriority w:val="99"/>
    <w:rPr>
      <w:rFonts w:ascii="Calibri" w:hAnsi="Calibri" w:eastAsia="宋体"/>
      <w:kern w:val="2"/>
      <w:sz w:val="18"/>
      <w:szCs w:val="18"/>
    </w:rPr>
  </w:style>
  <w:style w:type="character" w:customStyle="1" w:styleId="46">
    <w:name w:val="批注框文本 Char"/>
    <w:basedOn w:val="17"/>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484</Words>
  <Characters>2763</Characters>
  <Lines>23</Lines>
  <Paragraphs>6</Paragraphs>
  <TotalTime>0</TotalTime>
  <ScaleCrop>false</ScaleCrop>
  <LinksUpToDate>false</LinksUpToDate>
  <CharactersWithSpaces>3241</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2019-02-18T09:02:00Z</dcterms:created>
  <dc:creator>赵 恺（预算处）</dc:creator>
  <cp:lastModifiedBy>Administrator</cp:lastModifiedBy>
  <cp:lastPrinted>2019-02-13T03:01:00Z</cp:lastPrinted>
  <dcterms:modified xsi:type="dcterms:W3CDTF">2019-10-27T08:51:03Z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