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行政单位医疗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960" w:firstLineChars="3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行政单位医疗用于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1182" w:firstLineChars="37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离休伤残人员医疗费已列入年初财政预算。全年共支出11.97万元。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1182" w:firstLineChars="379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1182" w:firstLineChars="379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用于离休伤残人员医疗费支出。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1248" w:firstLineChars="4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1260" w:firstLineChars="404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1491" w:firstLineChars="478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132"/>
        <w:gridCol w:w="228"/>
        <w:gridCol w:w="1080"/>
        <w:gridCol w:w="880"/>
        <w:gridCol w:w="364"/>
        <w:gridCol w:w="1917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行政单位医疗</w:t>
            </w: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执行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11.97万元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11.97万元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11.97万元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11.97万元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23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目标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48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预期目标</w:t>
            </w:r>
          </w:p>
        </w:tc>
        <w:tc>
          <w:tcPr>
            <w:tcW w:w="3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48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firstLine="420" w:firstLineChars="200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333333"/>
                <w:szCs w:val="21"/>
              </w:rPr>
              <w:t>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绩效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一级指标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二级指标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三级指标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项目完成指标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数量指标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指标1：离休伤残人员医疗费按时拨付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有效保障困难群体医疗费用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质量指标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指标1：建立医疗保障制度体系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财政按时拨付资金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时效指标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指标1：在规定时间内按时拨付资金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成本指标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项目效果指标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经济效益指标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社会效益指标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指标1：保障离休伤残人员医疗待遇按支付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保障离休伤残人员医疗待遇按支付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生态效益指标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可持续影响指标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指标1：困难群众基本生活保障制度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不断完善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指标1：保障了参保人员利益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建立健全社会保障制度，有利于社会稳定。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</w:tbl>
    <w:p>
      <w:pPr>
        <w:spacing w:line="540" w:lineRule="exact"/>
        <w:ind w:firstLine="567"/>
        <w:rPr>
          <w:rStyle w:val="18"/>
          <w:rFonts w:ascii="宋体" w:hAnsi="宋体"/>
          <w:b w:val="0"/>
          <w:spacing w:val="-4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12050C"/>
    <w:rsid w:val="00121AE4"/>
    <w:rsid w:val="00146AAD"/>
    <w:rsid w:val="001543FB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201CA6"/>
    <w:rsid w:val="0022737F"/>
    <w:rsid w:val="002755BA"/>
    <w:rsid w:val="00276649"/>
    <w:rsid w:val="00277F1C"/>
    <w:rsid w:val="002A434D"/>
    <w:rsid w:val="002A768B"/>
    <w:rsid w:val="002B004E"/>
    <w:rsid w:val="002B1BAD"/>
    <w:rsid w:val="002C3FF0"/>
    <w:rsid w:val="003137A8"/>
    <w:rsid w:val="00316AA2"/>
    <w:rsid w:val="003A42AB"/>
    <w:rsid w:val="003B31E6"/>
    <w:rsid w:val="003B7726"/>
    <w:rsid w:val="003C18BC"/>
    <w:rsid w:val="004366A8"/>
    <w:rsid w:val="00464900"/>
    <w:rsid w:val="00473D84"/>
    <w:rsid w:val="004A1E10"/>
    <w:rsid w:val="00502BA7"/>
    <w:rsid w:val="005162F1"/>
    <w:rsid w:val="00523EDB"/>
    <w:rsid w:val="00531598"/>
    <w:rsid w:val="00535153"/>
    <w:rsid w:val="0054133D"/>
    <w:rsid w:val="005420B9"/>
    <w:rsid w:val="00554F82"/>
    <w:rsid w:val="0056390D"/>
    <w:rsid w:val="005719B0"/>
    <w:rsid w:val="005768C9"/>
    <w:rsid w:val="00582068"/>
    <w:rsid w:val="005C1A92"/>
    <w:rsid w:val="005D10D6"/>
    <w:rsid w:val="005D2C98"/>
    <w:rsid w:val="005E168C"/>
    <w:rsid w:val="0068184D"/>
    <w:rsid w:val="006B4FFA"/>
    <w:rsid w:val="006B7C2F"/>
    <w:rsid w:val="0070654E"/>
    <w:rsid w:val="007806A5"/>
    <w:rsid w:val="007A09B1"/>
    <w:rsid w:val="007F6351"/>
    <w:rsid w:val="00816E08"/>
    <w:rsid w:val="008219E5"/>
    <w:rsid w:val="00855E3A"/>
    <w:rsid w:val="00857F28"/>
    <w:rsid w:val="00906B3D"/>
    <w:rsid w:val="00922CB9"/>
    <w:rsid w:val="00945366"/>
    <w:rsid w:val="0095255D"/>
    <w:rsid w:val="009D4292"/>
    <w:rsid w:val="009E5CD9"/>
    <w:rsid w:val="00A035D6"/>
    <w:rsid w:val="00A133F2"/>
    <w:rsid w:val="00A26421"/>
    <w:rsid w:val="00A33A16"/>
    <w:rsid w:val="00A4293B"/>
    <w:rsid w:val="00A45A8A"/>
    <w:rsid w:val="00A67D50"/>
    <w:rsid w:val="00A8691A"/>
    <w:rsid w:val="00AA2A86"/>
    <w:rsid w:val="00AC1946"/>
    <w:rsid w:val="00AE22CA"/>
    <w:rsid w:val="00B0638F"/>
    <w:rsid w:val="00B40063"/>
    <w:rsid w:val="00B41F61"/>
    <w:rsid w:val="00B515B6"/>
    <w:rsid w:val="00B6215F"/>
    <w:rsid w:val="00B710A4"/>
    <w:rsid w:val="00BA46E6"/>
    <w:rsid w:val="00BD22F9"/>
    <w:rsid w:val="00C00BE3"/>
    <w:rsid w:val="00C01160"/>
    <w:rsid w:val="00C06239"/>
    <w:rsid w:val="00C129B5"/>
    <w:rsid w:val="00C239BD"/>
    <w:rsid w:val="00C314F3"/>
    <w:rsid w:val="00C56C72"/>
    <w:rsid w:val="00C8537B"/>
    <w:rsid w:val="00CA6457"/>
    <w:rsid w:val="00CF5396"/>
    <w:rsid w:val="00D17F2E"/>
    <w:rsid w:val="00D23C0B"/>
    <w:rsid w:val="00D277AB"/>
    <w:rsid w:val="00D30354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5154D"/>
    <w:rsid w:val="00E66E2D"/>
    <w:rsid w:val="00E72229"/>
    <w:rsid w:val="00E75BFB"/>
    <w:rsid w:val="00E769FE"/>
    <w:rsid w:val="00E8178B"/>
    <w:rsid w:val="00EA2CBE"/>
    <w:rsid w:val="00ED7E1C"/>
    <w:rsid w:val="00F01FF5"/>
    <w:rsid w:val="00F03FFF"/>
    <w:rsid w:val="00F176E9"/>
    <w:rsid w:val="00F32FEE"/>
    <w:rsid w:val="00F43E76"/>
    <w:rsid w:val="00F73B8C"/>
    <w:rsid w:val="00FB10BB"/>
    <w:rsid w:val="00FE2E0A"/>
    <w:rsid w:val="00FF07C4"/>
    <w:rsid w:val="06F636ED"/>
    <w:rsid w:val="0ADB0BA7"/>
    <w:rsid w:val="3BB705E1"/>
    <w:rsid w:val="50665536"/>
    <w:rsid w:val="51FA6E58"/>
    <w:rsid w:val="553C40C4"/>
    <w:rsid w:val="56D17837"/>
    <w:rsid w:val="5A2B1A2E"/>
    <w:rsid w:val="63C42FF6"/>
    <w:rsid w:val="6D890AF7"/>
    <w:rsid w:val="748810EB"/>
    <w:rsid w:val="755D3B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uiPriority w:val="99"/>
    <w:rPr>
      <w:i/>
      <w:color w:val="595959"/>
    </w:rPr>
  </w:style>
  <w:style w:type="character" w:customStyle="1" w:styleId="41">
    <w:name w:val="Intense Emphasis1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2019-01-15T04:36:00Z</dcterms:created>
  <dc:creator>赵 恺（预算处）</dc:creator>
  <cp:lastModifiedBy>Administrator</cp:lastModifiedBy>
  <cp:lastPrinted>2019-01-13T12:20:00Z</cp:lastPrinted>
  <dcterms:modified xsi:type="dcterms:W3CDTF">2024-11-18T04:06:04Z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