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 w:hAnsi="仿宋" w:eastAsia="仿宋" w:cs="仿宋"/>
          <w:kern w:val="0"/>
          <w:sz w:val="32"/>
          <w:szCs w:val="32"/>
        </w:rPr>
      </w:pPr>
      <w:r>
        <w:rPr>
          <w:rFonts w:hint="eastAsia" w:ascii="仿宋" w:hAnsi="仿宋" w:eastAsia="仿宋" w:cs="仿宋"/>
          <w:kern w:val="0"/>
          <w:sz w:val="32"/>
          <w:szCs w:val="32"/>
        </w:rPr>
        <w:t>附件1：</w:t>
      </w: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b/>
          <w:kern w:val="0"/>
          <w:sz w:val="48"/>
          <w:szCs w:val="48"/>
        </w:rPr>
      </w:pPr>
      <w:r>
        <w:rPr>
          <w:rFonts w:hint="eastAsia" w:ascii="仿宋" w:hAnsi="仿宋" w:eastAsia="仿宋" w:cs="仿宋"/>
          <w:b/>
          <w:kern w:val="0"/>
          <w:sz w:val="48"/>
          <w:szCs w:val="48"/>
        </w:rPr>
        <w:t>玛纳斯县财政项目支出绩效自评报告</w:t>
      </w:r>
    </w:p>
    <w:p>
      <w:pPr>
        <w:spacing w:line="560" w:lineRule="exact"/>
        <w:jc w:val="center"/>
        <w:rPr>
          <w:rFonts w:ascii="仿宋" w:hAnsi="仿宋" w:eastAsia="仿宋" w:cs="仿宋"/>
          <w:b/>
          <w:kern w:val="0"/>
          <w:sz w:val="52"/>
          <w:szCs w:val="52"/>
        </w:rPr>
      </w:pPr>
    </w:p>
    <w:p>
      <w:pPr>
        <w:spacing w:line="560" w:lineRule="exact"/>
        <w:jc w:val="center"/>
        <w:rPr>
          <w:rFonts w:ascii="仿宋" w:hAnsi="仿宋" w:eastAsia="仿宋" w:cs="仿宋"/>
          <w:kern w:val="0"/>
          <w:sz w:val="36"/>
          <w:szCs w:val="36"/>
        </w:rPr>
      </w:pPr>
      <w:r>
        <w:rPr>
          <w:rFonts w:hint="eastAsia" w:ascii="仿宋" w:hAnsi="仿宋" w:eastAsia="仿宋" w:cs="仿宋"/>
          <w:kern w:val="0"/>
          <w:sz w:val="36"/>
          <w:szCs w:val="36"/>
        </w:rPr>
        <w:t>（2018年度）</w:t>
      </w:r>
    </w:p>
    <w:p>
      <w:pPr>
        <w:spacing w:line="560" w:lineRule="exact"/>
        <w:jc w:val="center"/>
        <w:rPr>
          <w:rFonts w:ascii="仿宋" w:hAnsi="仿宋" w:eastAsia="仿宋" w:cs="仿宋"/>
          <w:kern w:val="0"/>
          <w:sz w:val="30"/>
          <w:szCs w:val="30"/>
        </w:rPr>
      </w:pPr>
    </w:p>
    <w:p>
      <w:pPr>
        <w:spacing w:line="560" w:lineRule="exact"/>
        <w:jc w:val="center"/>
        <w:rPr>
          <w:rFonts w:ascii="仿宋" w:hAnsi="仿宋" w:eastAsia="仿宋" w:cs="仿宋"/>
          <w:kern w:val="0"/>
          <w:sz w:val="30"/>
          <w:szCs w:val="30"/>
        </w:rPr>
      </w:pPr>
    </w:p>
    <w:p>
      <w:pPr>
        <w:spacing w:line="560" w:lineRule="exact"/>
        <w:rPr>
          <w:rFonts w:ascii="仿宋" w:hAnsi="仿宋" w:eastAsia="仿宋" w:cs="仿宋"/>
          <w:kern w:val="0"/>
          <w:sz w:val="36"/>
          <w:szCs w:val="36"/>
        </w:rPr>
      </w:pPr>
    </w:p>
    <w:p>
      <w:pPr>
        <w:spacing w:line="560" w:lineRule="exact"/>
        <w:jc w:val="center"/>
        <w:rPr>
          <w:rFonts w:ascii="仿宋" w:hAnsi="仿宋" w:eastAsia="仿宋" w:cs="仿宋"/>
          <w:kern w:val="0"/>
          <w:sz w:val="30"/>
          <w:szCs w:val="30"/>
        </w:rPr>
      </w:pPr>
    </w:p>
    <w:p>
      <w:pPr>
        <w:spacing w:line="560" w:lineRule="exact"/>
        <w:jc w:val="center"/>
        <w:rPr>
          <w:rFonts w:ascii="仿宋" w:hAnsi="仿宋" w:eastAsia="仿宋" w:cs="仿宋"/>
          <w:kern w:val="0"/>
          <w:sz w:val="30"/>
          <w:szCs w:val="30"/>
        </w:rPr>
      </w:pPr>
    </w:p>
    <w:p>
      <w:pPr>
        <w:spacing w:line="560" w:lineRule="exact"/>
        <w:jc w:val="center"/>
        <w:rPr>
          <w:rFonts w:ascii="仿宋" w:hAnsi="仿宋" w:eastAsia="仿宋" w:cs="仿宋"/>
          <w:kern w:val="0"/>
          <w:sz w:val="30"/>
          <w:szCs w:val="30"/>
        </w:rPr>
      </w:pPr>
    </w:p>
    <w:p>
      <w:pPr>
        <w:spacing w:line="560" w:lineRule="exact"/>
        <w:rPr>
          <w:rFonts w:ascii="仿宋" w:hAnsi="仿宋" w:eastAsia="仿宋" w:cs="仿宋"/>
          <w:kern w:val="0"/>
          <w:sz w:val="30"/>
          <w:szCs w:val="30"/>
        </w:rPr>
      </w:pPr>
    </w:p>
    <w:p>
      <w:pPr>
        <w:spacing w:line="560" w:lineRule="exact"/>
        <w:jc w:val="center"/>
        <w:rPr>
          <w:rFonts w:ascii="仿宋" w:hAnsi="仿宋" w:eastAsia="仿宋" w:cs="仿宋"/>
          <w:kern w:val="0"/>
          <w:sz w:val="32"/>
          <w:szCs w:val="32"/>
        </w:rPr>
      </w:pPr>
      <w:r>
        <w:rPr>
          <w:rFonts w:hint="eastAsia" w:ascii="仿宋" w:hAnsi="仿宋" w:eastAsia="仿宋" w:cs="仿宋"/>
          <w:kern w:val="0"/>
          <w:sz w:val="32"/>
          <w:szCs w:val="32"/>
        </w:rPr>
        <w:t>项目名称：玛纳斯县学生饮用奶补助项目</w:t>
      </w:r>
    </w:p>
    <w:p>
      <w:pPr>
        <w:spacing w:line="560" w:lineRule="exact"/>
        <w:jc w:val="center"/>
        <w:rPr>
          <w:rFonts w:ascii="仿宋" w:hAnsi="仿宋" w:eastAsia="仿宋" w:cs="仿宋"/>
          <w:kern w:val="0"/>
          <w:sz w:val="32"/>
          <w:szCs w:val="32"/>
        </w:rPr>
      </w:pPr>
      <w:r>
        <w:rPr>
          <w:rFonts w:hint="eastAsia" w:ascii="仿宋" w:hAnsi="仿宋" w:eastAsia="仿宋" w:cs="仿宋"/>
          <w:kern w:val="0"/>
          <w:sz w:val="32"/>
          <w:szCs w:val="32"/>
        </w:rPr>
        <w:t>实施单位（公章）：玛纳斯县畜牧兽医局</w:t>
      </w:r>
    </w:p>
    <w:p>
      <w:pPr>
        <w:spacing w:line="560" w:lineRule="exact"/>
        <w:jc w:val="center"/>
        <w:rPr>
          <w:rFonts w:ascii="仿宋" w:hAnsi="仿宋" w:eastAsia="仿宋" w:cs="仿宋"/>
          <w:kern w:val="0"/>
          <w:sz w:val="32"/>
          <w:szCs w:val="32"/>
        </w:rPr>
      </w:pPr>
      <w:r>
        <w:rPr>
          <w:rFonts w:hint="eastAsia" w:ascii="仿宋" w:hAnsi="仿宋" w:eastAsia="仿宋" w:cs="仿宋"/>
          <w:kern w:val="0"/>
          <w:sz w:val="32"/>
          <w:szCs w:val="32"/>
        </w:rPr>
        <w:t>主管部门（公章）：玛纳斯县畜牧兽医局</w:t>
      </w:r>
    </w:p>
    <w:p>
      <w:pPr>
        <w:spacing w:line="560" w:lineRule="exact"/>
        <w:ind w:firstLine="1600" w:firstLineChars="500"/>
        <w:rPr>
          <w:rFonts w:ascii="仿宋" w:hAnsi="仿宋" w:eastAsia="仿宋" w:cs="仿宋"/>
          <w:kern w:val="0"/>
          <w:sz w:val="32"/>
          <w:szCs w:val="32"/>
        </w:rPr>
      </w:pPr>
      <w:r>
        <w:rPr>
          <w:rFonts w:hint="eastAsia" w:ascii="仿宋" w:hAnsi="仿宋" w:eastAsia="仿宋" w:cs="仿宋"/>
          <w:kern w:val="0"/>
          <w:sz w:val="32"/>
          <w:szCs w:val="32"/>
        </w:rPr>
        <w:t>项目负责人（签章）：吕彦庆</w:t>
      </w:r>
    </w:p>
    <w:p>
      <w:pPr>
        <w:spacing w:line="560" w:lineRule="exact"/>
        <w:ind w:firstLine="1552" w:firstLineChars="485"/>
        <w:rPr>
          <w:rFonts w:ascii="仿宋" w:hAnsi="仿宋" w:eastAsia="仿宋" w:cs="仿宋"/>
          <w:kern w:val="0"/>
          <w:sz w:val="32"/>
          <w:szCs w:val="32"/>
        </w:rPr>
      </w:pPr>
      <w:r>
        <w:rPr>
          <w:rFonts w:hint="eastAsia" w:ascii="仿宋" w:hAnsi="仿宋" w:eastAsia="仿宋" w:cs="仿宋"/>
          <w:kern w:val="0"/>
          <w:sz w:val="32"/>
          <w:szCs w:val="32"/>
        </w:rPr>
        <w:t>填报时间：2019年2月16日</w:t>
      </w:r>
    </w:p>
    <w:p>
      <w:pPr>
        <w:spacing w:line="560" w:lineRule="exact"/>
        <w:jc w:val="center"/>
        <w:rPr>
          <w:rFonts w:ascii="仿宋" w:hAnsi="仿宋" w:eastAsia="仿宋" w:cs="仿宋"/>
          <w:kern w:val="0"/>
          <w:sz w:val="32"/>
          <w:szCs w:val="32"/>
        </w:rPr>
      </w:pPr>
    </w:p>
    <w:p>
      <w:pPr>
        <w:spacing w:line="560" w:lineRule="exact"/>
        <w:rPr>
          <w:rStyle w:val="5"/>
          <w:rFonts w:ascii="仿宋" w:hAnsi="仿宋" w:eastAsia="仿宋" w:cs="仿宋"/>
          <w:b w:val="0"/>
          <w:spacing w:val="-4"/>
          <w:sz w:val="32"/>
          <w:szCs w:val="32"/>
        </w:rPr>
      </w:pPr>
    </w:p>
    <w:p>
      <w:pPr>
        <w:spacing w:line="560" w:lineRule="exact"/>
        <w:ind w:firstLine="640"/>
        <w:rPr>
          <w:rStyle w:val="5"/>
          <w:rFonts w:ascii="仿宋" w:hAnsi="仿宋" w:eastAsia="仿宋" w:cs="仿宋"/>
          <w:b w:val="0"/>
          <w:spacing w:val="-4"/>
          <w:sz w:val="32"/>
          <w:szCs w:val="32"/>
        </w:rPr>
      </w:pPr>
    </w:p>
    <w:p>
      <w:pPr>
        <w:spacing w:line="560" w:lineRule="exact"/>
        <w:ind w:firstLine="640"/>
        <w:rPr>
          <w:rStyle w:val="5"/>
          <w:rFonts w:ascii="仿宋" w:hAnsi="仿宋" w:eastAsia="仿宋" w:cs="仿宋"/>
          <w:bCs w:val="0"/>
          <w:spacing w:val="-4"/>
          <w:sz w:val="32"/>
          <w:szCs w:val="32"/>
        </w:rPr>
      </w:pPr>
      <w:r>
        <w:rPr>
          <w:rStyle w:val="5"/>
          <w:rFonts w:hint="eastAsia" w:ascii="仿宋" w:hAnsi="仿宋" w:eastAsia="仿宋" w:cs="仿宋"/>
          <w:bCs w:val="0"/>
          <w:spacing w:val="-4"/>
          <w:sz w:val="32"/>
          <w:szCs w:val="32"/>
        </w:rPr>
        <w:t>一、项目概况</w:t>
      </w:r>
    </w:p>
    <w:p>
      <w:pPr>
        <w:spacing w:line="560" w:lineRule="exact"/>
        <w:ind w:firstLine="567"/>
        <w:rPr>
          <w:rStyle w:val="5"/>
          <w:rFonts w:ascii="仿宋" w:hAnsi="仿宋" w:eastAsia="仿宋" w:cs="仿宋"/>
          <w:spacing w:val="-4"/>
          <w:sz w:val="32"/>
          <w:szCs w:val="32"/>
        </w:rPr>
      </w:pPr>
      <w:r>
        <w:rPr>
          <w:rStyle w:val="5"/>
          <w:rFonts w:hint="eastAsia" w:ascii="仿宋" w:hAnsi="仿宋" w:eastAsia="仿宋" w:cs="仿宋"/>
          <w:spacing w:val="-4"/>
          <w:sz w:val="32"/>
          <w:szCs w:val="32"/>
        </w:rPr>
        <w:t>（一）项目单位基本情况</w:t>
      </w:r>
    </w:p>
    <w:p>
      <w:pPr>
        <w:widowControl/>
        <w:spacing w:line="560" w:lineRule="exact"/>
        <w:ind w:firstLine="640" w:firstLineChars="200"/>
        <w:jc w:val="left"/>
        <w:rPr>
          <w:rStyle w:val="5"/>
          <w:rFonts w:ascii="仿宋" w:hAnsi="仿宋" w:eastAsia="仿宋" w:cs="仿宋"/>
          <w:spacing w:val="-4"/>
          <w:sz w:val="32"/>
          <w:szCs w:val="32"/>
        </w:rPr>
      </w:pPr>
      <w:r>
        <w:rPr>
          <w:rFonts w:hint="eastAsia" w:ascii="仿宋" w:hAnsi="仿宋" w:eastAsia="仿宋" w:cs="仿宋"/>
          <w:kern w:val="0"/>
          <w:sz w:val="32"/>
          <w:szCs w:val="32"/>
        </w:rPr>
        <w:t>玛纳斯县畜牧局是玛纳斯县人民政府主管畜牧业的职能部门。主要任务与职能是贯彻执行国家及区、州发展畜牧业的方针、政策、法规，负责研究拟订全县畜牧业中长期发展规划和年度计划，提出畜牧业发展重大技术措施并负责实施。负责全县畜牧业生产、抗灾保畜、畜产品基地建设工作，实施全县草业发展，草原管理，草场资源保护管理的规划。指导全县种畜禽改良工作。组织实施重大疫情的预防、发布、扑灭工作，作好畜禽疾病的防治工作等。</w:t>
      </w:r>
    </w:p>
    <w:p>
      <w:pPr>
        <w:spacing w:line="560" w:lineRule="exact"/>
        <w:ind w:firstLine="567" w:firstLineChars="181"/>
        <w:rPr>
          <w:rStyle w:val="5"/>
          <w:rFonts w:ascii="仿宋" w:hAnsi="仿宋" w:eastAsia="仿宋" w:cs="仿宋"/>
          <w:spacing w:val="-4"/>
          <w:sz w:val="32"/>
          <w:szCs w:val="32"/>
        </w:rPr>
      </w:pPr>
      <w:r>
        <w:rPr>
          <w:rStyle w:val="5"/>
          <w:rFonts w:hint="eastAsia" w:ascii="仿宋" w:hAnsi="仿宋" w:eastAsia="仿宋" w:cs="仿宋"/>
          <w:spacing w:val="-4"/>
          <w:sz w:val="32"/>
          <w:szCs w:val="32"/>
        </w:rPr>
        <w:t>（二）项目预算绩效目标设定情况</w:t>
      </w:r>
    </w:p>
    <w:p>
      <w:pPr>
        <w:widowControl/>
        <w:spacing w:line="560" w:lineRule="exact"/>
        <w:ind w:firstLine="640" w:firstLineChars="200"/>
        <w:jc w:val="left"/>
        <w:rPr>
          <w:rFonts w:ascii="仿宋" w:hAnsi="仿宋" w:eastAsia="仿宋" w:cs="仿宋"/>
          <w:kern w:val="0"/>
          <w:sz w:val="32"/>
          <w:szCs w:val="32"/>
          <w:highlight w:val="none"/>
        </w:rPr>
      </w:pPr>
      <w:r>
        <w:rPr>
          <w:rFonts w:hint="eastAsia" w:ascii="仿宋" w:hAnsi="仿宋" w:eastAsia="仿宋" w:cs="仿宋"/>
          <w:kern w:val="0"/>
          <w:sz w:val="32"/>
          <w:szCs w:val="32"/>
          <w:highlight w:val="none"/>
        </w:rPr>
        <w:t>达到全县义务段学校19所，11718余名城镇义务段在校学生受益的目标。增强学生体质、落实自治区有关文件精神及县教委有关政策措施，实施“学生饮用奶计划”，改善我县少年儿童营养健康状况。</w:t>
      </w:r>
    </w:p>
    <w:p>
      <w:pPr>
        <w:spacing w:line="560" w:lineRule="exact"/>
        <w:ind w:firstLine="640"/>
        <w:rPr>
          <w:rStyle w:val="5"/>
          <w:rFonts w:ascii="仿宋" w:hAnsi="仿宋" w:eastAsia="仿宋" w:cs="仿宋"/>
          <w:bCs w:val="0"/>
          <w:spacing w:val="-4"/>
          <w:sz w:val="32"/>
          <w:szCs w:val="32"/>
        </w:rPr>
      </w:pPr>
      <w:r>
        <w:rPr>
          <w:rStyle w:val="5"/>
          <w:rFonts w:hint="eastAsia" w:ascii="仿宋" w:hAnsi="仿宋" w:eastAsia="仿宋" w:cs="仿宋"/>
          <w:bCs w:val="0"/>
          <w:spacing w:val="-4"/>
          <w:sz w:val="32"/>
          <w:szCs w:val="32"/>
        </w:rPr>
        <w:t>二、项目资金使用及管理情况</w:t>
      </w:r>
    </w:p>
    <w:p>
      <w:pPr>
        <w:spacing w:line="560" w:lineRule="exact"/>
        <w:ind w:firstLine="567" w:firstLineChars="181"/>
        <w:rPr>
          <w:rStyle w:val="5"/>
          <w:rFonts w:ascii="仿宋" w:hAnsi="仿宋" w:eastAsia="仿宋" w:cs="仿宋"/>
          <w:spacing w:val="-4"/>
          <w:sz w:val="32"/>
          <w:szCs w:val="32"/>
          <w:highlight w:val="none"/>
        </w:rPr>
      </w:pPr>
      <w:r>
        <w:rPr>
          <w:rStyle w:val="5"/>
          <w:rFonts w:hint="eastAsia" w:ascii="仿宋" w:hAnsi="仿宋" w:eastAsia="仿宋" w:cs="仿宋"/>
          <w:spacing w:val="-4"/>
          <w:sz w:val="32"/>
          <w:szCs w:val="32"/>
          <w:highlight w:val="none"/>
        </w:rPr>
        <w:t>（一）项目资金安排落实、总投入等情况分析</w:t>
      </w:r>
    </w:p>
    <w:p>
      <w:pPr>
        <w:spacing w:line="560" w:lineRule="exact"/>
        <w:ind w:firstLine="624" w:firstLineChars="200"/>
        <w:rPr>
          <w:rFonts w:ascii="仿宋" w:hAnsi="仿宋" w:eastAsia="仿宋" w:cs="仿宋"/>
          <w:sz w:val="32"/>
          <w:szCs w:val="32"/>
          <w:highlight w:val="none"/>
        </w:rPr>
      </w:pPr>
      <w:r>
        <w:rPr>
          <w:rStyle w:val="5"/>
          <w:rFonts w:hint="eastAsia" w:ascii="仿宋" w:hAnsi="仿宋" w:eastAsia="仿宋" w:cs="仿宋"/>
          <w:b w:val="0"/>
          <w:spacing w:val="-4"/>
          <w:sz w:val="32"/>
          <w:szCs w:val="32"/>
          <w:highlight w:val="none"/>
        </w:rPr>
        <w:t>2018年全年资金补助73.9万元，全部为州财政补助资金，已全部到位并使用完毕。</w:t>
      </w:r>
    </w:p>
    <w:p>
      <w:pPr>
        <w:spacing w:line="560" w:lineRule="exact"/>
        <w:ind w:firstLine="567" w:firstLineChars="181"/>
        <w:rPr>
          <w:rStyle w:val="5"/>
          <w:rFonts w:ascii="仿宋" w:hAnsi="仿宋" w:eastAsia="仿宋" w:cs="仿宋"/>
          <w:spacing w:val="-4"/>
          <w:sz w:val="32"/>
          <w:szCs w:val="32"/>
          <w:highlight w:val="none"/>
        </w:rPr>
      </w:pPr>
      <w:r>
        <w:rPr>
          <w:rStyle w:val="5"/>
          <w:rFonts w:hint="eastAsia" w:ascii="仿宋" w:hAnsi="仿宋" w:eastAsia="仿宋" w:cs="仿宋"/>
          <w:spacing w:val="-4"/>
          <w:sz w:val="32"/>
          <w:szCs w:val="32"/>
          <w:highlight w:val="none"/>
        </w:rPr>
        <w:t>（二）项目资金实际使用情况分析</w:t>
      </w:r>
    </w:p>
    <w:p>
      <w:pPr>
        <w:spacing w:line="560" w:lineRule="exact"/>
        <w:ind w:firstLine="640" w:firstLineChars="200"/>
        <w:rPr>
          <w:rStyle w:val="5"/>
          <w:rFonts w:ascii="仿宋" w:hAnsi="仿宋" w:eastAsia="仿宋" w:cs="仿宋"/>
          <w:b w:val="0"/>
          <w:spacing w:val="-4"/>
          <w:sz w:val="32"/>
          <w:szCs w:val="32"/>
          <w:highlight w:val="none"/>
        </w:rPr>
      </w:pPr>
      <w:r>
        <w:rPr>
          <w:rFonts w:hint="eastAsia" w:ascii="仿宋" w:hAnsi="仿宋" w:eastAsia="仿宋" w:cs="仿宋"/>
          <w:sz w:val="32"/>
          <w:szCs w:val="32"/>
          <w:highlight w:val="none"/>
        </w:rPr>
        <w:t>畜牧局负责实施“学生饮用奶计划”，改善我县少年儿童营养健康状况。我县共有义务段学校19所，11718余名城镇义务段在校学生受益。</w:t>
      </w:r>
      <w:r>
        <w:rPr>
          <w:rStyle w:val="5"/>
          <w:rFonts w:hint="eastAsia" w:ascii="仿宋" w:hAnsi="仿宋" w:eastAsia="仿宋" w:cs="仿宋"/>
          <w:b w:val="0"/>
          <w:spacing w:val="-4"/>
          <w:sz w:val="32"/>
          <w:szCs w:val="32"/>
          <w:highlight w:val="none"/>
        </w:rPr>
        <w:t>2018年全年中央财政资金补助73.9万元全部补助给</w:t>
      </w:r>
      <w:r>
        <w:rPr>
          <w:rFonts w:hint="eastAsia" w:ascii="仿宋" w:hAnsi="仿宋" w:eastAsia="仿宋" w:cs="仿宋"/>
          <w:sz w:val="32"/>
          <w:szCs w:val="32"/>
          <w:highlight w:val="none"/>
        </w:rPr>
        <w:t>麦趣尔公司。</w:t>
      </w:r>
    </w:p>
    <w:p>
      <w:pPr>
        <w:numPr>
          <w:ilvl w:val="0"/>
          <w:numId w:val="1"/>
        </w:numPr>
        <w:spacing w:line="560" w:lineRule="exact"/>
        <w:ind w:firstLine="567" w:firstLineChars="181"/>
        <w:rPr>
          <w:rStyle w:val="5"/>
          <w:rFonts w:ascii="仿宋" w:hAnsi="仿宋" w:eastAsia="仿宋" w:cs="仿宋"/>
          <w:spacing w:val="-4"/>
          <w:sz w:val="32"/>
          <w:szCs w:val="32"/>
        </w:rPr>
      </w:pPr>
      <w:r>
        <w:rPr>
          <w:rStyle w:val="5"/>
          <w:rFonts w:hint="eastAsia" w:ascii="仿宋" w:hAnsi="仿宋" w:eastAsia="仿宋" w:cs="仿宋"/>
          <w:spacing w:val="-4"/>
          <w:sz w:val="32"/>
          <w:szCs w:val="32"/>
        </w:rPr>
        <w:t>项目资金管理情况分析</w:t>
      </w:r>
    </w:p>
    <w:p>
      <w:pPr>
        <w:spacing w:line="560" w:lineRule="exact"/>
        <w:ind w:firstLine="624" w:firstLineChars="200"/>
        <w:rPr>
          <w:rStyle w:val="5"/>
          <w:rFonts w:ascii="仿宋" w:hAnsi="仿宋" w:eastAsia="仿宋" w:cs="仿宋"/>
          <w:b w:val="0"/>
          <w:spacing w:val="-4"/>
          <w:sz w:val="32"/>
          <w:szCs w:val="32"/>
        </w:rPr>
      </w:pPr>
      <w:r>
        <w:rPr>
          <w:rStyle w:val="5"/>
          <w:rFonts w:hint="eastAsia" w:ascii="仿宋" w:hAnsi="仿宋" w:eastAsia="仿宋" w:cs="仿宋"/>
          <w:b w:val="0"/>
          <w:spacing w:val="-4"/>
          <w:sz w:val="32"/>
          <w:szCs w:val="32"/>
        </w:rPr>
        <w:t>建立资金管理领导小组，对项目实施方案进行严格审查，制定资金管理制度及岗位责任制，严格监督项目实施过程中的资金使用情况，强化资金使用的事前审查、事中跟踪、事后监督等工作，做到全过程掌控资金的使用动态。</w:t>
      </w:r>
    </w:p>
    <w:p>
      <w:pPr>
        <w:spacing w:line="560" w:lineRule="exact"/>
        <w:ind w:firstLine="640"/>
        <w:rPr>
          <w:rStyle w:val="5"/>
          <w:rFonts w:ascii="仿宋" w:hAnsi="仿宋" w:eastAsia="仿宋" w:cs="仿宋"/>
          <w:bCs w:val="0"/>
          <w:spacing w:val="-4"/>
          <w:sz w:val="32"/>
          <w:szCs w:val="32"/>
        </w:rPr>
      </w:pPr>
      <w:r>
        <w:rPr>
          <w:rStyle w:val="5"/>
          <w:rFonts w:hint="eastAsia" w:ascii="仿宋" w:hAnsi="仿宋" w:eastAsia="仿宋" w:cs="仿宋"/>
          <w:bCs w:val="0"/>
          <w:spacing w:val="-4"/>
          <w:sz w:val="32"/>
          <w:szCs w:val="32"/>
        </w:rPr>
        <w:t>三、项目组织实施情况</w:t>
      </w:r>
    </w:p>
    <w:p>
      <w:pPr>
        <w:spacing w:line="560" w:lineRule="exact"/>
        <w:ind w:firstLine="567" w:firstLineChars="181"/>
        <w:rPr>
          <w:rStyle w:val="5"/>
          <w:rFonts w:ascii="仿宋" w:hAnsi="仿宋" w:eastAsia="仿宋" w:cs="仿宋"/>
          <w:spacing w:val="-4"/>
          <w:sz w:val="32"/>
          <w:szCs w:val="32"/>
        </w:rPr>
      </w:pPr>
      <w:r>
        <w:rPr>
          <w:rStyle w:val="5"/>
          <w:rFonts w:hint="eastAsia" w:ascii="仿宋" w:hAnsi="仿宋" w:eastAsia="仿宋" w:cs="仿宋"/>
          <w:spacing w:val="-4"/>
          <w:sz w:val="32"/>
          <w:szCs w:val="32"/>
        </w:rPr>
        <w:t>（一）项目组织情况分析</w:t>
      </w:r>
    </w:p>
    <w:p>
      <w:pPr>
        <w:spacing w:line="560" w:lineRule="exact"/>
        <w:ind w:firstLine="720" w:firstLineChars="231"/>
        <w:rPr>
          <w:rStyle w:val="5"/>
          <w:rFonts w:ascii="仿宋" w:hAnsi="仿宋" w:eastAsia="仿宋" w:cs="仿宋"/>
          <w:spacing w:val="-4"/>
          <w:sz w:val="32"/>
          <w:szCs w:val="32"/>
        </w:rPr>
      </w:pPr>
      <w:r>
        <w:rPr>
          <w:rStyle w:val="5"/>
          <w:rFonts w:hint="eastAsia" w:ascii="仿宋" w:hAnsi="仿宋" w:eastAsia="仿宋" w:cs="仿宋"/>
          <w:b w:val="0"/>
          <w:spacing w:val="-4"/>
          <w:sz w:val="32"/>
          <w:szCs w:val="32"/>
        </w:rPr>
        <w:t>学生饮用奶项目严格执行招投标程序，由</w:t>
      </w:r>
      <w:r>
        <w:rPr>
          <w:rFonts w:hint="eastAsia" w:ascii="仿宋" w:hAnsi="仿宋" w:eastAsia="仿宋" w:cs="仿宋"/>
          <w:sz w:val="32"/>
          <w:szCs w:val="32"/>
        </w:rPr>
        <w:t>麦趣尔公司中标。供应全县19所学校学生奶，各学校和教科局组织</w:t>
      </w:r>
      <w:r>
        <w:rPr>
          <w:rStyle w:val="5"/>
          <w:rFonts w:hint="eastAsia" w:ascii="仿宋" w:hAnsi="仿宋" w:eastAsia="仿宋" w:cs="仿宋"/>
          <w:b w:val="0"/>
          <w:spacing w:val="-4"/>
          <w:sz w:val="32"/>
          <w:szCs w:val="32"/>
        </w:rPr>
        <w:t>完成验收工作，畜牧兽医局负责申请兑现中央补助资金。</w:t>
      </w:r>
    </w:p>
    <w:p>
      <w:pPr>
        <w:spacing w:line="560" w:lineRule="exact"/>
        <w:ind w:firstLine="567" w:firstLineChars="181"/>
        <w:rPr>
          <w:rStyle w:val="5"/>
          <w:rFonts w:ascii="仿宋" w:hAnsi="仿宋" w:eastAsia="仿宋" w:cs="仿宋"/>
          <w:spacing w:val="-4"/>
          <w:sz w:val="32"/>
          <w:szCs w:val="32"/>
        </w:rPr>
      </w:pPr>
      <w:r>
        <w:rPr>
          <w:rStyle w:val="5"/>
          <w:rFonts w:hint="eastAsia" w:ascii="仿宋" w:hAnsi="仿宋" w:eastAsia="仿宋" w:cs="仿宋"/>
          <w:spacing w:val="-4"/>
          <w:sz w:val="32"/>
          <w:szCs w:val="32"/>
        </w:rPr>
        <w:t>（二）项目管理情况分析</w:t>
      </w:r>
    </w:p>
    <w:p>
      <w:pPr>
        <w:spacing w:line="560" w:lineRule="exact"/>
        <w:ind w:firstLine="640"/>
        <w:rPr>
          <w:rStyle w:val="5"/>
          <w:rFonts w:ascii="仿宋" w:hAnsi="仿宋" w:eastAsia="仿宋" w:cs="仿宋"/>
          <w:b w:val="0"/>
          <w:spacing w:val="-4"/>
          <w:sz w:val="32"/>
          <w:szCs w:val="32"/>
        </w:rPr>
      </w:pPr>
      <w:r>
        <w:rPr>
          <w:rStyle w:val="5"/>
          <w:rFonts w:hint="eastAsia" w:ascii="仿宋" w:hAnsi="仿宋" w:eastAsia="仿宋" w:cs="仿宋"/>
          <w:b w:val="0"/>
          <w:spacing w:val="-4"/>
          <w:sz w:val="32"/>
          <w:szCs w:val="32"/>
        </w:rPr>
        <w:t>严格执行岗位责任制，充分论证项目实施方案可操作性，督促目标完成，加强对资金使用情况的管理。</w:t>
      </w:r>
    </w:p>
    <w:p>
      <w:pPr>
        <w:spacing w:line="560" w:lineRule="exact"/>
        <w:ind w:firstLine="640"/>
        <w:rPr>
          <w:rStyle w:val="5"/>
          <w:rFonts w:ascii="仿宋" w:hAnsi="仿宋" w:eastAsia="仿宋" w:cs="仿宋"/>
          <w:bCs w:val="0"/>
        </w:rPr>
      </w:pPr>
      <w:r>
        <w:rPr>
          <w:rStyle w:val="5"/>
          <w:rFonts w:hint="eastAsia" w:ascii="仿宋" w:hAnsi="仿宋" w:eastAsia="仿宋" w:cs="仿宋"/>
          <w:bCs w:val="0"/>
          <w:spacing w:val="-4"/>
          <w:sz w:val="32"/>
          <w:szCs w:val="32"/>
        </w:rPr>
        <w:t>四、项目绩效情况</w:t>
      </w:r>
    </w:p>
    <w:p>
      <w:pPr>
        <w:spacing w:line="560" w:lineRule="exact"/>
        <w:ind w:firstLine="567" w:firstLineChars="181"/>
        <w:rPr>
          <w:rFonts w:ascii="仿宋" w:hAnsi="仿宋" w:eastAsia="仿宋" w:cs="仿宋"/>
          <w:b/>
          <w:spacing w:val="-4"/>
          <w:sz w:val="32"/>
          <w:szCs w:val="32"/>
          <w:highlight w:val="none"/>
        </w:rPr>
      </w:pPr>
      <w:r>
        <w:rPr>
          <w:rFonts w:hint="eastAsia" w:ascii="仿宋" w:hAnsi="仿宋" w:eastAsia="仿宋" w:cs="仿宋"/>
          <w:b/>
          <w:spacing w:val="-4"/>
          <w:sz w:val="32"/>
          <w:szCs w:val="32"/>
          <w:highlight w:val="none"/>
        </w:rPr>
        <w:t>（一）项目绩效目标完成情况分析</w:t>
      </w:r>
    </w:p>
    <w:p>
      <w:pPr>
        <w:spacing w:line="560" w:lineRule="exact"/>
        <w:ind w:firstLine="579" w:firstLineChars="181"/>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通过2018年为期一年的项目实施，较好地完成了项目2018年的预期目标，已完成全县义务段学校19所，11718余名城镇义务段在校学生受益的目标。</w:t>
      </w:r>
    </w:p>
    <w:p>
      <w:pPr>
        <w:spacing w:line="560" w:lineRule="exact"/>
        <w:ind w:firstLine="579" w:firstLineChars="181"/>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项目的经济性分析：</w:t>
      </w:r>
      <w:r>
        <w:rPr>
          <w:rFonts w:hint="eastAsia" w:ascii="仿宋_GB2312" w:hAnsi="仿宋" w:eastAsia="仿宋_GB2312"/>
          <w:color w:val="000000"/>
          <w:sz w:val="32"/>
          <w:szCs w:val="32"/>
          <w:highlight w:val="none"/>
        </w:rPr>
        <w:t>该项目预算资金73.9万元，实际支出73.9万元，在确保工作任务没有减少的情况下，预算控制和成本控制方面没有超出预算成本。</w:t>
      </w:r>
    </w:p>
    <w:p>
      <w:pPr>
        <w:spacing w:line="560" w:lineRule="exact"/>
        <w:ind w:firstLine="579" w:firstLineChars="181"/>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项目的效率性分析：资金下达以后，第一时间组织资金的发放工作，保证了补助资金的发放效率。</w:t>
      </w:r>
    </w:p>
    <w:p>
      <w:pPr>
        <w:spacing w:line="560" w:lineRule="exact"/>
        <w:ind w:firstLine="579" w:firstLineChars="181"/>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项目的有益性分析：增强了学生体质，保障学生生长发育。</w:t>
      </w:r>
    </w:p>
    <w:p>
      <w:pPr>
        <w:spacing w:line="560" w:lineRule="exact"/>
        <w:ind w:firstLine="579" w:firstLineChars="181"/>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项目的可持续性分析：为实现中华民族伟大复兴的中国梦打下坚实的健康基础。</w:t>
      </w:r>
      <w:bookmarkStart w:id="0" w:name="_GoBack"/>
      <w:bookmarkEnd w:id="0"/>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（二）项目绩效目标未完成原因分析</w:t>
      </w:r>
    </w:p>
    <w:p>
      <w:pPr>
        <w:spacing w:line="560" w:lineRule="exact"/>
        <w:ind w:firstLine="640"/>
        <w:rPr>
          <w:rStyle w:val="5"/>
          <w:rFonts w:ascii="仿宋" w:hAnsi="仿宋" w:eastAsia="仿宋" w:cs="仿宋"/>
          <w:b w:val="0"/>
          <w:spacing w:val="-4"/>
          <w:sz w:val="32"/>
          <w:szCs w:val="32"/>
        </w:rPr>
      </w:pPr>
      <w:r>
        <w:rPr>
          <w:rStyle w:val="5"/>
          <w:rFonts w:hint="eastAsia" w:ascii="仿宋" w:hAnsi="仿宋" w:eastAsia="仿宋" w:cs="仿宋"/>
          <w:b w:val="0"/>
          <w:spacing w:val="-4"/>
          <w:sz w:val="32"/>
          <w:szCs w:val="32"/>
        </w:rPr>
        <w:t>已经按照年度计划实施完毕， 绩效目标均已实现。</w:t>
      </w:r>
    </w:p>
    <w:p>
      <w:pPr>
        <w:spacing w:line="560" w:lineRule="exact"/>
        <w:ind w:firstLine="640"/>
        <w:rPr>
          <w:rStyle w:val="5"/>
          <w:rFonts w:ascii="黑体" w:hAnsi="黑体" w:eastAsia="黑体" w:cs="仿宋"/>
          <w:b w:val="0"/>
          <w:spacing w:val="-4"/>
          <w:sz w:val="32"/>
          <w:szCs w:val="32"/>
        </w:rPr>
      </w:pPr>
      <w:r>
        <w:rPr>
          <w:rStyle w:val="5"/>
          <w:rFonts w:hint="eastAsia" w:ascii="黑体" w:hAnsi="黑体" w:eastAsia="黑体" w:cs="仿宋"/>
          <w:b w:val="0"/>
          <w:spacing w:val="-4"/>
          <w:sz w:val="32"/>
          <w:szCs w:val="32"/>
        </w:rPr>
        <w:t>五、其他需要说明的问题</w:t>
      </w:r>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（一）后续工作计划</w:t>
      </w:r>
    </w:p>
    <w:p>
      <w:pPr>
        <w:spacing w:line="560" w:lineRule="exact"/>
        <w:ind w:firstLine="564" w:firstLineChars="181"/>
        <w:rPr>
          <w:rFonts w:ascii="仿宋" w:hAnsi="仿宋" w:eastAsia="仿宋" w:cs="仿宋"/>
          <w:bCs/>
          <w:spacing w:val="-4"/>
          <w:sz w:val="32"/>
          <w:szCs w:val="32"/>
        </w:rPr>
      </w:pPr>
      <w:r>
        <w:rPr>
          <w:rFonts w:hint="eastAsia" w:ascii="仿宋" w:hAnsi="仿宋" w:eastAsia="仿宋" w:cs="仿宋"/>
          <w:bCs/>
          <w:spacing w:val="-4"/>
          <w:sz w:val="32"/>
          <w:szCs w:val="32"/>
        </w:rPr>
        <w:t>2019年按照国家七部委要求，继续给全县19所小学供应学生饮用奶。</w:t>
      </w:r>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spacing w:line="560" w:lineRule="exact"/>
        <w:ind w:firstLine="643" w:firstLineChars="200"/>
        <w:rPr>
          <w:rFonts w:ascii="仿宋" w:hAnsi="仿宋" w:eastAsia="仿宋" w:cs="仿宋"/>
          <w:sz w:val="32"/>
          <w:szCs w:val="32"/>
          <w:highlight w:val="none"/>
        </w:rPr>
      </w:pPr>
      <w:r>
        <w:rPr>
          <w:rFonts w:hint="eastAsia" w:ascii="仿宋" w:hAnsi="仿宋" w:eastAsia="仿宋" w:cs="仿宋"/>
          <w:b/>
          <w:sz w:val="32"/>
          <w:szCs w:val="32"/>
          <w:highlight w:val="none"/>
        </w:rPr>
        <w:t>主要经验及做法：</w:t>
      </w:r>
      <w:r>
        <w:rPr>
          <w:rFonts w:hint="eastAsia" w:ascii="仿宋" w:hAnsi="仿宋" w:eastAsia="仿宋" w:cs="仿宋"/>
          <w:sz w:val="32"/>
          <w:szCs w:val="32"/>
          <w:highlight w:val="none"/>
        </w:rPr>
        <w:t>为把这项惠民工程做好，我县根据实际情况采取两种发放形式：一种学校附近增设发放点学生拿奶票自行领取，二种是农牧区较远的学校由麦趣尔公司直接发放的形式。</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玛纳斯县教科局按时统计好每月学生奶的配送数量和实际饮用数量，月底及时向上级领导和麦趣尔服务中心报送。</w:t>
      </w:r>
    </w:p>
    <w:p>
      <w:pPr>
        <w:widowControl/>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玛纳斯县县畜牧兽医局根据县教科局的统计报表和麦趣尔公司供应的发票，向县财政局申请资金，由财政局直接拨付给麦趣尔公司。</w:t>
      </w:r>
    </w:p>
    <w:p>
      <w:pPr>
        <w:widowControl/>
        <w:spacing w:line="560" w:lineRule="exact"/>
        <w:ind w:firstLine="643" w:firstLineChars="200"/>
        <w:jc w:val="left"/>
        <w:rPr>
          <w:rFonts w:ascii="仿宋" w:hAnsi="仿宋" w:eastAsia="仿宋" w:cs="仿宋"/>
          <w:sz w:val="32"/>
          <w:szCs w:val="32"/>
          <w:highlight w:val="none"/>
        </w:rPr>
      </w:pPr>
      <w:r>
        <w:rPr>
          <w:rFonts w:hint="eastAsia" w:ascii="仿宋" w:hAnsi="仿宋" w:eastAsia="仿宋" w:cs="仿宋"/>
          <w:b/>
          <w:sz w:val="32"/>
          <w:szCs w:val="32"/>
          <w:highlight w:val="none"/>
        </w:rPr>
        <w:t>存在问题：</w:t>
      </w:r>
      <w:r>
        <w:rPr>
          <w:rFonts w:hint="eastAsia" w:ascii="仿宋" w:hAnsi="仿宋" w:eastAsia="仿宋" w:cs="仿宋"/>
          <w:sz w:val="32"/>
          <w:szCs w:val="32"/>
          <w:highlight w:val="none"/>
        </w:rPr>
        <w:t>在每月学生奶领取的过程中难免会出现学生丢失奶券、不按时领取等问题。</w:t>
      </w:r>
    </w:p>
    <w:p>
      <w:pPr>
        <w:spacing w:line="560" w:lineRule="exact"/>
        <w:ind w:firstLine="643" w:firstLineChars="200"/>
        <w:rPr>
          <w:rFonts w:ascii="仿宋" w:hAnsi="仿宋" w:eastAsia="仿宋" w:cs="仿宋"/>
          <w:sz w:val="32"/>
          <w:szCs w:val="32"/>
          <w:highlight w:val="none"/>
        </w:rPr>
      </w:pPr>
      <w:r>
        <w:rPr>
          <w:rFonts w:hint="eastAsia" w:ascii="仿宋" w:hAnsi="仿宋" w:eastAsia="仿宋" w:cs="仿宋"/>
          <w:b/>
          <w:sz w:val="32"/>
          <w:szCs w:val="32"/>
          <w:highlight w:val="none"/>
        </w:rPr>
        <w:t>建议：</w:t>
      </w:r>
      <w:r>
        <w:rPr>
          <w:rFonts w:hint="eastAsia" w:ascii="仿宋" w:hAnsi="仿宋" w:eastAsia="仿宋" w:cs="仿宋"/>
          <w:sz w:val="32"/>
          <w:szCs w:val="32"/>
          <w:highlight w:val="none"/>
        </w:rPr>
        <w:t>各学校成立由校长任组长的实施学生饮用奶工程领导小组，具体负责本校饮用奶组织管理和实施，做到每年有计划，年终有总结，期期有关于学生饮用奶的宣传报道。</w:t>
      </w:r>
    </w:p>
    <w:p>
      <w:pPr>
        <w:spacing w:line="560" w:lineRule="exact"/>
        <w:ind w:firstLine="567" w:firstLineChars="181"/>
        <w:rPr>
          <w:rFonts w:ascii="仿宋" w:hAnsi="仿宋" w:eastAsia="仿宋" w:cs="仿宋"/>
          <w:b/>
          <w:spacing w:val="-4"/>
          <w:sz w:val="32"/>
          <w:szCs w:val="32"/>
          <w:highlight w:val="none"/>
        </w:rPr>
      </w:pPr>
      <w:r>
        <w:rPr>
          <w:rFonts w:hint="eastAsia" w:ascii="仿宋" w:hAnsi="仿宋" w:eastAsia="仿宋" w:cs="仿宋"/>
          <w:b/>
          <w:spacing w:val="-4"/>
          <w:sz w:val="32"/>
          <w:szCs w:val="32"/>
          <w:highlight w:val="none"/>
        </w:rPr>
        <w:t>（三）其他</w:t>
      </w:r>
    </w:p>
    <w:p>
      <w:pPr>
        <w:spacing w:line="560" w:lineRule="exact"/>
        <w:ind w:firstLine="564" w:firstLineChars="181"/>
        <w:rPr>
          <w:rFonts w:ascii="仿宋" w:hAnsi="仿宋" w:eastAsia="仿宋" w:cs="仿宋"/>
          <w:bCs/>
          <w:spacing w:val="-4"/>
          <w:sz w:val="32"/>
          <w:szCs w:val="32"/>
          <w:highlight w:val="none"/>
        </w:rPr>
      </w:pPr>
      <w:r>
        <w:rPr>
          <w:rFonts w:hint="eastAsia" w:ascii="仿宋" w:hAnsi="仿宋" w:eastAsia="仿宋" w:cs="仿宋"/>
          <w:bCs/>
          <w:spacing w:val="-4"/>
          <w:sz w:val="32"/>
          <w:szCs w:val="32"/>
          <w:highlight w:val="none"/>
        </w:rPr>
        <w:t>无。</w:t>
      </w:r>
    </w:p>
    <w:p>
      <w:pPr>
        <w:spacing w:line="560" w:lineRule="exact"/>
        <w:ind w:firstLine="640"/>
        <w:rPr>
          <w:rStyle w:val="5"/>
          <w:rFonts w:ascii="仿宋" w:hAnsi="仿宋" w:eastAsia="仿宋" w:cs="仿宋"/>
          <w:bCs w:val="0"/>
          <w:spacing w:val="-4"/>
          <w:sz w:val="32"/>
          <w:szCs w:val="32"/>
          <w:highlight w:val="none"/>
        </w:rPr>
      </w:pPr>
      <w:r>
        <w:rPr>
          <w:rStyle w:val="5"/>
          <w:rFonts w:hint="eastAsia" w:ascii="仿宋" w:hAnsi="仿宋" w:eastAsia="仿宋" w:cs="仿宋"/>
          <w:bCs w:val="0"/>
          <w:spacing w:val="-4"/>
          <w:sz w:val="32"/>
          <w:szCs w:val="32"/>
          <w:highlight w:val="none"/>
        </w:rPr>
        <w:t>六、项目评价工作情况</w:t>
      </w:r>
    </w:p>
    <w:p>
      <w:pPr>
        <w:spacing w:line="480" w:lineRule="exact"/>
        <w:ind w:firstLine="640"/>
        <w:rPr>
          <w:rFonts w:ascii="仿宋" w:hAnsi="仿宋" w:eastAsia="仿宋" w:cs="仿宋"/>
          <w:spacing w:val="-4"/>
          <w:sz w:val="32"/>
          <w:szCs w:val="32"/>
        </w:rPr>
      </w:pPr>
      <w:r>
        <w:rPr>
          <w:rFonts w:hint="eastAsia" w:ascii="仿宋" w:hAnsi="仿宋" w:eastAsia="仿宋" w:cs="仿宋"/>
          <w:spacing w:val="-4"/>
          <w:sz w:val="32"/>
          <w:szCs w:val="32"/>
          <w:highlight w:val="none"/>
        </w:rPr>
        <w:t>该项目实施前确定了资金来源，畜牧局在项目实施的各个阶段已做好印证资料的收集工作，施工完成</w:t>
      </w:r>
      <w:r>
        <w:rPr>
          <w:rFonts w:hint="eastAsia" w:ascii="仿宋" w:hAnsi="仿宋" w:eastAsia="仿宋" w:cs="仿宋"/>
          <w:spacing w:val="-4"/>
          <w:sz w:val="32"/>
          <w:szCs w:val="32"/>
        </w:rPr>
        <w:t>好做好项目的验收工作。</w:t>
      </w:r>
    </w:p>
    <w:p>
      <w:pPr>
        <w:spacing w:line="560" w:lineRule="exact"/>
        <w:ind w:firstLine="640"/>
        <w:rPr>
          <w:rStyle w:val="5"/>
          <w:rFonts w:ascii="仿宋" w:hAnsi="仿宋" w:eastAsia="仿宋" w:cs="仿宋"/>
          <w:b w:val="0"/>
          <w:spacing w:val="-4"/>
          <w:sz w:val="32"/>
          <w:szCs w:val="32"/>
        </w:rPr>
      </w:pPr>
      <w:r>
        <w:rPr>
          <w:rStyle w:val="5"/>
          <w:rFonts w:hint="eastAsia" w:ascii="仿宋" w:hAnsi="仿宋" w:eastAsia="仿宋" w:cs="仿宋"/>
          <w:b w:val="0"/>
          <w:spacing w:val="-4"/>
          <w:sz w:val="32"/>
          <w:szCs w:val="32"/>
        </w:rPr>
        <w:t>七、附表</w:t>
      </w:r>
    </w:p>
    <w:p>
      <w:pPr>
        <w:spacing w:line="560" w:lineRule="exact"/>
        <w:ind w:firstLine="567"/>
        <w:rPr>
          <w:rFonts w:ascii="仿宋" w:hAnsi="仿宋" w:eastAsia="仿宋" w:cs="仿宋"/>
          <w:bCs/>
          <w:spacing w:val="-4"/>
          <w:sz w:val="32"/>
          <w:szCs w:val="32"/>
        </w:rPr>
        <w:sectPr>
          <w:pgSz w:w="11906" w:h="16838"/>
          <w:pgMar w:top="1417" w:right="1417" w:bottom="1417" w:left="1417" w:header="851" w:footer="992" w:gutter="0"/>
          <w:cols w:space="0" w:num="1"/>
          <w:docGrid w:type="lines" w:linePitch="312" w:charSpace="0"/>
        </w:sectPr>
      </w:pPr>
      <w:r>
        <w:rPr>
          <w:rStyle w:val="5"/>
          <w:rFonts w:hint="eastAsia" w:ascii="仿宋" w:hAnsi="仿宋" w:eastAsia="仿宋" w:cs="仿宋"/>
          <w:b w:val="0"/>
          <w:spacing w:val="-4"/>
          <w:sz w:val="32"/>
          <w:szCs w:val="32"/>
        </w:rPr>
        <w:t>《玛纳斯县财政项目支出绩效自评表》</w:t>
      </w:r>
    </w:p>
    <w:tbl>
      <w:tblPr>
        <w:tblStyle w:val="7"/>
        <w:tblW w:w="9020" w:type="dxa"/>
        <w:tblInd w:w="93" w:type="dxa"/>
        <w:tblLayout w:type="fixed"/>
        <w:tblCellMar>
          <w:top w:w="0" w:type="dxa"/>
          <w:left w:w="108" w:type="dxa"/>
          <w:bottom w:w="0" w:type="dxa"/>
          <w:right w:w="108" w:type="dxa"/>
        </w:tblCellMar>
      </w:tblPr>
      <w:tblGrid>
        <w:gridCol w:w="1011"/>
        <w:gridCol w:w="1125"/>
        <w:gridCol w:w="1084"/>
        <w:gridCol w:w="356"/>
        <w:gridCol w:w="2115"/>
        <w:gridCol w:w="1549"/>
        <w:gridCol w:w="206"/>
        <w:gridCol w:w="1574"/>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spacing w:line="560" w:lineRule="exact"/>
              <w:rPr>
                <w:rFonts w:ascii="仿宋" w:hAnsi="仿宋" w:eastAsia="仿宋" w:cs="仿宋"/>
                <w:b/>
                <w:bCs/>
                <w:kern w:val="0"/>
                <w:sz w:val="32"/>
                <w:szCs w:val="32"/>
              </w:rPr>
            </w:pPr>
          </w:p>
          <w:p>
            <w:pPr>
              <w:widowControl/>
              <w:spacing w:line="560" w:lineRule="exact"/>
              <w:jc w:val="center"/>
              <w:rPr>
                <w:rFonts w:ascii="仿宋" w:hAnsi="仿宋" w:eastAsia="仿宋" w:cs="仿宋"/>
                <w:b/>
                <w:bCs/>
                <w:kern w:val="0"/>
                <w:sz w:val="32"/>
                <w:szCs w:val="32"/>
              </w:rPr>
            </w:pPr>
            <w:r>
              <w:rPr>
                <w:rFonts w:hint="eastAsia" w:ascii="仿宋" w:hAnsi="仿宋" w:eastAsia="仿宋" w:cs="仿宋"/>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spacing w:line="560" w:lineRule="exact"/>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41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玛纳斯县学生饮用奶补助项目</w:t>
            </w:r>
          </w:p>
        </w:tc>
      </w:tr>
      <w:tr>
        <w:tblPrEx>
          <w:tblLayout w:type="fixed"/>
          <w:tblCellMar>
            <w:top w:w="0" w:type="dxa"/>
            <w:left w:w="108" w:type="dxa"/>
            <w:bottom w:w="0" w:type="dxa"/>
            <w:right w:w="108" w:type="dxa"/>
          </w:tblCellMar>
        </w:tblPrEx>
        <w:trPr>
          <w:trHeight w:val="40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玛纳斯县畜牧兽医局　</w:t>
            </w:r>
          </w:p>
        </w:tc>
      </w:tr>
      <w:tr>
        <w:tblPrEx>
          <w:tblLayout w:type="fixed"/>
          <w:tblCellMar>
            <w:top w:w="0" w:type="dxa"/>
            <w:left w:w="108" w:type="dxa"/>
            <w:bottom w:w="0" w:type="dxa"/>
            <w:right w:w="108" w:type="dxa"/>
          </w:tblCellMar>
        </w:tblPrEx>
        <w:trPr>
          <w:trHeight w:val="440" w:hRule="atLeast"/>
        </w:trPr>
        <w:tc>
          <w:tcPr>
            <w:tcW w:w="1011" w:type="dxa"/>
            <w:vMerge w:val="restart"/>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预算执行情况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209" w:type="dxa"/>
            <w:gridSpan w:val="2"/>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2471" w:type="dxa"/>
            <w:gridSpan w:val="2"/>
            <w:tcBorders>
              <w:top w:val="single" w:color="auto" w:sz="4" w:space="0"/>
              <w:left w:val="nil"/>
              <w:bottom w:val="single" w:color="auto" w:sz="4" w:space="0"/>
              <w:right w:val="single" w:color="000000"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　万元</w:t>
            </w:r>
          </w:p>
        </w:tc>
        <w:tc>
          <w:tcPr>
            <w:tcW w:w="1549" w:type="dxa"/>
            <w:tcBorders>
              <w:top w:val="nil"/>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　万元</w:t>
            </w:r>
          </w:p>
        </w:tc>
      </w:tr>
      <w:tr>
        <w:tblPrEx>
          <w:tblLayout w:type="fixed"/>
          <w:tblCellMar>
            <w:top w:w="0" w:type="dxa"/>
            <w:left w:w="108" w:type="dxa"/>
            <w:bottom w:w="0" w:type="dxa"/>
            <w:right w:w="108" w:type="dxa"/>
          </w:tblCellMar>
        </w:tblPrEx>
        <w:trPr>
          <w:trHeight w:val="509" w:hRule="atLeast"/>
        </w:trPr>
        <w:tc>
          <w:tcPr>
            <w:tcW w:w="1011"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2209" w:type="dxa"/>
            <w:gridSpan w:val="2"/>
            <w:tcBorders>
              <w:top w:val="single" w:color="auto" w:sz="4" w:space="0"/>
              <w:left w:val="nil"/>
              <w:bottom w:val="single" w:color="auto" w:sz="4" w:space="0"/>
              <w:right w:val="single" w:color="auto" w:sz="4" w:space="0"/>
            </w:tcBorders>
            <w:vAlign w:val="center"/>
          </w:tcPr>
          <w:p>
            <w:pPr>
              <w:widowControl/>
              <w:spacing w:line="560" w:lineRule="exact"/>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2471" w:type="dxa"/>
            <w:gridSpan w:val="2"/>
            <w:tcBorders>
              <w:top w:val="single" w:color="auto" w:sz="4" w:space="0"/>
              <w:left w:val="nil"/>
              <w:bottom w:val="single" w:color="auto" w:sz="4" w:space="0"/>
              <w:right w:val="single" w:color="000000"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　万元　</w:t>
            </w:r>
          </w:p>
        </w:tc>
        <w:tc>
          <w:tcPr>
            <w:tcW w:w="1549" w:type="dxa"/>
            <w:tcBorders>
              <w:top w:val="nil"/>
              <w:left w:val="nil"/>
              <w:bottom w:val="nil"/>
              <w:right w:val="single" w:color="auto" w:sz="4" w:space="0"/>
            </w:tcBorders>
            <w:vAlign w:val="center"/>
          </w:tcPr>
          <w:p>
            <w:pPr>
              <w:widowControl/>
              <w:spacing w:line="560" w:lineRule="exact"/>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73.9万元</w:t>
            </w:r>
          </w:p>
        </w:tc>
      </w:tr>
      <w:tr>
        <w:tblPrEx>
          <w:tblLayout w:type="fixed"/>
          <w:tblCellMar>
            <w:top w:w="0" w:type="dxa"/>
            <w:left w:w="108" w:type="dxa"/>
            <w:bottom w:w="0" w:type="dxa"/>
            <w:right w:w="108" w:type="dxa"/>
          </w:tblCellMar>
        </w:tblPrEx>
        <w:trPr>
          <w:trHeight w:val="380" w:hRule="atLeast"/>
        </w:trPr>
        <w:tc>
          <w:tcPr>
            <w:tcW w:w="1011"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2209" w:type="dxa"/>
            <w:gridSpan w:val="2"/>
            <w:tcBorders>
              <w:top w:val="single" w:color="auto" w:sz="4" w:space="0"/>
              <w:left w:val="nil"/>
              <w:bottom w:val="single" w:color="auto" w:sz="4" w:space="0"/>
              <w:right w:val="single" w:color="auto" w:sz="4" w:space="0"/>
            </w:tcBorders>
            <w:vAlign w:val="center"/>
          </w:tcPr>
          <w:p>
            <w:pPr>
              <w:widowControl/>
              <w:spacing w:line="560" w:lineRule="exact"/>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2471" w:type="dxa"/>
            <w:gridSpan w:val="2"/>
            <w:tcBorders>
              <w:top w:val="single" w:color="auto" w:sz="4" w:space="0"/>
              <w:left w:val="nil"/>
              <w:bottom w:val="single" w:color="auto" w:sz="4" w:space="0"/>
              <w:right w:val="single" w:color="000000"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0　</w:t>
            </w:r>
          </w:p>
        </w:tc>
        <w:tc>
          <w:tcPr>
            <w:tcW w:w="1549" w:type="dxa"/>
            <w:tcBorders>
              <w:top w:val="single" w:color="auto" w:sz="4" w:space="0"/>
              <w:left w:val="nil"/>
              <w:bottom w:val="nil"/>
              <w:right w:val="single" w:color="auto" w:sz="4" w:space="0"/>
            </w:tcBorders>
            <w:vAlign w:val="center"/>
          </w:tcPr>
          <w:p>
            <w:pPr>
              <w:widowControl/>
              <w:spacing w:line="560" w:lineRule="exact"/>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0</w:t>
            </w:r>
          </w:p>
        </w:tc>
      </w:tr>
      <w:tr>
        <w:tblPrEx>
          <w:tblLayout w:type="fixed"/>
          <w:tblCellMar>
            <w:top w:w="0" w:type="dxa"/>
            <w:left w:w="108" w:type="dxa"/>
            <w:bottom w:w="0" w:type="dxa"/>
            <w:right w:w="108" w:type="dxa"/>
          </w:tblCellMar>
        </w:tblPrEx>
        <w:trPr>
          <w:trHeight w:val="425" w:hRule="atLeast"/>
        </w:trPr>
        <w:tc>
          <w:tcPr>
            <w:tcW w:w="1011" w:type="dxa"/>
            <w:vMerge w:val="restart"/>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年度目标完成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680" w:type="dxa"/>
            <w:gridSpan w:val="4"/>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329" w:type="dxa"/>
            <w:gridSpan w:val="3"/>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1170" w:hRule="atLeast"/>
        </w:trPr>
        <w:tc>
          <w:tcPr>
            <w:tcW w:w="1011"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4680" w:type="dxa"/>
            <w:gridSpan w:val="4"/>
            <w:tcBorders>
              <w:top w:val="single" w:color="auto" w:sz="4" w:space="0"/>
              <w:left w:val="nil"/>
              <w:bottom w:val="single" w:color="auto" w:sz="4" w:space="0"/>
              <w:right w:val="single" w:color="000000" w:sz="4" w:space="0"/>
            </w:tcBorders>
          </w:tcPr>
          <w:p>
            <w:pPr>
              <w:spacing w:line="560" w:lineRule="exact"/>
              <w:rPr>
                <w:rFonts w:ascii="仿宋" w:hAnsi="仿宋" w:eastAsia="仿宋" w:cs="仿宋"/>
                <w:kern w:val="0"/>
                <w:sz w:val="20"/>
                <w:szCs w:val="20"/>
              </w:rPr>
            </w:pPr>
            <w:r>
              <w:rPr>
                <w:rFonts w:hint="eastAsia" w:ascii="仿宋" w:hAnsi="仿宋" w:eastAsia="仿宋" w:cs="仿宋"/>
                <w:kern w:val="0"/>
                <w:sz w:val="20"/>
                <w:szCs w:val="20"/>
              </w:rPr>
              <w:t>计划全县义务段学校19所，11718余名城镇义务段在校学生受益。</w:t>
            </w:r>
          </w:p>
        </w:tc>
        <w:tc>
          <w:tcPr>
            <w:tcW w:w="3329" w:type="dxa"/>
            <w:gridSpan w:val="3"/>
            <w:tcBorders>
              <w:top w:val="single" w:color="auto" w:sz="4" w:space="0"/>
              <w:left w:val="nil"/>
              <w:bottom w:val="single" w:color="auto" w:sz="4" w:space="0"/>
              <w:right w:val="single" w:color="000000" w:sz="4" w:space="0"/>
            </w:tcBorders>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完成全县义务段学校19所，11718余名城镇义务段在校学生受益。</w:t>
            </w:r>
          </w:p>
        </w:tc>
      </w:tr>
      <w:tr>
        <w:tblPrEx>
          <w:tblLayout w:type="fixed"/>
          <w:tblCellMar>
            <w:top w:w="0" w:type="dxa"/>
            <w:left w:w="108" w:type="dxa"/>
            <w:bottom w:w="0" w:type="dxa"/>
            <w:right w:w="108" w:type="dxa"/>
          </w:tblCellMar>
        </w:tblPrEx>
        <w:trPr>
          <w:trHeight w:val="1420" w:hRule="atLeast"/>
        </w:trPr>
        <w:tc>
          <w:tcPr>
            <w:tcW w:w="1011" w:type="dxa"/>
            <w:vMerge w:val="restart"/>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25" w:type="dxa"/>
            <w:tcBorders>
              <w:top w:val="nil"/>
              <w:left w:val="nil"/>
              <w:bottom w:val="nil"/>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440"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1011"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restart"/>
            <w:tcBorders>
              <w:top w:val="single" w:color="auto" w:sz="4" w:space="0"/>
              <w:left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440" w:type="dxa"/>
            <w:gridSpan w:val="2"/>
            <w:vMerge w:val="restart"/>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指标1：学校总数</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19所</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19所</w:t>
            </w:r>
          </w:p>
        </w:tc>
      </w:tr>
      <w:tr>
        <w:tblPrEx>
          <w:tblLayout w:type="fixed"/>
          <w:tblCellMar>
            <w:top w:w="0" w:type="dxa"/>
            <w:left w:w="108" w:type="dxa"/>
            <w:bottom w:w="0" w:type="dxa"/>
            <w:right w:w="108" w:type="dxa"/>
          </w:tblCellMar>
        </w:tblPrEx>
        <w:trPr>
          <w:trHeight w:val="865" w:hRule="atLeast"/>
        </w:trPr>
        <w:tc>
          <w:tcPr>
            <w:tcW w:w="1011"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vMerge w:val="continue"/>
            <w:tcBorders>
              <w:top w:val="nil"/>
              <w:left w:val="single" w:color="auto" w:sz="4" w:space="0"/>
              <w:bottom w:val="single" w:color="000000"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指标2：受益学生人数</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11718名</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11718名</w:t>
            </w:r>
          </w:p>
        </w:tc>
      </w:tr>
      <w:tr>
        <w:tblPrEx>
          <w:tblLayout w:type="fixed"/>
          <w:tblCellMar>
            <w:top w:w="0" w:type="dxa"/>
            <w:left w:w="108" w:type="dxa"/>
            <w:bottom w:w="0" w:type="dxa"/>
            <w:right w:w="108" w:type="dxa"/>
          </w:tblCellMar>
        </w:tblPrEx>
        <w:trPr>
          <w:trHeight w:val="480" w:hRule="atLeast"/>
        </w:trPr>
        <w:tc>
          <w:tcPr>
            <w:tcW w:w="1011"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指标1：保证质量</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100%</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101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指标1：时限</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1年</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1年</w:t>
            </w:r>
          </w:p>
        </w:tc>
      </w:tr>
      <w:tr>
        <w:tblPrEx>
          <w:tblLayout w:type="fixed"/>
          <w:tblCellMar>
            <w:top w:w="0" w:type="dxa"/>
            <w:left w:w="108" w:type="dxa"/>
            <w:bottom w:w="0" w:type="dxa"/>
            <w:right w:w="108" w:type="dxa"/>
          </w:tblCellMar>
        </w:tblPrEx>
        <w:trPr>
          <w:trHeight w:val="395" w:hRule="atLeast"/>
        </w:trPr>
        <w:tc>
          <w:tcPr>
            <w:tcW w:w="101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指标1：补贴金额</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73.9万元</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73.9万元</w:t>
            </w:r>
          </w:p>
        </w:tc>
      </w:tr>
      <w:tr>
        <w:tblPrEx>
          <w:tblLayout w:type="fixed"/>
          <w:tblCellMar>
            <w:top w:w="0" w:type="dxa"/>
            <w:left w:w="108" w:type="dxa"/>
            <w:bottom w:w="0" w:type="dxa"/>
            <w:right w:w="108" w:type="dxa"/>
          </w:tblCellMar>
        </w:tblPrEx>
        <w:trPr>
          <w:trHeight w:val="700" w:hRule="atLeast"/>
        </w:trPr>
        <w:tc>
          <w:tcPr>
            <w:tcW w:w="1011" w:type="dxa"/>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restart"/>
            <w:tcBorders>
              <w:top w:val="single" w:color="auto" w:sz="4" w:space="0"/>
              <w:left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440"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经济效益</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r>
      <w:tr>
        <w:tblPrEx>
          <w:tblLayout w:type="fixed"/>
          <w:tblCellMar>
            <w:top w:w="0" w:type="dxa"/>
            <w:left w:w="108" w:type="dxa"/>
            <w:bottom w:w="0" w:type="dxa"/>
            <w:right w:w="108" w:type="dxa"/>
          </w:tblCellMar>
        </w:tblPrEx>
        <w:trPr>
          <w:trHeight w:val="670" w:hRule="exact"/>
        </w:trPr>
        <w:tc>
          <w:tcPr>
            <w:tcW w:w="1011" w:type="dxa"/>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tcPr>
          <w:p>
            <w:pPr>
              <w:widowControl/>
              <w:jc w:val="left"/>
              <w:rPr>
                <w:rFonts w:ascii="仿宋" w:hAnsi="仿宋" w:eastAsia="仿宋" w:cs="宋体"/>
                <w:kern w:val="0"/>
                <w:sz w:val="20"/>
                <w:szCs w:val="20"/>
              </w:rPr>
            </w:pPr>
            <w:r>
              <w:rPr>
                <w:rFonts w:hint="eastAsia" w:ascii="仿宋" w:hAnsi="仿宋" w:eastAsia="仿宋" w:cs="宋体"/>
                <w:kern w:val="0"/>
                <w:sz w:val="20"/>
                <w:szCs w:val="20"/>
              </w:rPr>
              <w:t>社会效益指标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指标1：增强学生体质</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增强学生体质</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增强学生体质</w:t>
            </w:r>
          </w:p>
        </w:tc>
      </w:tr>
      <w:tr>
        <w:tblPrEx>
          <w:tblLayout w:type="fixed"/>
          <w:tblCellMar>
            <w:top w:w="0" w:type="dxa"/>
            <w:left w:w="108" w:type="dxa"/>
            <w:bottom w:w="0" w:type="dxa"/>
            <w:right w:w="108" w:type="dxa"/>
          </w:tblCellMar>
        </w:tblPrEx>
        <w:trPr>
          <w:trHeight w:val="670" w:hRule="exact"/>
        </w:trPr>
        <w:tc>
          <w:tcPr>
            <w:tcW w:w="1011" w:type="dxa"/>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tcPr>
          <w:p>
            <w:pPr>
              <w:widowControl/>
              <w:jc w:val="left"/>
              <w:rPr>
                <w:rFonts w:ascii="仿宋" w:hAnsi="仿宋" w:eastAsia="仿宋" w:cs="宋体"/>
                <w:kern w:val="0"/>
                <w:sz w:val="20"/>
                <w:szCs w:val="20"/>
              </w:rPr>
            </w:pPr>
            <w:r>
              <w:rPr>
                <w:rFonts w:hint="eastAsia" w:ascii="仿宋" w:hAnsi="仿宋" w:eastAsia="仿宋" w:cs="宋体"/>
                <w:kern w:val="0"/>
                <w:sz w:val="20"/>
                <w:szCs w:val="20"/>
              </w:rPr>
              <w:t>生态效益指标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r>
      <w:tr>
        <w:tblPrEx>
          <w:tblLayout w:type="fixed"/>
          <w:tblCellMar>
            <w:top w:w="0" w:type="dxa"/>
            <w:left w:w="108" w:type="dxa"/>
            <w:bottom w:w="0" w:type="dxa"/>
            <w:right w:w="108" w:type="dxa"/>
          </w:tblCellMar>
        </w:tblPrEx>
        <w:trPr>
          <w:trHeight w:val="670" w:hRule="exact"/>
        </w:trPr>
        <w:tc>
          <w:tcPr>
            <w:tcW w:w="1011" w:type="dxa"/>
            <w:tcBorders>
              <w:top w:val="nil"/>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vMerge w:val="continue"/>
            <w:tcBorders>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440" w:type="dxa"/>
            <w:gridSpan w:val="2"/>
            <w:tcBorders>
              <w:top w:val="nil"/>
              <w:left w:val="single" w:color="auto" w:sz="4" w:space="0"/>
              <w:bottom w:val="single" w:color="000000" w:sz="4" w:space="0"/>
              <w:right w:val="single" w:color="auto" w:sz="4" w:space="0"/>
            </w:tcBorders>
          </w:tcPr>
          <w:p>
            <w:pPr>
              <w:widowControl/>
              <w:jc w:val="left"/>
              <w:rPr>
                <w:rFonts w:ascii="仿宋" w:hAnsi="仿宋" w:eastAsia="仿宋" w:cs="宋体"/>
                <w:kern w:val="0"/>
                <w:sz w:val="20"/>
                <w:szCs w:val="20"/>
              </w:rPr>
            </w:pPr>
            <w:r>
              <w:rPr>
                <w:rFonts w:hint="eastAsia" w:ascii="仿宋" w:hAnsi="仿宋" w:eastAsia="仿宋" w:cs="宋体"/>
                <w:kern w:val="0"/>
                <w:sz w:val="20"/>
                <w:szCs w:val="20"/>
              </w:rPr>
              <w:t>可持续指标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p>
        </w:tc>
      </w:tr>
      <w:tr>
        <w:tblPrEx>
          <w:tblLayout w:type="fixed"/>
          <w:tblCellMar>
            <w:top w:w="0" w:type="dxa"/>
            <w:left w:w="108" w:type="dxa"/>
            <w:bottom w:w="0" w:type="dxa"/>
            <w:right w:w="108" w:type="dxa"/>
          </w:tblCellMar>
        </w:tblPrEx>
        <w:trPr>
          <w:trHeight w:val="665" w:hRule="exact"/>
        </w:trPr>
        <w:tc>
          <w:tcPr>
            <w:tcW w:w="101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2"/>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2115" w:type="dxa"/>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 w:hAnsi="仿宋" w:eastAsia="仿宋" w:cs="仿宋"/>
                <w:kern w:val="0"/>
                <w:sz w:val="20"/>
                <w:szCs w:val="20"/>
              </w:rPr>
            </w:pPr>
            <w:r>
              <w:rPr>
                <w:rFonts w:hint="eastAsia" w:ascii="仿宋" w:hAnsi="仿宋" w:eastAsia="仿宋" w:cs="仿宋"/>
                <w:kern w:val="0"/>
                <w:sz w:val="20"/>
                <w:szCs w:val="20"/>
              </w:rPr>
              <w:t>指标1：学生家长满意度</w:t>
            </w:r>
          </w:p>
        </w:tc>
        <w:tc>
          <w:tcPr>
            <w:tcW w:w="1755" w:type="dxa"/>
            <w:gridSpan w:val="2"/>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≥95%</w:t>
            </w:r>
          </w:p>
        </w:tc>
        <w:tc>
          <w:tcPr>
            <w:tcW w:w="1574"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仿宋"/>
                <w:kern w:val="0"/>
                <w:sz w:val="20"/>
                <w:szCs w:val="20"/>
              </w:rPr>
            </w:pPr>
            <w:r>
              <w:rPr>
                <w:rFonts w:hint="eastAsia" w:ascii="仿宋" w:hAnsi="仿宋" w:eastAsia="仿宋" w:cs="仿宋"/>
                <w:kern w:val="0"/>
                <w:sz w:val="20"/>
                <w:szCs w:val="20"/>
              </w:rPr>
              <w:t>95%</w:t>
            </w:r>
          </w:p>
        </w:tc>
      </w:tr>
    </w:tbl>
    <w:p>
      <w:pPr>
        <w:spacing w:line="560" w:lineRule="exact"/>
        <w:rPr>
          <w:rFonts w:ascii="仿宋" w:hAnsi="仿宋" w:eastAsia="仿宋" w:cs="仿宋"/>
        </w:rPr>
      </w:pP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9F5"/>
    <w:rsid w:val="00171AC3"/>
    <w:rsid w:val="001903B6"/>
    <w:rsid w:val="001B1DFD"/>
    <w:rsid w:val="001C1456"/>
    <w:rsid w:val="001F7F74"/>
    <w:rsid w:val="002019F5"/>
    <w:rsid w:val="00332593"/>
    <w:rsid w:val="00393026"/>
    <w:rsid w:val="00467B5F"/>
    <w:rsid w:val="007454A8"/>
    <w:rsid w:val="007455D4"/>
    <w:rsid w:val="007C3371"/>
    <w:rsid w:val="008056C9"/>
    <w:rsid w:val="009D484A"/>
    <w:rsid w:val="00A325A4"/>
    <w:rsid w:val="00AD552D"/>
    <w:rsid w:val="00BB6D89"/>
    <w:rsid w:val="00CF494C"/>
    <w:rsid w:val="00E94AB6"/>
    <w:rsid w:val="00EC4819"/>
    <w:rsid w:val="035C6A57"/>
    <w:rsid w:val="1B2D5543"/>
    <w:rsid w:val="25A6738C"/>
    <w:rsid w:val="38256711"/>
    <w:rsid w:val="3EBA4738"/>
    <w:rsid w:val="46241324"/>
    <w:rsid w:val="46F6782D"/>
    <w:rsid w:val="4D8646C3"/>
    <w:rsid w:val="657E6D7E"/>
    <w:rsid w:val="6A3F725D"/>
    <w:rsid w:val="7FCC6B2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styleId="6">
    <w:name w:val="Hyperlink"/>
    <w:basedOn w:val="4"/>
    <w:qFormat/>
    <w:uiPriority w:val="0"/>
    <w:rPr>
      <w:color w:val="0000FF"/>
      <w:u w:val="single"/>
    </w:rPr>
  </w:style>
  <w:style w:type="character" w:customStyle="1" w:styleId="8">
    <w:name w:val="页眉 Char"/>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D7E240-5F81-4920-A464-FF71D499E29D}">
  <ds:schemaRefs/>
</ds:datastoreItem>
</file>

<file path=docProps/app.xml><?xml version="1.0" encoding="utf-8"?>
<Properties xmlns="http://schemas.openxmlformats.org/officeDocument/2006/extended-properties" xmlns:vt="http://schemas.openxmlformats.org/officeDocument/2006/docPropsVTypes">
  <Template>Normal</Template>
  <Pages>7</Pages>
  <Words>343</Words>
  <Characters>1957</Characters>
  <Lines>16</Lines>
  <Paragraphs>4</Paragraphs>
  <TotalTime>40</TotalTime>
  <ScaleCrop>false</ScaleCrop>
  <LinksUpToDate>false</LinksUpToDate>
  <CharactersWithSpaces>2296</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2019-01-16T13:17:00Z</dcterms:created>
  <dc:creator>吕彦庆</dc:creator>
  <cp:lastModifiedBy>Administrator</cp:lastModifiedBy>
  <cp:lastPrinted>2019-01-16T15:44:00Z</cp:lastPrinted>
  <dcterms:modified xsi:type="dcterms:W3CDTF">2019-10-26T12:54:00Z</dcterms:modified>
  <dc:title>吕彦庆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