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项目名称：基层司法业务项目经费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   2018年12月31日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玛纳斯县司法局成立于1986年8月，政法专项编制16人，实有在编人员12人，事业编制5人，实有事业在编管理岗人员1人，退休人员17人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1、预期目标及阶段性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2、项目基本性质、用途和主要内容、涉及范围：围绕县委和政府的中心任务开展工作，促进社会和谐、经济发展、社会文明进步，为维护改革发展稳定的大局服务。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根据我局实际，本年度本项目财政拨款资金安排为2.8元，县本级财政配套2.8万元，资金全部拨付到位，资金到位率100%。基层司法业务经费项目确保资金使用合理合规，保障我县经济发展，创造良好环境。不断提升司法行政各项业务工作能力，充分化解矛盾纠纷，加强基层司法工作人员业务培训，保证弱势群体应援尽援；维护社会政治稳定，不断提高公众安全感和满意度，做到人民群众满意。我局认真健全矛盾纠纷排查调解机制，深入开展人民调解活动，切实筑牢“第一道防线”使人民调解在维护社会和谐中彰显重要职能。一是落实调解制度、进一步落实和完善了矛盾纠纷排查调处制度，规范了各类排查台账，健全了矛盾纠纷信息报送制度和疑难复杂纠纷联合调处制度，促使所有矛盾纠纷得到及时化解。二是开展专项调解活动，继续深入开展“人民调解化纠纷、防范风险促发展”专项活动，截至目前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，全县共调解矛盾纠纷1203起，调解率100％，成功率100％。三是着力推动行业性、专业性人民调解功能建设，五是强化人民调解工作保障，落实 “一案定补”经费。有效的提高了广大人民调解员的积极性。六是加大基层基础设施建设投入。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2018年我局基层司法业务经费项目资金2.8万元，预算执行率100%。主要用于基层司法普法宣传、人民调解、社区矫正、法律援助、司法所等基层业务支出。经费的使用确保了我局履行特定职责、办理案件和各项业务工作的正常开展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2018年我局基层司法业务经费项目资金2.8万元主要用于支付基层司法办公费  0.54万元、培训费 1.76万元、其他商品和服务支出 0.5万元。</w:t>
      </w:r>
    </w:p>
    <w:p>
      <w:pPr>
        <w:numPr>
          <w:ilvl w:val="0"/>
          <w:numId w:val="0"/>
        </w:numPr>
        <w:spacing w:line="540" w:lineRule="exact"/>
        <w:ind w:firstLine="313" w:firstLineChars="100"/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管理制度、办法的制定：我局根据上级及财政的部门相关要求，根据相关法律规章制度，制定了我局项目资金使用相关制度规定。如，财务管理规定，“三重一大”管理规定。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执行情况：司法局内控管理制度，司法局资产管理制度，财务开支公示制度，财务人员工作职责等。项目资金的使用严格按照司法局各项规章制度执行运转。基层司法业务经费项目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资金2.8万元主要用于支付基层司法办公费  0.54万元、培训费 1.76万元、其他商品和服务支出 0.5万元。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项目投标情况：日常经费类项目无招投标情况。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调整情况：本年项目无调整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完成验收：基层司法业务经费项目使用严格执行单位各项规章制度，资金落实到位，不拖欠，不做项目外的其他支出。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项目管理制度建设：基层司法业务经费项目使用严格执行局“三重一大”管理制度，对重大支出召开党组会议研究讨论通过，由办公室具体进行审核通过，单位财务具体实施，主管领导监督，进行层层监督管理。把资金的使用落到实处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日常检查监督管理:司法局内控管理制度，司法局资产管理制度，财务开支公示制度，财务人员工作职责等。项目资金的使用严格按照司法局各项规章制度执行运转。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本项目共设置一级指标3个、二级指标7个、三级指标9个。其中已完成三级指标9个，指标完成率为100%。</w:t>
      </w:r>
    </w:p>
    <w:p>
      <w:pPr>
        <w:spacing w:line="600" w:lineRule="exact"/>
        <w:ind w:left="640"/>
        <w:rPr>
          <w:rStyle w:val="19"/>
          <w:rFonts w:ascii="仿宋" w:hAnsi="仿宋" w:eastAsia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spacing w:val="-4"/>
          <w:sz w:val="32"/>
          <w:szCs w:val="32"/>
        </w:rPr>
        <w:t>1、产出指标完成情况分析。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（1）项目完成数量。建立26个司法所，96个调委会。制定了工作计划，组织开展2018年度基层司法业务经费预算支出绩效自评工作，全县共调解矛盾纠纷1203起。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（2）项目完成质量。全县共调解矛盾纠纷1203起，调解率100％，成功率100％。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（3）项目完成时效。2018年经费资金我局基层司法业务经费项目资金2.8万元，执行资金2.8万元，预算执行率100%。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（4）项目成本指标。2018年经费资金我局基层司法业务经费项目资金2.8万元，全县保障基层司法所的经费支出。</w:t>
      </w:r>
    </w:p>
    <w:p>
      <w:pPr>
        <w:spacing w:line="600" w:lineRule="exact"/>
        <w:ind w:firstLine="640"/>
        <w:rPr>
          <w:rStyle w:val="19"/>
          <w:rFonts w:ascii="仿宋" w:hAnsi="仿宋" w:eastAsia="仿宋"/>
          <w:sz w:val="32"/>
          <w:szCs w:val="32"/>
        </w:rPr>
      </w:pPr>
      <w:r>
        <w:rPr>
          <w:rStyle w:val="19"/>
          <w:rFonts w:hint="eastAsia" w:ascii="仿宋" w:hAnsi="仿宋" w:eastAsia="仿宋"/>
          <w:sz w:val="32"/>
          <w:szCs w:val="32"/>
        </w:rPr>
        <w:t>2、效益指标完成情况分析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 xml:space="preserve">（1）项目实施的社会效益分析。促使矛盾纠纷得到及时化解，不断提升司法行政各项业务工作能力，充分化解矛盾纠纷， 维护社会政治稳定，不断提高公众安全感和满意度，做到人民群众满意。 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（2）项目实施的可持续影响分析。2018年经费资金我局基层司法业务经费项目资金2.8万元，资金使用时长1年。</w:t>
      </w:r>
    </w:p>
    <w:p>
      <w:pPr>
        <w:spacing w:line="600" w:lineRule="exact"/>
        <w:ind w:firstLine="640"/>
        <w:rPr>
          <w:rStyle w:val="19"/>
          <w:rFonts w:ascii="仿宋" w:hAnsi="仿宋" w:eastAsia="仿宋"/>
          <w:sz w:val="32"/>
          <w:szCs w:val="32"/>
        </w:rPr>
      </w:pPr>
      <w:r>
        <w:rPr>
          <w:rStyle w:val="19"/>
          <w:rFonts w:hint="eastAsia" w:ascii="仿宋" w:hAnsi="仿宋" w:eastAsia="仿宋"/>
          <w:sz w:val="32"/>
          <w:szCs w:val="32"/>
        </w:rPr>
        <w:t>3、满意度指标完成情况分析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有效化解矛盾纠纷， 维护社会政治稳定，不断提高公众安全感和满意度，做到人民群众满意达到98%以上。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该项目已完成所有设定的绩效目标任务，完成率100%，不存在未完成目标值情况。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五、主要经验及做法、存在问题和建议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更加合理科学使用经费，加强资金使用效率。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主要经验及做法：领导重视，责任明确，成立项目工作领导小组，负责组织协调项目方面的各项工作，是项目顺利进行和保证项目质量的前提；保证质量，抓好监督检查，是确保项目质量、控制项目成本和保证项目进度的手段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存在问题：项目在实施过程，对项目制定相关的管理制度还不够完善。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建议：加强项目管理，形成相应的项目管理制度， 做好事前、事中、事后的监督，把事做好、做实；加强项目相关管理人员的专业知识培训，通过培训增强管理人员的项目管理方面的业务知识，对于确保项目的质量和项目的规范管理至关重要。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其他：</w:t>
      </w:r>
    </w:p>
    <w:p>
      <w:pPr>
        <w:ind w:firstLine="624" w:firstLineChars="200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根据上级文件要求，严格执行文件精神，专款专用。按照单位会计管理办法，严格执行审批程序。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在项目实施前经过充分论证，项目实施过程中严格管理，项目结束后继续跟踪项目效果，做好项目各项手续、财务管理、项目实施等工作。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</w:rPr>
        <w:t>《玛纳斯县财政项目支出绩效自评表》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kern w:val="2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</w:rPr>
              <w:t>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基层司法业务经费项目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预算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执行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情况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2.8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2.8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年度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目标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完成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保障基层司法业务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支出经费项目按时足额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到位。</w:t>
            </w: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      </w:r>
          </w:p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rPr>
                <w:rFonts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基层司法业务经费项目资金2.8万元主要用于支付基层司法办公费  0.54万元、培训费 1.76万元、其他商品和服务支出 0.5万元。</w:t>
            </w:r>
          </w:p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年度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绩效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完成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t>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各乡镇司法所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26人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26人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调委会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96人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sz w:val="20"/>
                <w:szCs w:val="20"/>
              </w:rPr>
              <w:t>调解矛盾纠纷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1203起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1203起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sz w:val="20"/>
                <w:szCs w:val="20"/>
              </w:rPr>
              <w:t>案件调解率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预算执行率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基层司法业务项目经费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2.8万元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2.8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经济效益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社会效益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促使矛盾纠纷得到及时化解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生态效益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可持续影响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项目持续时长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1年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满意度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干群满意度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≥98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98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rPr>
          <w:rStyle w:val="19"/>
          <w:rFonts w:asciiTheme="majorEastAsia" w:hAnsiTheme="majorEastAsia" w:eastAsiaTheme="majorEastAsia"/>
          <w:b w:val="0"/>
          <w:spacing w:val="-4"/>
          <w:sz w:val="20"/>
          <w:szCs w:val="20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8C449"/>
    <w:multiLevelType w:val="singleLevel"/>
    <w:tmpl w:val="ADA8C44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F712CB"/>
    <w:multiLevelType w:val="singleLevel"/>
    <w:tmpl w:val="64F712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6465"/>
    <w:rsid w:val="00084EE1"/>
    <w:rsid w:val="000B693B"/>
    <w:rsid w:val="000E443C"/>
    <w:rsid w:val="000F5E74"/>
    <w:rsid w:val="001029BE"/>
    <w:rsid w:val="00121AE4"/>
    <w:rsid w:val="00135BA7"/>
    <w:rsid w:val="00144BA9"/>
    <w:rsid w:val="0014507D"/>
    <w:rsid w:val="00146AAD"/>
    <w:rsid w:val="001551F1"/>
    <w:rsid w:val="0017090A"/>
    <w:rsid w:val="00172A27"/>
    <w:rsid w:val="00174A21"/>
    <w:rsid w:val="001A6621"/>
    <w:rsid w:val="001B3A40"/>
    <w:rsid w:val="001C0D2C"/>
    <w:rsid w:val="001D0E90"/>
    <w:rsid w:val="0027201D"/>
    <w:rsid w:val="002D4661"/>
    <w:rsid w:val="002E63F8"/>
    <w:rsid w:val="00330911"/>
    <w:rsid w:val="003309BE"/>
    <w:rsid w:val="003379CD"/>
    <w:rsid w:val="003C11B0"/>
    <w:rsid w:val="003C18BC"/>
    <w:rsid w:val="003C5B5C"/>
    <w:rsid w:val="00415601"/>
    <w:rsid w:val="004366A8"/>
    <w:rsid w:val="00460761"/>
    <w:rsid w:val="00464900"/>
    <w:rsid w:val="004C65BE"/>
    <w:rsid w:val="004D7F92"/>
    <w:rsid w:val="00502BA7"/>
    <w:rsid w:val="005162F1"/>
    <w:rsid w:val="00523B09"/>
    <w:rsid w:val="0053056A"/>
    <w:rsid w:val="005326E0"/>
    <w:rsid w:val="00535153"/>
    <w:rsid w:val="00542434"/>
    <w:rsid w:val="00547907"/>
    <w:rsid w:val="00554F82"/>
    <w:rsid w:val="005575A3"/>
    <w:rsid w:val="0056390D"/>
    <w:rsid w:val="005719B0"/>
    <w:rsid w:val="00576617"/>
    <w:rsid w:val="005A36B6"/>
    <w:rsid w:val="005C091C"/>
    <w:rsid w:val="005D10D6"/>
    <w:rsid w:val="005D41E5"/>
    <w:rsid w:val="00630F2D"/>
    <w:rsid w:val="00677944"/>
    <w:rsid w:val="006B6E1A"/>
    <w:rsid w:val="006D19BB"/>
    <w:rsid w:val="006E7BBE"/>
    <w:rsid w:val="006F30E1"/>
    <w:rsid w:val="007335B9"/>
    <w:rsid w:val="00760FB7"/>
    <w:rsid w:val="007758C3"/>
    <w:rsid w:val="00777CF2"/>
    <w:rsid w:val="007806A5"/>
    <w:rsid w:val="007A1ACA"/>
    <w:rsid w:val="007D1D4C"/>
    <w:rsid w:val="007F07C1"/>
    <w:rsid w:val="00820C84"/>
    <w:rsid w:val="00826F44"/>
    <w:rsid w:val="00855E3A"/>
    <w:rsid w:val="00864CE9"/>
    <w:rsid w:val="008733AF"/>
    <w:rsid w:val="008824F9"/>
    <w:rsid w:val="008854BA"/>
    <w:rsid w:val="008D1531"/>
    <w:rsid w:val="00913348"/>
    <w:rsid w:val="00922CB9"/>
    <w:rsid w:val="009263C2"/>
    <w:rsid w:val="00965193"/>
    <w:rsid w:val="0096717F"/>
    <w:rsid w:val="009A0CF6"/>
    <w:rsid w:val="009E5CD9"/>
    <w:rsid w:val="009F5A5A"/>
    <w:rsid w:val="00A23C9D"/>
    <w:rsid w:val="00A26421"/>
    <w:rsid w:val="00A337BA"/>
    <w:rsid w:val="00A4293B"/>
    <w:rsid w:val="00A641F2"/>
    <w:rsid w:val="00A67D50"/>
    <w:rsid w:val="00A752E2"/>
    <w:rsid w:val="00A8691A"/>
    <w:rsid w:val="00AB0551"/>
    <w:rsid w:val="00AB1474"/>
    <w:rsid w:val="00AC1946"/>
    <w:rsid w:val="00AF2C16"/>
    <w:rsid w:val="00B40063"/>
    <w:rsid w:val="00B41F61"/>
    <w:rsid w:val="00B605FA"/>
    <w:rsid w:val="00BA0128"/>
    <w:rsid w:val="00BA46E6"/>
    <w:rsid w:val="00BD1628"/>
    <w:rsid w:val="00BF0150"/>
    <w:rsid w:val="00C02CE1"/>
    <w:rsid w:val="00C110D1"/>
    <w:rsid w:val="00C52DA4"/>
    <w:rsid w:val="00C56C72"/>
    <w:rsid w:val="00C73E0C"/>
    <w:rsid w:val="00CA6457"/>
    <w:rsid w:val="00D17F2E"/>
    <w:rsid w:val="00D23B6D"/>
    <w:rsid w:val="00D30354"/>
    <w:rsid w:val="00D8390A"/>
    <w:rsid w:val="00DA7A71"/>
    <w:rsid w:val="00DF42A0"/>
    <w:rsid w:val="00E14347"/>
    <w:rsid w:val="00E160F1"/>
    <w:rsid w:val="00E46C51"/>
    <w:rsid w:val="00E769FE"/>
    <w:rsid w:val="00E84EF9"/>
    <w:rsid w:val="00E853C5"/>
    <w:rsid w:val="00EA2CBE"/>
    <w:rsid w:val="00EC09CF"/>
    <w:rsid w:val="00EF303B"/>
    <w:rsid w:val="00F32FEE"/>
    <w:rsid w:val="00F629B9"/>
    <w:rsid w:val="00F70C3D"/>
    <w:rsid w:val="00F9008B"/>
    <w:rsid w:val="00FA050A"/>
    <w:rsid w:val="00FB0C3D"/>
    <w:rsid w:val="00FB10BB"/>
    <w:rsid w:val="00FB48B8"/>
    <w:rsid w:val="01881721"/>
    <w:rsid w:val="025725B9"/>
    <w:rsid w:val="02C86813"/>
    <w:rsid w:val="0CB666DE"/>
    <w:rsid w:val="10F557C3"/>
    <w:rsid w:val="18B755E1"/>
    <w:rsid w:val="1D5D7420"/>
    <w:rsid w:val="1D7D544A"/>
    <w:rsid w:val="1DD365C7"/>
    <w:rsid w:val="1F523E55"/>
    <w:rsid w:val="241D76AB"/>
    <w:rsid w:val="27B17840"/>
    <w:rsid w:val="28CE524B"/>
    <w:rsid w:val="296B5FDE"/>
    <w:rsid w:val="2F21272C"/>
    <w:rsid w:val="34556EEA"/>
    <w:rsid w:val="3E7633D7"/>
    <w:rsid w:val="409409AE"/>
    <w:rsid w:val="4FB961DE"/>
    <w:rsid w:val="51E071AB"/>
    <w:rsid w:val="553C40C4"/>
    <w:rsid w:val="59080F72"/>
    <w:rsid w:val="5DD71E66"/>
    <w:rsid w:val="5F476765"/>
    <w:rsid w:val="63C42FF6"/>
    <w:rsid w:val="7C5A199B"/>
    <w:rsid w:val="7D1D01C3"/>
    <w:rsid w:val="7D470E0A"/>
    <w:rsid w:val="7F447C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8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8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C4F52-43FA-45BF-BDD6-29D3FB248F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2987</Words>
  <Characters>412</Characters>
  <Lines>3</Lines>
  <Paragraphs>6</Paragraphs>
  <TotalTime>1</TotalTime>
  <ScaleCrop>false</ScaleCrop>
  <LinksUpToDate>false</LinksUpToDate>
  <CharactersWithSpaces>3393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2019-10-24T14:23:00Z</dcterms:created>
  <dc:creator>赵 恺（预算处）</dc:creator>
  <cp:lastModifiedBy>Administrator</cp:lastModifiedBy>
  <cp:lastPrinted>2019-01-14T13:44:00Z</cp:lastPrinted>
  <dcterms:modified xsi:type="dcterms:W3CDTF">2024-03-28T09:44:12Z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