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w:t>
      </w:r>
      <w:r>
        <w:rPr>
          <w:rFonts w:hint="eastAsia" w:hAnsi="宋体" w:eastAsia="仿宋_GB2312" w:cs="宋体"/>
          <w:kern w:val="0"/>
          <w:sz w:val="36"/>
          <w:szCs w:val="36"/>
        </w:rPr>
        <w:t>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widowControl/>
        <w:spacing w:line="580" w:lineRule="exact"/>
        <w:jc w:val="left"/>
        <w:rPr>
          <w:rFonts w:ascii="仿宋_GB2312" w:hAnsi="黑体" w:eastAsia="仿宋_GB2312"/>
          <w:sz w:val="32"/>
          <w:szCs w:val="32"/>
        </w:rPr>
      </w:pPr>
      <w:r>
        <w:rPr>
          <w:rFonts w:hint="eastAsia" w:hAnsi="宋体" w:eastAsia="仿宋_GB2312" w:cs="宋体"/>
          <w:kern w:val="0"/>
          <w:sz w:val="32"/>
          <w:szCs w:val="32"/>
        </w:rPr>
        <w:t>项目名称：</w:t>
      </w:r>
      <w:r>
        <w:rPr>
          <w:rFonts w:hint="eastAsia" w:ascii="仿宋" w:hAnsi="仿宋" w:eastAsia="仿宋" w:cs="仿宋"/>
          <w:color w:val="000000"/>
          <w:kern w:val="0"/>
          <w:sz w:val="32"/>
          <w:szCs w:val="32"/>
        </w:rPr>
        <w:t>财政城乡居民基本医疗保险基金的补助</w:t>
      </w:r>
    </w:p>
    <w:p>
      <w:pPr>
        <w:widowControl/>
        <w:spacing w:line="580" w:lineRule="exact"/>
        <w:jc w:val="left"/>
        <w:rPr>
          <w:rFonts w:hAnsi="宋体" w:eastAsia="仿宋_GB2312" w:cs="宋体"/>
          <w:kern w:val="0"/>
          <w:sz w:val="36"/>
          <w:szCs w:val="36"/>
        </w:rPr>
      </w:pPr>
      <w:r>
        <w:rPr>
          <w:rFonts w:hint="eastAsia" w:hAnsi="宋体" w:eastAsia="仿宋_GB2312" w:cs="宋体"/>
          <w:kern w:val="0"/>
          <w:sz w:val="36"/>
          <w:szCs w:val="36"/>
        </w:rPr>
        <w:t>实施单位（公章）：玛纳斯县社保局</w:t>
      </w:r>
    </w:p>
    <w:p>
      <w:pPr>
        <w:spacing w:line="700" w:lineRule="exact"/>
        <w:jc w:val="left"/>
        <w:rPr>
          <w:rFonts w:hAnsi="宋体" w:eastAsia="仿宋_GB2312" w:cs="宋体"/>
          <w:kern w:val="0"/>
          <w:sz w:val="36"/>
          <w:szCs w:val="36"/>
        </w:rPr>
      </w:pPr>
      <w:bookmarkStart w:id="0" w:name="_GoBack"/>
      <w:bookmarkEnd w:id="0"/>
      <w:r>
        <w:rPr>
          <w:rFonts w:hint="eastAsia" w:hAnsi="宋体" w:eastAsia="仿宋_GB2312" w:cs="宋体"/>
          <w:kern w:val="0"/>
          <w:sz w:val="36"/>
          <w:szCs w:val="36"/>
        </w:rPr>
        <w:t>主管部门（公章）：玛纳斯县人力资源社会保障局项目负责人（签章）：张莉</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9年2月11日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玛纳斯县社保局负责《中华人民共和国社会保险法》和各项社会保险政策的宣传、执行和贯彻落实。负责社会保险基金的管理。具体负责全县社会保险各项基金管理制度的制定、测算、筹集、管理、上解、划拨、待遇审核支付、会计核算与精算、财务报表、基金预算决算的管理和使用等。</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widowControl/>
        <w:spacing w:line="580" w:lineRule="exact"/>
        <w:ind w:firstLine="960" w:firstLineChars="300"/>
        <w:jc w:val="left"/>
        <w:rPr>
          <w:rFonts w:ascii="仿宋_GB2312" w:hAnsi="黑体" w:eastAsia="仿宋_GB2312"/>
          <w:sz w:val="32"/>
          <w:szCs w:val="32"/>
        </w:rPr>
      </w:pPr>
      <w:r>
        <w:rPr>
          <w:rFonts w:hint="eastAsia" w:ascii="仿宋" w:hAnsi="仿宋" w:eastAsia="仿宋" w:cs="仿宋"/>
          <w:color w:val="000000"/>
          <w:kern w:val="0"/>
          <w:sz w:val="32"/>
          <w:szCs w:val="32"/>
        </w:rPr>
        <w:t>财政对城乡居民基本医疗保险基金的补助。城乡居民医疗保险参保人员中特殊困难群体、残疾人、低保户的补助。</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widowControl/>
        <w:spacing w:line="580" w:lineRule="exact"/>
        <w:ind w:firstLine="940" w:firstLineChars="300"/>
        <w:jc w:val="left"/>
        <w:rPr>
          <w:rFonts w:ascii="仿宋_GB2312" w:hAnsi="黑体" w:eastAsia="仿宋_GB2312"/>
          <w:sz w:val="32"/>
          <w:szCs w:val="32"/>
        </w:rPr>
      </w:pPr>
      <w:r>
        <w:rPr>
          <w:rStyle w:val="18"/>
          <w:rFonts w:ascii="楷体" w:hAnsi="楷体" w:eastAsia="楷体"/>
          <w:spacing w:val="-4"/>
          <w:sz w:val="32"/>
          <w:szCs w:val="32"/>
        </w:rPr>
        <w:t>201</w:t>
      </w:r>
      <w:r>
        <w:rPr>
          <w:rStyle w:val="18"/>
          <w:rFonts w:hint="eastAsia" w:ascii="楷体" w:hAnsi="楷体" w:eastAsia="楷体"/>
          <w:spacing w:val="-4"/>
          <w:sz w:val="32"/>
          <w:szCs w:val="32"/>
        </w:rPr>
        <w:t>8年县级</w:t>
      </w:r>
      <w:r>
        <w:rPr>
          <w:rFonts w:hint="eastAsia" w:ascii="仿宋" w:hAnsi="仿宋" w:eastAsia="仿宋" w:cs="仿宋"/>
          <w:color w:val="000000"/>
          <w:kern w:val="0"/>
          <w:sz w:val="32"/>
          <w:szCs w:val="32"/>
        </w:rPr>
        <w:t>财政对城乡居民基本医疗保险基金配套资金的补助以及城乡居民医疗保险参保人员中特殊困难群体、残疾人、低保户的补助，共计</w:t>
      </w:r>
      <w:r>
        <w:rPr>
          <w:rFonts w:hint="eastAsia" w:ascii="仿宋_GB2312" w:hAnsi="宋体" w:eastAsia="仿宋_GB2312" w:cs="宋体"/>
          <w:kern w:val="0"/>
          <w:sz w:val="32"/>
          <w:szCs w:val="32"/>
        </w:rPr>
        <w:t>1310.41万元。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widowControl/>
        <w:spacing w:line="580" w:lineRule="exact"/>
        <w:ind w:firstLine="940" w:firstLineChars="300"/>
        <w:jc w:val="left"/>
        <w:rPr>
          <w:rStyle w:val="18"/>
          <w:rFonts w:ascii="仿宋_GB2312" w:hAnsi="黑体" w:eastAsia="仿宋_GB2312"/>
          <w:b w:val="0"/>
          <w:bCs w:val="0"/>
          <w:sz w:val="32"/>
          <w:szCs w:val="32"/>
        </w:rPr>
      </w:pPr>
      <w:r>
        <w:rPr>
          <w:rStyle w:val="18"/>
          <w:rFonts w:ascii="楷体" w:hAnsi="楷体" w:eastAsia="楷体"/>
          <w:spacing w:val="-4"/>
          <w:sz w:val="32"/>
          <w:szCs w:val="32"/>
        </w:rPr>
        <w:t>201</w:t>
      </w:r>
      <w:r>
        <w:rPr>
          <w:rStyle w:val="18"/>
          <w:rFonts w:hint="eastAsia" w:ascii="楷体" w:hAnsi="楷体" w:eastAsia="楷体"/>
          <w:spacing w:val="-4"/>
          <w:sz w:val="32"/>
          <w:szCs w:val="32"/>
        </w:rPr>
        <w:t>8年</w:t>
      </w:r>
      <w:r>
        <w:rPr>
          <w:rFonts w:hint="eastAsia" w:ascii="仿宋" w:hAnsi="仿宋" w:eastAsia="仿宋" w:cs="仿宋"/>
          <w:color w:val="000000"/>
          <w:kern w:val="0"/>
          <w:sz w:val="32"/>
          <w:szCs w:val="32"/>
        </w:rPr>
        <w:t>财政对城乡居民基本医疗保险基金县级配套资金的补助。城乡居民医疗保险参保人员中特殊困难群体、残疾人、低保户的补助共计1310.41</w:t>
      </w:r>
      <w:r>
        <w:rPr>
          <w:rFonts w:hint="eastAsia" w:ascii="仿宋_GB2312" w:hAnsi="宋体" w:eastAsia="仿宋_GB2312" w:cs="宋体"/>
          <w:kern w:val="0"/>
          <w:sz w:val="32"/>
          <w:szCs w:val="32"/>
        </w:rPr>
        <w:t>万元。</w:t>
      </w:r>
      <w:r>
        <w:rPr>
          <w:rFonts w:hint="eastAsia" w:hAnsi="宋体" w:eastAsia="仿宋_GB2312" w:cs="宋体"/>
          <w:kern w:val="0"/>
          <w:sz w:val="32"/>
          <w:szCs w:val="32"/>
        </w:rPr>
        <w:t>已经全部落实到位。</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为了加强项目资金管理、规范项目资金运作，提高资金使用效率，实行统一使用，集中管理。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widowControl/>
        <w:spacing w:line="580" w:lineRule="exact"/>
        <w:ind w:firstLine="940" w:firstLineChars="300"/>
        <w:jc w:val="left"/>
        <w:rPr>
          <w:rStyle w:val="18"/>
          <w:rFonts w:ascii="仿宋_GB2312" w:hAnsi="黑体" w:eastAsia="仿宋_GB2312"/>
          <w:b w:val="0"/>
          <w:bCs w:val="0"/>
          <w:sz w:val="32"/>
          <w:szCs w:val="32"/>
        </w:rPr>
      </w:pPr>
      <w:r>
        <w:rPr>
          <w:rStyle w:val="18"/>
          <w:rFonts w:ascii="楷体" w:hAnsi="楷体" w:eastAsia="楷体"/>
          <w:spacing w:val="-4"/>
          <w:sz w:val="32"/>
          <w:szCs w:val="32"/>
        </w:rPr>
        <w:t>201</w:t>
      </w:r>
      <w:r>
        <w:rPr>
          <w:rStyle w:val="18"/>
          <w:rFonts w:hint="eastAsia" w:ascii="楷体" w:hAnsi="楷体" w:eastAsia="楷体"/>
          <w:spacing w:val="-4"/>
          <w:sz w:val="32"/>
          <w:szCs w:val="32"/>
        </w:rPr>
        <w:t>8年</w:t>
      </w:r>
      <w:r>
        <w:rPr>
          <w:rFonts w:hint="eastAsia" w:ascii="仿宋" w:hAnsi="仿宋" w:eastAsia="仿宋" w:cs="仿宋"/>
          <w:color w:val="000000"/>
          <w:kern w:val="0"/>
          <w:sz w:val="32"/>
          <w:szCs w:val="32"/>
        </w:rPr>
        <w:t>财政对城乡居民基本医疗保险基金县级配套资金的补助。城乡居民医疗保险参保人员中特殊困难群体、残疾人、低保户的补助共计1310.41</w:t>
      </w:r>
      <w:r>
        <w:rPr>
          <w:rFonts w:hint="eastAsia" w:ascii="仿宋_GB2312" w:hAnsi="宋体" w:eastAsia="仿宋_GB2312" w:cs="宋体"/>
          <w:kern w:val="0"/>
          <w:sz w:val="32"/>
          <w:szCs w:val="32"/>
        </w:rPr>
        <w:t>万元。</w:t>
      </w:r>
      <w:r>
        <w:rPr>
          <w:rStyle w:val="18"/>
          <w:rFonts w:hint="eastAsia" w:ascii="仿宋" w:hAnsi="仿宋" w:eastAsia="仿宋"/>
          <w:b w:val="0"/>
          <w:spacing w:val="-4"/>
          <w:sz w:val="32"/>
          <w:szCs w:val="32"/>
        </w:rPr>
        <w:t>属专项基金，专款专用。</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40"/>
        <w:rPr>
          <w:rFonts w:ascii="仿宋_GB2312" w:hAnsi="宋体" w:eastAsia="仿宋_GB2312" w:cs="宋体"/>
          <w:kern w:val="0"/>
          <w:sz w:val="32"/>
          <w:szCs w:val="32"/>
        </w:rPr>
      </w:pPr>
      <w:r>
        <w:rPr>
          <w:rStyle w:val="18"/>
          <w:rFonts w:ascii="楷体" w:hAnsi="楷体" w:eastAsia="楷体"/>
          <w:spacing w:val="-4"/>
          <w:sz w:val="32"/>
          <w:szCs w:val="32"/>
        </w:rPr>
        <w:t>201</w:t>
      </w:r>
      <w:r>
        <w:rPr>
          <w:rStyle w:val="18"/>
          <w:rFonts w:hint="eastAsia" w:ascii="楷体" w:hAnsi="楷体" w:eastAsia="楷体"/>
          <w:spacing w:val="-4"/>
          <w:sz w:val="32"/>
          <w:szCs w:val="32"/>
        </w:rPr>
        <w:t>8年</w:t>
      </w:r>
      <w:r>
        <w:rPr>
          <w:rFonts w:hint="eastAsia" w:ascii="仿宋" w:hAnsi="仿宋" w:eastAsia="仿宋" w:cs="仿宋"/>
          <w:color w:val="000000"/>
          <w:kern w:val="0"/>
          <w:sz w:val="32"/>
          <w:szCs w:val="32"/>
        </w:rPr>
        <w:t>财政对城乡居民基本医疗保险基金县级配套资金的补助。城乡居民医疗保险参保人员中特殊困难群体、残疾人、低保户的补助共计1310.41</w:t>
      </w:r>
      <w:r>
        <w:rPr>
          <w:rFonts w:hint="eastAsia" w:ascii="仿宋_GB2312" w:hAnsi="宋体" w:eastAsia="仿宋_GB2312" w:cs="宋体"/>
          <w:kern w:val="0"/>
          <w:sz w:val="32"/>
          <w:szCs w:val="32"/>
        </w:rPr>
        <w:t>万元。</w:t>
      </w:r>
    </w:p>
    <w:p>
      <w:pPr>
        <w:spacing w:line="540" w:lineRule="exact"/>
        <w:ind w:firstLine="640"/>
        <w:rPr>
          <w:rStyle w:val="18"/>
          <w:rFonts w:ascii="黑体" w:hAnsi="黑体" w:eastAsia="黑体"/>
          <w:sz w:val="32"/>
          <w:szCs w:val="32"/>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firstLineChars="181"/>
        <w:rPr>
          <w:rFonts w:ascii="仿宋_GB2312" w:hAnsi="宋体" w:eastAsia="仿宋_GB2312" w:cs="宋体"/>
          <w:kern w:val="0"/>
          <w:sz w:val="32"/>
          <w:szCs w:val="32"/>
        </w:rPr>
      </w:pPr>
      <w:r>
        <w:rPr>
          <w:rStyle w:val="18"/>
          <w:rFonts w:ascii="楷体" w:hAnsi="楷体" w:eastAsia="楷体"/>
          <w:spacing w:val="-4"/>
          <w:sz w:val="32"/>
          <w:szCs w:val="32"/>
        </w:rPr>
        <w:t>201</w:t>
      </w:r>
      <w:r>
        <w:rPr>
          <w:rStyle w:val="18"/>
          <w:rFonts w:hint="eastAsia" w:ascii="楷体" w:hAnsi="楷体" w:eastAsia="楷体"/>
          <w:spacing w:val="-4"/>
          <w:sz w:val="32"/>
          <w:szCs w:val="32"/>
        </w:rPr>
        <w:t>8年</w:t>
      </w:r>
      <w:r>
        <w:rPr>
          <w:rFonts w:hint="eastAsia" w:ascii="仿宋" w:hAnsi="仿宋" w:eastAsia="仿宋" w:cs="仿宋"/>
          <w:color w:val="000000"/>
          <w:kern w:val="0"/>
          <w:sz w:val="32"/>
          <w:szCs w:val="32"/>
        </w:rPr>
        <w:t>财政对城乡居民基本医疗保险基金县级配套资金的补助。城乡居民医疗保险参保人员中特殊困难群体、残疾人、低保户的补助共计1310.41</w:t>
      </w:r>
      <w:r>
        <w:rPr>
          <w:rFonts w:hint="eastAsia" w:ascii="仿宋_GB2312" w:hAnsi="宋体" w:eastAsia="仿宋_GB2312" w:cs="宋体"/>
          <w:kern w:val="0"/>
          <w:sz w:val="32"/>
          <w:szCs w:val="32"/>
        </w:rPr>
        <w:t>万元。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1182" w:firstLineChars="379"/>
        <w:rPr>
          <w:rFonts w:ascii="仿宋" w:hAnsi="仿宋" w:eastAsia="仿宋"/>
          <w:spacing w:val="-4"/>
          <w:sz w:val="32"/>
          <w:szCs w:val="32"/>
        </w:rPr>
      </w:pPr>
      <w:r>
        <w:rPr>
          <w:rFonts w:hint="eastAsia" w:ascii="仿宋" w:hAnsi="仿宋" w:eastAsia="仿宋"/>
          <w:spacing w:val="-4"/>
          <w:sz w:val="32"/>
          <w:szCs w:val="32"/>
        </w:rPr>
        <w:t>已完成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（二）主要经验及做法、存在问题和建议无</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（包括资金安排、使用过程中的经验、做法、存在问题、改进措施和有关建议等）</w:t>
      </w:r>
    </w:p>
    <w:p>
      <w:pPr>
        <w:spacing w:line="540" w:lineRule="exact"/>
        <w:ind w:firstLine="1187" w:firstLineChars="379"/>
        <w:rPr>
          <w:rFonts w:ascii="楷体" w:hAnsi="楷体" w:eastAsia="楷体"/>
          <w:b/>
          <w:spacing w:val="-4"/>
          <w:sz w:val="32"/>
          <w:szCs w:val="32"/>
        </w:rPr>
      </w:pPr>
      <w:r>
        <w:rPr>
          <w:rFonts w:hint="eastAsia" w:ascii="楷体" w:hAnsi="楷体" w:eastAsia="楷体"/>
          <w:b/>
          <w:spacing w:val="-4"/>
          <w:sz w:val="32"/>
          <w:szCs w:val="32"/>
        </w:rPr>
        <w:t>（三）其他无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855"/>
        <w:gridCol w:w="285"/>
        <w:gridCol w:w="707"/>
        <w:gridCol w:w="653"/>
        <w:gridCol w:w="1080"/>
        <w:gridCol w:w="880"/>
        <w:gridCol w:w="505"/>
        <w:gridCol w:w="1776"/>
        <w:gridCol w:w="67"/>
        <w:gridCol w:w="1492"/>
      </w:tblGrid>
      <w:tr>
        <w:tblPrEx>
          <w:tblLayout w:type="fixed"/>
          <w:tblCellMar>
            <w:top w:w="0" w:type="dxa"/>
            <w:left w:w="108" w:type="dxa"/>
            <w:bottom w:w="0" w:type="dxa"/>
            <w:right w:w="108" w:type="dxa"/>
          </w:tblCellMar>
        </w:tblPrEx>
        <w:trPr>
          <w:trHeight w:val="405" w:hRule="atLeast"/>
        </w:trPr>
        <w:tc>
          <w:tcPr>
            <w:tcW w:w="9020" w:type="dxa"/>
            <w:gridSpan w:val="11"/>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11"/>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楷体" w:hAnsi="楷体" w:eastAsia="楷体" w:cs="楷体"/>
                <w:kern w:val="0"/>
                <w:sz w:val="24"/>
              </w:rPr>
              <w:t>2018 年度</w:t>
            </w:r>
            <w:r>
              <w:rPr>
                <w:rFonts w:hint="eastAsia" w:ascii="宋体" w:hAnsi="宋体" w:cs="宋体"/>
                <w:kern w:val="0"/>
                <w:sz w:val="24"/>
              </w:rPr>
              <w:t>）</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gridSpan w:val="2"/>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gridSpan w:val="2"/>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281" w:type="dxa"/>
            <w:gridSpan w:val="2"/>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559" w:type="dxa"/>
            <w:gridSpan w:val="2"/>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项目名称</w:t>
            </w:r>
          </w:p>
        </w:tc>
        <w:tc>
          <w:tcPr>
            <w:tcW w:w="5800"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color w:val="000000"/>
                <w:kern w:val="0"/>
                <w:szCs w:val="21"/>
              </w:rPr>
              <w:t>财政城乡居民基本医疗保险基金的补助</w:t>
            </w:r>
          </w:p>
        </w:tc>
      </w:tr>
      <w:tr>
        <w:tblPrEx>
          <w:tblLayout w:type="fixed"/>
          <w:tblCellMar>
            <w:top w:w="0" w:type="dxa"/>
            <w:left w:w="108" w:type="dxa"/>
            <w:bottom w:w="0" w:type="dxa"/>
            <w:right w:w="108" w:type="dxa"/>
          </w:tblCellMar>
        </w:tblPrEx>
        <w:trPr>
          <w:trHeight w:val="435" w:hRule="atLeast"/>
        </w:trPr>
        <w:tc>
          <w:tcPr>
            <w:tcW w:w="322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预算单位</w:t>
            </w:r>
          </w:p>
        </w:tc>
        <w:tc>
          <w:tcPr>
            <w:tcW w:w="5800" w:type="dxa"/>
            <w:gridSpan w:val="6"/>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玛纳斯县社保局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预算</w:t>
            </w:r>
            <w:r>
              <w:rPr>
                <w:rFonts w:hint="eastAsia" w:ascii="宋体" w:hAnsi="宋体" w:cs="仿宋"/>
                <w:kern w:val="0"/>
                <w:szCs w:val="21"/>
              </w:rPr>
              <w:br w:type="textWrapping"/>
            </w:r>
            <w:r>
              <w:rPr>
                <w:rFonts w:hint="eastAsia" w:ascii="宋体" w:hAnsi="宋体" w:cs="仿宋"/>
                <w:kern w:val="0"/>
                <w:szCs w:val="21"/>
              </w:rPr>
              <w:t>执行</w:t>
            </w:r>
            <w:r>
              <w:rPr>
                <w:rFonts w:hint="eastAsia" w:ascii="宋体" w:hAnsi="宋体" w:cs="仿宋"/>
                <w:kern w:val="0"/>
                <w:szCs w:val="21"/>
              </w:rPr>
              <w:br w:type="textWrapping"/>
            </w:r>
            <w:r>
              <w:rPr>
                <w:rFonts w:hint="eastAsia" w:ascii="宋体" w:hAnsi="宋体" w:cs="仿宋"/>
                <w:kern w:val="0"/>
                <w:szCs w:val="21"/>
              </w:rPr>
              <w:t>情况</w:t>
            </w:r>
            <w:r>
              <w:rPr>
                <w:rFonts w:hint="eastAsia" w:ascii="宋体" w:hAnsi="宋体" w:cs="仿宋"/>
                <w:kern w:val="0"/>
                <w:szCs w:val="21"/>
              </w:rPr>
              <w:br w:type="textWrapping"/>
            </w:r>
            <w:r>
              <w:rPr>
                <w:rFonts w:hint="eastAsia" w:ascii="宋体" w:hAnsi="宋体" w:cs="仿宋"/>
                <w:kern w:val="0"/>
                <w:szCs w:val="21"/>
              </w:rPr>
              <w:t>（万元）</w:t>
            </w:r>
          </w:p>
        </w:tc>
        <w:tc>
          <w:tcPr>
            <w:tcW w:w="250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ascii="宋体" w:hAnsi="宋体" w:cs="仿宋"/>
                <w:kern w:val="0"/>
                <w:szCs w:val="21"/>
              </w:rPr>
            </w:pPr>
            <w:r>
              <w:rPr>
                <w:rFonts w:hint="eastAsia" w:ascii="宋体" w:hAnsi="宋体" w:cs="仿宋"/>
                <w:kern w:val="0"/>
                <w:szCs w:val="21"/>
              </w:rPr>
              <w:t xml:space="preserve"> 预算数：</w:t>
            </w:r>
          </w:p>
        </w:tc>
        <w:tc>
          <w:tcPr>
            <w:tcW w:w="2465" w:type="dxa"/>
            <w:gridSpan w:val="3"/>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1310.41万元</w:t>
            </w:r>
          </w:p>
        </w:tc>
        <w:tc>
          <w:tcPr>
            <w:tcW w:w="184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 xml:space="preserve"> 执行数：</w:t>
            </w:r>
          </w:p>
        </w:tc>
        <w:tc>
          <w:tcPr>
            <w:tcW w:w="1492" w:type="dxa"/>
            <w:tcBorders>
              <w:top w:val="nil"/>
              <w:left w:val="nil"/>
              <w:bottom w:val="single" w:color="auto" w:sz="4" w:space="0"/>
              <w:right w:val="single" w:color="auto" w:sz="4" w:space="0"/>
            </w:tcBorders>
            <w:shd w:val="clear" w:color="auto" w:fill="auto"/>
            <w:vAlign w:val="center"/>
          </w:tcPr>
          <w:p>
            <w:pPr>
              <w:widowControl/>
              <w:spacing w:line="240" w:lineRule="exact"/>
              <w:jc w:val="right"/>
              <w:rPr>
                <w:rFonts w:ascii="宋体" w:hAnsi="宋体" w:cs="仿宋"/>
                <w:kern w:val="0"/>
                <w:szCs w:val="21"/>
              </w:rPr>
            </w:pPr>
            <w:r>
              <w:rPr>
                <w:rFonts w:hint="eastAsia" w:ascii="宋体" w:hAnsi="宋体" w:cs="仿宋"/>
                <w:kern w:val="0"/>
                <w:szCs w:val="21"/>
              </w:rPr>
              <w:t>1310.41万元</w:t>
            </w:r>
          </w:p>
        </w:tc>
      </w:tr>
      <w:tr>
        <w:tblPrEx>
          <w:tblLayout w:type="fixed"/>
          <w:tblCellMar>
            <w:top w:w="0" w:type="dxa"/>
            <w:left w:w="108" w:type="dxa"/>
            <w:bottom w:w="0" w:type="dxa"/>
            <w:right w:w="108" w:type="dxa"/>
          </w:tblCellMar>
        </w:tblPrEx>
        <w:trPr>
          <w:trHeight w:val="509" w:hRule="atLeast"/>
        </w:trPr>
        <w:tc>
          <w:tcPr>
            <w:tcW w:w="720" w:type="dxa"/>
            <w:vMerge w:val="continue"/>
            <w:tcBorders>
              <w:left w:val="single" w:color="auto" w:sz="4" w:space="0"/>
              <w:right w:val="single" w:color="auto" w:sz="4" w:space="0"/>
            </w:tcBorders>
            <w:vAlign w:val="center"/>
          </w:tcPr>
          <w:p>
            <w:pPr>
              <w:widowControl/>
              <w:spacing w:line="240" w:lineRule="exact"/>
              <w:jc w:val="left"/>
              <w:rPr>
                <w:rFonts w:ascii="宋体" w:hAnsi="宋体" w:cs="仿宋"/>
                <w:kern w:val="0"/>
                <w:szCs w:val="21"/>
              </w:rPr>
            </w:pPr>
          </w:p>
        </w:tc>
        <w:tc>
          <w:tcPr>
            <w:tcW w:w="250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right"/>
              <w:rPr>
                <w:rFonts w:ascii="宋体" w:hAnsi="宋体" w:cs="仿宋"/>
                <w:kern w:val="0"/>
                <w:szCs w:val="21"/>
              </w:rPr>
            </w:pPr>
            <w:r>
              <w:rPr>
                <w:rFonts w:hint="eastAsia" w:ascii="宋体" w:hAnsi="宋体" w:cs="仿宋"/>
                <w:kern w:val="0"/>
                <w:szCs w:val="21"/>
              </w:rPr>
              <w:t>其中：中央财政拨款</w:t>
            </w:r>
          </w:p>
        </w:tc>
        <w:tc>
          <w:tcPr>
            <w:tcW w:w="2465" w:type="dxa"/>
            <w:gridSpan w:val="3"/>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　</w:t>
            </w:r>
          </w:p>
        </w:tc>
        <w:tc>
          <w:tcPr>
            <w:tcW w:w="1843" w:type="dxa"/>
            <w:gridSpan w:val="2"/>
            <w:tcBorders>
              <w:top w:val="nil"/>
              <w:left w:val="nil"/>
              <w:bottom w:val="nil"/>
              <w:right w:val="single" w:color="auto" w:sz="4" w:space="0"/>
            </w:tcBorders>
            <w:shd w:val="clear" w:color="auto" w:fill="auto"/>
            <w:vAlign w:val="center"/>
          </w:tcPr>
          <w:p>
            <w:pPr>
              <w:widowControl/>
              <w:spacing w:line="240" w:lineRule="exact"/>
              <w:jc w:val="right"/>
              <w:rPr>
                <w:rFonts w:ascii="宋体" w:hAnsi="宋体" w:cs="仿宋"/>
                <w:kern w:val="0"/>
                <w:szCs w:val="21"/>
              </w:rPr>
            </w:pPr>
            <w:r>
              <w:rPr>
                <w:rFonts w:hint="eastAsia" w:ascii="宋体" w:hAnsi="宋体" w:cs="仿宋"/>
                <w:kern w:val="0"/>
                <w:szCs w:val="21"/>
              </w:rPr>
              <w:t>其中：中央财政拨款</w:t>
            </w:r>
          </w:p>
        </w:tc>
        <w:tc>
          <w:tcPr>
            <w:tcW w:w="1492" w:type="dxa"/>
            <w:tcBorders>
              <w:top w:val="nil"/>
              <w:left w:val="nil"/>
              <w:bottom w:val="single" w:color="auto" w:sz="4" w:space="0"/>
              <w:right w:val="single" w:color="auto" w:sz="4" w:space="0"/>
            </w:tcBorders>
            <w:shd w:val="clear" w:color="auto" w:fill="auto"/>
            <w:vAlign w:val="center"/>
          </w:tcPr>
          <w:p>
            <w:pPr>
              <w:widowControl/>
              <w:spacing w:line="240" w:lineRule="exact"/>
              <w:jc w:val="right"/>
              <w:rPr>
                <w:rFonts w:ascii="宋体" w:hAnsi="宋体" w:cs="仿宋"/>
                <w:kern w:val="0"/>
                <w:szCs w:val="21"/>
              </w:rPr>
            </w:pPr>
            <w:r>
              <w:rPr>
                <w:rFonts w:hint="eastAsia" w:ascii="宋体" w:hAnsi="宋体" w:cs="仿宋"/>
                <w:kern w:val="0"/>
                <w:szCs w:val="21"/>
              </w:rPr>
              <w:t>　</w:t>
            </w:r>
          </w:p>
        </w:tc>
      </w:tr>
      <w:tr>
        <w:tblPrEx>
          <w:tblLayout w:type="fixed"/>
          <w:tblCellMar>
            <w:top w:w="0" w:type="dxa"/>
            <w:left w:w="108" w:type="dxa"/>
            <w:bottom w:w="0" w:type="dxa"/>
            <w:right w:w="108" w:type="dxa"/>
          </w:tblCellMar>
        </w:tblPrEx>
        <w:trPr>
          <w:trHeight w:val="328" w:hRule="atLeast"/>
        </w:trPr>
        <w:tc>
          <w:tcPr>
            <w:tcW w:w="720" w:type="dxa"/>
            <w:vMerge w:val="continue"/>
            <w:tcBorders>
              <w:left w:val="single" w:color="auto" w:sz="4" w:space="0"/>
              <w:right w:val="single" w:color="auto" w:sz="4" w:space="0"/>
            </w:tcBorders>
            <w:vAlign w:val="center"/>
          </w:tcPr>
          <w:p>
            <w:pPr>
              <w:widowControl/>
              <w:spacing w:line="240" w:lineRule="exact"/>
              <w:jc w:val="left"/>
              <w:rPr>
                <w:rFonts w:ascii="宋体" w:hAnsi="宋体" w:cs="仿宋"/>
                <w:kern w:val="0"/>
                <w:szCs w:val="21"/>
              </w:rPr>
            </w:pPr>
          </w:p>
        </w:tc>
        <w:tc>
          <w:tcPr>
            <w:tcW w:w="250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right"/>
              <w:rPr>
                <w:rFonts w:ascii="宋体" w:hAnsi="宋体" w:cs="仿宋"/>
                <w:kern w:val="0"/>
                <w:szCs w:val="21"/>
              </w:rPr>
            </w:pPr>
            <w:r>
              <w:rPr>
                <w:rFonts w:hint="eastAsia" w:ascii="宋体" w:hAnsi="宋体" w:cs="仿宋"/>
                <w:kern w:val="0"/>
                <w:szCs w:val="21"/>
              </w:rPr>
              <w:t>自治区财政安排</w:t>
            </w:r>
          </w:p>
        </w:tc>
        <w:tc>
          <w:tcPr>
            <w:tcW w:w="2465" w:type="dxa"/>
            <w:gridSpan w:val="3"/>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　</w:t>
            </w:r>
          </w:p>
        </w:tc>
        <w:tc>
          <w:tcPr>
            <w:tcW w:w="184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right"/>
              <w:rPr>
                <w:rFonts w:ascii="宋体" w:hAnsi="宋体" w:cs="仿宋"/>
                <w:kern w:val="0"/>
                <w:szCs w:val="21"/>
              </w:rPr>
            </w:pPr>
            <w:r>
              <w:rPr>
                <w:rFonts w:hint="eastAsia" w:ascii="宋体" w:hAnsi="宋体" w:cs="仿宋"/>
                <w:kern w:val="0"/>
                <w:szCs w:val="21"/>
              </w:rPr>
              <w:t>自治区财政安排</w:t>
            </w:r>
          </w:p>
        </w:tc>
        <w:tc>
          <w:tcPr>
            <w:tcW w:w="1492" w:type="dxa"/>
            <w:tcBorders>
              <w:top w:val="nil"/>
              <w:left w:val="nil"/>
              <w:bottom w:val="single" w:color="auto" w:sz="4" w:space="0"/>
              <w:right w:val="single" w:color="auto" w:sz="4" w:space="0"/>
            </w:tcBorders>
            <w:shd w:val="clear" w:color="auto" w:fill="auto"/>
            <w:vAlign w:val="center"/>
          </w:tcPr>
          <w:p>
            <w:pPr>
              <w:widowControl/>
              <w:spacing w:line="240" w:lineRule="exact"/>
              <w:jc w:val="right"/>
              <w:rPr>
                <w:rFonts w:ascii="宋体" w:hAnsi="宋体" w:cs="仿宋"/>
                <w:kern w:val="0"/>
                <w:szCs w:val="21"/>
              </w:rPr>
            </w:pPr>
            <w:r>
              <w:rPr>
                <w:rFonts w:hint="eastAsia" w:ascii="宋体" w:hAnsi="宋体" w:cs="仿宋"/>
                <w:kern w:val="0"/>
                <w:szCs w:val="21"/>
              </w:rPr>
              <w:t>　</w:t>
            </w:r>
          </w:p>
        </w:tc>
      </w:tr>
      <w:tr>
        <w:tblPrEx>
          <w:tblLayout w:type="fixed"/>
          <w:tblCellMar>
            <w:top w:w="0" w:type="dxa"/>
            <w:left w:w="108" w:type="dxa"/>
            <w:bottom w:w="0" w:type="dxa"/>
            <w:right w:w="108" w:type="dxa"/>
          </w:tblCellMar>
        </w:tblPrEx>
        <w:trPr>
          <w:trHeight w:val="170" w:hRule="atLeast"/>
        </w:trPr>
        <w:tc>
          <w:tcPr>
            <w:tcW w:w="720" w:type="dxa"/>
            <w:vMerge w:val="continue"/>
            <w:tcBorders>
              <w:left w:val="single" w:color="auto" w:sz="4" w:space="0"/>
              <w:right w:val="single" w:color="auto" w:sz="4" w:space="0"/>
            </w:tcBorders>
            <w:vAlign w:val="center"/>
          </w:tcPr>
          <w:p>
            <w:pPr>
              <w:widowControl/>
              <w:spacing w:line="240" w:lineRule="exact"/>
              <w:jc w:val="left"/>
              <w:rPr>
                <w:rFonts w:ascii="宋体" w:hAnsi="宋体" w:cs="仿宋"/>
                <w:kern w:val="0"/>
                <w:szCs w:val="21"/>
              </w:rPr>
            </w:pPr>
          </w:p>
        </w:tc>
        <w:tc>
          <w:tcPr>
            <w:tcW w:w="250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right"/>
              <w:rPr>
                <w:rFonts w:ascii="宋体" w:hAnsi="宋体" w:cs="仿宋"/>
                <w:kern w:val="0"/>
                <w:szCs w:val="21"/>
              </w:rPr>
            </w:pPr>
            <w:r>
              <w:rPr>
                <w:rFonts w:hint="eastAsia" w:ascii="宋体" w:hAnsi="宋体" w:cs="仿宋"/>
                <w:kern w:val="0"/>
                <w:szCs w:val="21"/>
              </w:rPr>
              <w:t>州财政安排</w:t>
            </w:r>
          </w:p>
        </w:tc>
        <w:tc>
          <w:tcPr>
            <w:tcW w:w="2465" w:type="dxa"/>
            <w:gridSpan w:val="3"/>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ascii="宋体" w:hAnsi="宋体" w:cs="仿宋"/>
                <w:kern w:val="0"/>
                <w:szCs w:val="21"/>
              </w:rPr>
            </w:pPr>
          </w:p>
        </w:tc>
        <w:tc>
          <w:tcPr>
            <w:tcW w:w="184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right"/>
              <w:rPr>
                <w:rFonts w:ascii="宋体" w:hAnsi="宋体" w:cs="仿宋"/>
                <w:kern w:val="0"/>
                <w:szCs w:val="21"/>
              </w:rPr>
            </w:pPr>
            <w:r>
              <w:rPr>
                <w:rFonts w:hint="eastAsia" w:ascii="宋体" w:hAnsi="宋体" w:cs="仿宋"/>
                <w:kern w:val="0"/>
                <w:szCs w:val="21"/>
              </w:rPr>
              <w:t>州财政安排</w:t>
            </w:r>
          </w:p>
        </w:tc>
        <w:tc>
          <w:tcPr>
            <w:tcW w:w="14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right"/>
              <w:rPr>
                <w:rFonts w:ascii="宋体" w:hAnsi="宋体" w:cs="仿宋"/>
                <w:kern w:val="0"/>
                <w:szCs w:val="21"/>
              </w:rPr>
            </w:pPr>
          </w:p>
        </w:tc>
      </w:tr>
      <w:tr>
        <w:tblPrEx>
          <w:tblLayout w:type="fixed"/>
          <w:tblCellMar>
            <w:top w:w="0" w:type="dxa"/>
            <w:left w:w="108" w:type="dxa"/>
            <w:bottom w:w="0" w:type="dxa"/>
            <w:right w:w="108" w:type="dxa"/>
          </w:tblCellMar>
        </w:tblPrEx>
        <w:trPr>
          <w:trHeight w:val="152" w:hRule="atLeast"/>
        </w:trPr>
        <w:tc>
          <w:tcPr>
            <w:tcW w:w="720" w:type="dxa"/>
            <w:vMerge w:val="continue"/>
            <w:tcBorders>
              <w:left w:val="single" w:color="auto" w:sz="4" w:space="0"/>
              <w:right w:val="single" w:color="auto" w:sz="4" w:space="0"/>
            </w:tcBorders>
            <w:vAlign w:val="center"/>
          </w:tcPr>
          <w:p>
            <w:pPr>
              <w:widowControl/>
              <w:spacing w:line="240" w:lineRule="exact"/>
              <w:jc w:val="left"/>
              <w:rPr>
                <w:rFonts w:ascii="宋体" w:hAnsi="宋体" w:cs="仿宋"/>
                <w:kern w:val="0"/>
                <w:szCs w:val="21"/>
              </w:rPr>
            </w:pPr>
          </w:p>
        </w:tc>
        <w:tc>
          <w:tcPr>
            <w:tcW w:w="250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right"/>
              <w:rPr>
                <w:rFonts w:ascii="宋体" w:hAnsi="宋体" w:cs="仿宋"/>
                <w:kern w:val="0"/>
                <w:szCs w:val="21"/>
              </w:rPr>
            </w:pPr>
            <w:r>
              <w:rPr>
                <w:rFonts w:hint="eastAsia" w:ascii="宋体" w:hAnsi="宋体" w:cs="仿宋"/>
                <w:kern w:val="0"/>
                <w:szCs w:val="21"/>
              </w:rPr>
              <w:t>县财政配套</w:t>
            </w:r>
          </w:p>
        </w:tc>
        <w:tc>
          <w:tcPr>
            <w:tcW w:w="2465" w:type="dxa"/>
            <w:gridSpan w:val="3"/>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1310.41万元</w:t>
            </w:r>
          </w:p>
        </w:tc>
        <w:tc>
          <w:tcPr>
            <w:tcW w:w="184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right"/>
              <w:rPr>
                <w:rFonts w:ascii="宋体" w:hAnsi="宋体" w:cs="仿宋"/>
                <w:kern w:val="0"/>
                <w:szCs w:val="21"/>
              </w:rPr>
            </w:pPr>
            <w:r>
              <w:rPr>
                <w:rFonts w:hint="eastAsia" w:ascii="宋体" w:hAnsi="宋体" w:cs="仿宋"/>
                <w:kern w:val="0"/>
                <w:szCs w:val="21"/>
              </w:rPr>
              <w:t>县财政配套</w:t>
            </w:r>
          </w:p>
        </w:tc>
        <w:tc>
          <w:tcPr>
            <w:tcW w:w="14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right"/>
              <w:rPr>
                <w:rFonts w:ascii="宋体" w:hAnsi="宋体" w:cs="仿宋"/>
                <w:kern w:val="0"/>
                <w:szCs w:val="21"/>
              </w:rPr>
            </w:pPr>
            <w:r>
              <w:rPr>
                <w:rFonts w:hint="eastAsia" w:ascii="宋体" w:hAnsi="宋体" w:cs="仿宋"/>
                <w:kern w:val="0"/>
                <w:szCs w:val="21"/>
              </w:rPr>
              <w:t>1310.41万元</w:t>
            </w:r>
          </w:p>
        </w:tc>
      </w:tr>
      <w:tr>
        <w:tblPrEx>
          <w:tblLayout w:type="fixed"/>
          <w:tblCellMar>
            <w:top w:w="0" w:type="dxa"/>
            <w:left w:w="108" w:type="dxa"/>
            <w:bottom w:w="0" w:type="dxa"/>
            <w:right w:w="108" w:type="dxa"/>
          </w:tblCellMar>
        </w:tblPrEx>
        <w:trPr>
          <w:trHeight w:val="338" w:hRule="atLeast"/>
        </w:trPr>
        <w:tc>
          <w:tcPr>
            <w:tcW w:w="720"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宋体" w:hAnsi="宋体" w:cs="仿宋"/>
                <w:kern w:val="0"/>
                <w:szCs w:val="21"/>
              </w:rPr>
            </w:pPr>
          </w:p>
        </w:tc>
        <w:tc>
          <w:tcPr>
            <w:tcW w:w="250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right"/>
              <w:rPr>
                <w:rFonts w:ascii="宋体" w:hAnsi="宋体" w:cs="仿宋"/>
                <w:kern w:val="0"/>
                <w:szCs w:val="21"/>
              </w:rPr>
            </w:pPr>
            <w:r>
              <w:rPr>
                <w:rFonts w:hint="eastAsia" w:ascii="宋体" w:hAnsi="宋体" w:cs="仿宋"/>
                <w:kern w:val="0"/>
                <w:szCs w:val="21"/>
              </w:rPr>
              <w:t>其他资金</w:t>
            </w:r>
          </w:p>
        </w:tc>
        <w:tc>
          <w:tcPr>
            <w:tcW w:w="2465" w:type="dxa"/>
            <w:gridSpan w:val="3"/>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ascii="宋体" w:hAnsi="宋体" w:cs="仿宋"/>
                <w:kern w:val="0"/>
                <w:szCs w:val="21"/>
              </w:rPr>
            </w:pPr>
          </w:p>
        </w:tc>
        <w:tc>
          <w:tcPr>
            <w:tcW w:w="1843" w:type="dxa"/>
            <w:gridSpan w:val="2"/>
            <w:tcBorders>
              <w:top w:val="single" w:color="auto" w:sz="4" w:space="0"/>
              <w:left w:val="nil"/>
              <w:bottom w:val="nil"/>
              <w:right w:val="single" w:color="auto" w:sz="4" w:space="0"/>
            </w:tcBorders>
            <w:shd w:val="clear" w:color="auto" w:fill="auto"/>
            <w:vAlign w:val="center"/>
          </w:tcPr>
          <w:p>
            <w:pPr>
              <w:widowControl/>
              <w:spacing w:line="240" w:lineRule="exact"/>
              <w:jc w:val="right"/>
              <w:rPr>
                <w:rFonts w:ascii="宋体" w:hAnsi="宋体" w:cs="仿宋"/>
                <w:kern w:val="0"/>
                <w:szCs w:val="21"/>
              </w:rPr>
            </w:pPr>
            <w:r>
              <w:rPr>
                <w:rFonts w:hint="eastAsia" w:ascii="宋体" w:hAnsi="宋体" w:cs="仿宋"/>
                <w:kern w:val="0"/>
                <w:szCs w:val="21"/>
              </w:rPr>
              <w:t>其他资金</w:t>
            </w:r>
          </w:p>
        </w:tc>
        <w:tc>
          <w:tcPr>
            <w:tcW w:w="14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right"/>
              <w:rPr>
                <w:rFonts w:ascii="宋体" w:hAnsi="宋体" w:cs="仿宋"/>
                <w:kern w:val="0"/>
                <w:szCs w:val="21"/>
              </w:rPr>
            </w:pP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年度</w:t>
            </w:r>
            <w:r>
              <w:rPr>
                <w:rFonts w:hint="eastAsia" w:ascii="宋体" w:hAnsi="宋体" w:cs="仿宋"/>
                <w:kern w:val="0"/>
                <w:szCs w:val="21"/>
              </w:rPr>
              <w:br w:type="textWrapping"/>
            </w:r>
            <w:r>
              <w:rPr>
                <w:rFonts w:hint="eastAsia" w:ascii="宋体" w:hAnsi="宋体" w:cs="仿宋"/>
                <w:kern w:val="0"/>
                <w:szCs w:val="21"/>
              </w:rPr>
              <w:t>目标</w:t>
            </w:r>
            <w:r>
              <w:rPr>
                <w:rFonts w:hint="eastAsia" w:ascii="宋体" w:hAnsi="宋体" w:cs="仿宋"/>
                <w:kern w:val="0"/>
                <w:szCs w:val="21"/>
              </w:rPr>
              <w:br w:type="textWrapping"/>
            </w:r>
            <w:r>
              <w:rPr>
                <w:rFonts w:hint="eastAsia" w:ascii="宋体" w:hAnsi="宋体" w:cs="仿宋"/>
                <w:kern w:val="0"/>
                <w:szCs w:val="21"/>
              </w:rPr>
              <w:t>完成</w:t>
            </w:r>
            <w:r>
              <w:rPr>
                <w:rFonts w:hint="eastAsia" w:ascii="宋体" w:hAnsi="宋体" w:cs="仿宋"/>
                <w:kern w:val="0"/>
                <w:szCs w:val="21"/>
              </w:rPr>
              <w:br w:type="textWrapping"/>
            </w:r>
            <w:r>
              <w:rPr>
                <w:rFonts w:hint="eastAsia" w:ascii="宋体" w:hAnsi="宋体" w:cs="仿宋"/>
                <w:kern w:val="0"/>
                <w:szCs w:val="21"/>
              </w:rPr>
              <w:t>情况</w:t>
            </w:r>
          </w:p>
        </w:tc>
        <w:tc>
          <w:tcPr>
            <w:tcW w:w="4965" w:type="dxa"/>
            <w:gridSpan w:val="7"/>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预期目标</w:t>
            </w:r>
          </w:p>
        </w:tc>
        <w:tc>
          <w:tcPr>
            <w:tcW w:w="333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仿宋"/>
                <w:kern w:val="0"/>
                <w:szCs w:val="21"/>
              </w:rPr>
            </w:pPr>
          </w:p>
        </w:tc>
        <w:tc>
          <w:tcPr>
            <w:tcW w:w="4965" w:type="dxa"/>
            <w:gridSpan w:val="7"/>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　</w:t>
            </w:r>
            <w:r>
              <w:rPr>
                <w:rFonts w:hint="eastAsia" w:ascii="宋体" w:hAnsi="宋体" w:cs="仿宋"/>
                <w:color w:val="333333"/>
                <w:szCs w:val="21"/>
              </w:rPr>
              <w:t>城乡居民基本医疗保险是</w:t>
            </w:r>
            <w:r>
              <w:fldChar w:fldCharType="begin"/>
            </w:r>
            <w:r>
              <w:instrText xml:space="preserve"> HYPERLINK "https://baike.sogou.com/lemma/ShowInnerLink.htm?lemmaId=7514834&amp;ss_c=ssc.citiao.link" \t "_blank" </w:instrText>
            </w:r>
            <w:r>
              <w:fldChar w:fldCharType="separate"/>
            </w:r>
            <w:r>
              <w:rPr>
                <w:rStyle w:val="20"/>
                <w:rFonts w:hint="eastAsia" w:ascii="宋体" w:hAnsi="宋体" w:cs="仿宋"/>
                <w:color w:val="auto"/>
                <w:szCs w:val="21"/>
                <w:u w:val="none"/>
              </w:rPr>
              <w:t>社会医疗保险</w:t>
            </w:r>
            <w:r>
              <w:rPr>
                <w:rStyle w:val="20"/>
                <w:rFonts w:hint="eastAsia" w:ascii="宋体" w:hAnsi="宋体" w:cs="仿宋"/>
                <w:color w:val="auto"/>
                <w:szCs w:val="21"/>
                <w:u w:val="none"/>
              </w:rPr>
              <w:fldChar w:fldCharType="end"/>
            </w:r>
            <w:r>
              <w:rPr>
                <w:rFonts w:hint="eastAsia" w:ascii="宋体" w:hAnsi="宋体" w:cs="仿宋"/>
                <w:szCs w:val="21"/>
              </w:rPr>
              <w:t>的组成部分，采取以政府为主导，以居民个人（家庭）缴费为主，政府适度补助为辅的筹资方式，按照缴费标准和待遇水平相一致的原则，为城镇居民提供医疗需求的</w:t>
            </w:r>
            <w:r>
              <w:fldChar w:fldCharType="begin"/>
            </w:r>
            <w:r>
              <w:instrText xml:space="preserve"> HYPERLINK "https://baike.sogou.com/lemma/ShowInnerLink.htm?lemmaId=726481&amp;ss_c=ssc.citiao.link" \t "_blank" </w:instrText>
            </w:r>
            <w:r>
              <w:fldChar w:fldCharType="separate"/>
            </w:r>
            <w:r>
              <w:rPr>
                <w:rStyle w:val="20"/>
                <w:rFonts w:hint="eastAsia" w:ascii="宋体" w:hAnsi="宋体" w:cs="仿宋"/>
                <w:color w:val="auto"/>
                <w:szCs w:val="21"/>
                <w:u w:val="none"/>
              </w:rPr>
              <w:t>医疗保险制度</w:t>
            </w:r>
            <w:r>
              <w:rPr>
                <w:rStyle w:val="20"/>
                <w:rFonts w:hint="eastAsia" w:ascii="宋体" w:hAnsi="宋体" w:cs="仿宋"/>
                <w:color w:val="auto"/>
                <w:szCs w:val="21"/>
                <w:u w:val="none"/>
              </w:rPr>
              <w:fldChar w:fldCharType="end"/>
            </w:r>
            <w:r>
              <w:rPr>
                <w:rFonts w:hint="eastAsia" w:ascii="宋体" w:hAnsi="宋体" w:cs="仿宋"/>
                <w:szCs w:val="21"/>
              </w:rPr>
              <w:t>。</w:t>
            </w:r>
          </w:p>
        </w:tc>
        <w:tc>
          <w:tcPr>
            <w:tcW w:w="3335" w:type="dxa"/>
            <w:gridSpan w:val="3"/>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应保尽保，应收尽收.  2018年12月县财政配套资金1310.41万元全部落实到位。</w:t>
            </w:r>
          </w:p>
        </w:tc>
      </w:tr>
      <w:tr>
        <w:tblPrEx>
          <w:tblLayout w:type="fixed"/>
          <w:tblCellMar>
            <w:top w:w="0" w:type="dxa"/>
            <w:left w:w="108" w:type="dxa"/>
            <w:bottom w:w="0" w:type="dxa"/>
            <w:right w:w="108" w:type="dxa"/>
          </w:tblCellMar>
        </w:tblPrEx>
        <w:trPr>
          <w:trHeight w:val="908"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年度</w:t>
            </w:r>
            <w:r>
              <w:rPr>
                <w:rFonts w:hint="eastAsia" w:ascii="宋体" w:hAnsi="宋体" w:cs="仿宋"/>
                <w:kern w:val="0"/>
                <w:szCs w:val="21"/>
              </w:rPr>
              <w:br w:type="textWrapping"/>
            </w:r>
            <w:r>
              <w:rPr>
                <w:rFonts w:hint="eastAsia" w:ascii="宋体" w:hAnsi="宋体" w:cs="仿宋"/>
                <w:kern w:val="0"/>
                <w:szCs w:val="21"/>
              </w:rPr>
              <w:t>绩效</w:t>
            </w:r>
            <w:r>
              <w:rPr>
                <w:rFonts w:hint="eastAsia" w:ascii="宋体" w:hAnsi="宋体" w:cs="仿宋"/>
                <w:kern w:val="0"/>
                <w:szCs w:val="21"/>
              </w:rPr>
              <w:br w:type="textWrapping"/>
            </w:r>
            <w:r>
              <w:rPr>
                <w:rFonts w:hint="eastAsia" w:ascii="宋体" w:hAnsi="宋体" w:cs="仿宋"/>
                <w:kern w:val="0"/>
                <w:szCs w:val="21"/>
              </w:rPr>
              <w:t>指标</w:t>
            </w:r>
            <w:r>
              <w:rPr>
                <w:rFonts w:hint="eastAsia" w:ascii="宋体" w:hAnsi="宋体" w:cs="仿宋"/>
                <w:kern w:val="0"/>
                <w:szCs w:val="21"/>
              </w:rPr>
              <w:br w:type="textWrapping"/>
            </w:r>
            <w:r>
              <w:rPr>
                <w:rFonts w:hint="eastAsia" w:ascii="宋体" w:hAnsi="宋体" w:cs="仿宋"/>
                <w:kern w:val="0"/>
                <w:szCs w:val="21"/>
              </w:rPr>
              <w:t>完成</w:t>
            </w:r>
            <w:r>
              <w:rPr>
                <w:rFonts w:hint="eastAsia" w:ascii="宋体" w:hAnsi="宋体" w:cs="仿宋"/>
                <w:kern w:val="0"/>
                <w:szCs w:val="21"/>
              </w:rPr>
              <w:br w:type="textWrapping"/>
            </w:r>
            <w:r>
              <w:rPr>
                <w:rFonts w:hint="eastAsia" w:ascii="宋体" w:hAnsi="宋体" w:cs="仿宋"/>
                <w:kern w:val="0"/>
                <w:szCs w:val="21"/>
              </w:rPr>
              <w:t>情况</w:t>
            </w:r>
          </w:p>
        </w:tc>
        <w:tc>
          <w:tcPr>
            <w:tcW w:w="855" w:type="dxa"/>
            <w:tcBorders>
              <w:top w:val="nil"/>
              <w:left w:val="nil"/>
              <w:bottom w:val="nil"/>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一级指标</w:t>
            </w:r>
          </w:p>
        </w:tc>
        <w:tc>
          <w:tcPr>
            <w:tcW w:w="992"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二级指标</w:t>
            </w:r>
          </w:p>
        </w:tc>
        <w:tc>
          <w:tcPr>
            <w:tcW w:w="31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三级指标</w:t>
            </w:r>
          </w:p>
        </w:tc>
        <w:tc>
          <w:tcPr>
            <w:tcW w:w="17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预期指标值（包含数字及文字描述）</w:t>
            </w:r>
          </w:p>
        </w:tc>
        <w:tc>
          <w:tcPr>
            <w:tcW w:w="155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仿宋"/>
                <w:kern w:val="0"/>
                <w:szCs w:val="21"/>
              </w:rPr>
            </w:pPr>
          </w:p>
        </w:tc>
        <w:tc>
          <w:tcPr>
            <w:tcW w:w="8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项目完成指标</w:t>
            </w:r>
          </w:p>
        </w:tc>
        <w:tc>
          <w:tcPr>
            <w:tcW w:w="992" w:type="dxa"/>
            <w:gridSpan w:val="2"/>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数量指标</w:t>
            </w:r>
          </w:p>
        </w:tc>
        <w:tc>
          <w:tcPr>
            <w:tcW w:w="31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 xml:space="preserve"> 指标1：　建立医疗保障制度</w:t>
            </w:r>
          </w:p>
        </w:tc>
        <w:tc>
          <w:tcPr>
            <w:tcW w:w="17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100%</w:t>
            </w:r>
          </w:p>
        </w:tc>
        <w:tc>
          <w:tcPr>
            <w:tcW w:w="1559" w:type="dxa"/>
            <w:gridSpan w:val="2"/>
            <w:tcBorders>
              <w:top w:val="nil"/>
              <w:left w:val="nil"/>
              <w:bottom w:val="single" w:color="auto" w:sz="4" w:space="0"/>
              <w:right w:val="single" w:color="auto" w:sz="4" w:space="0"/>
            </w:tcBorders>
            <w:shd w:val="clear" w:color="auto" w:fill="auto"/>
            <w:vAlign w:val="center"/>
          </w:tcPr>
          <w:p>
            <w:r>
              <w:rPr>
                <w:rFonts w:hint="eastAsia" w:ascii="宋体" w:hAnsi="宋体" w:cs="仿宋"/>
                <w:kern w:val="0"/>
                <w:szCs w:val="21"/>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仿宋"/>
                <w:kern w:val="0"/>
                <w:szCs w:val="21"/>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仿宋"/>
                <w:kern w:val="0"/>
                <w:szCs w:val="21"/>
              </w:rPr>
            </w:pPr>
          </w:p>
        </w:tc>
        <w:tc>
          <w:tcPr>
            <w:tcW w:w="992" w:type="dxa"/>
            <w:gridSpan w:val="2"/>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质量指标</w:t>
            </w:r>
          </w:p>
        </w:tc>
        <w:tc>
          <w:tcPr>
            <w:tcW w:w="31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 xml:space="preserve"> 指标1：　社会保险制度全覆盖，人人享有医疗保险</w:t>
            </w:r>
          </w:p>
        </w:tc>
        <w:tc>
          <w:tcPr>
            <w:tcW w:w="17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100%</w:t>
            </w:r>
          </w:p>
        </w:tc>
        <w:tc>
          <w:tcPr>
            <w:tcW w:w="1559" w:type="dxa"/>
            <w:gridSpan w:val="2"/>
            <w:tcBorders>
              <w:top w:val="nil"/>
              <w:left w:val="nil"/>
              <w:bottom w:val="single" w:color="auto" w:sz="4" w:space="0"/>
              <w:right w:val="single" w:color="auto" w:sz="4" w:space="0"/>
            </w:tcBorders>
            <w:shd w:val="clear" w:color="auto" w:fill="auto"/>
            <w:vAlign w:val="center"/>
          </w:tcPr>
          <w:p>
            <w:r>
              <w:rPr>
                <w:rFonts w:hint="eastAsia" w:ascii="宋体" w:hAnsi="宋体" w:cs="仿宋"/>
                <w:kern w:val="0"/>
                <w:szCs w:val="21"/>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仿宋"/>
                <w:kern w:val="0"/>
                <w:szCs w:val="21"/>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仿宋"/>
                <w:kern w:val="0"/>
                <w:szCs w:val="21"/>
              </w:rPr>
            </w:pPr>
          </w:p>
        </w:tc>
        <w:tc>
          <w:tcPr>
            <w:tcW w:w="992" w:type="dxa"/>
            <w:gridSpan w:val="2"/>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时效指标</w:t>
            </w:r>
          </w:p>
        </w:tc>
        <w:tc>
          <w:tcPr>
            <w:tcW w:w="31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 xml:space="preserve"> 指标1：预计每年按时拨付资金</w:t>
            </w:r>
          </w:p>
        </w:tc>
        <w:tc>
          <w:tcPr>
            <w:tcW w:w="17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　≥95%</w:t>
            </w:r>
          </w:p>
        </w:tc>
        <w:tc>
          <w:tcPr>
            <w:tcW w:w="1559" w:type="dxa"/>
            <w:gridSpan w:val="2"/>
            <w:tcBorders>
              <w:top w:val="nil"/>
              <w:left w:val="nil"/>
              <w:bottom w:val="single" w:color="auto" w:sz="4" w:space="0"/>
              <w:right w:val="single" w:color="auto" w:sz="4" w:space="0"/>
            </w:tcBorders>
            <w:shd w:val="clear" w:color="auto" w:fill="auto"/>
            <w:vAlign w:val="center"/>
          </w:tcPr>
          <w:p>
            <w:r>
              <w:rPr>
                <w:rFonts w:hint="eastAsia" w:ascii="宋体" w:hAnsi="宋体" w:cs="仿宋"/>
                <w:kern w:val="0"/>
                <w:szCs w:val="21"/>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仿宋"/>
                <w:kern w:val="0"/>
                <w:szCs w:val="21"/>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仿宋"/>
                <w:kern w:val="0"/>
                <w:szCs w:val="21"/>
              </w:rPr>
            </w:pPr>
          </w:p>
        </w:tc>
        <w:tc>
          <w:tcPr>
            <w:tcW w:w="992" w:type="dxa"/>
            <w:gridSpan w:val="2"/>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成本指标</w:t>
            </w:r>
          </w:p>
        </w:tc>
        <w:tc>
          <w:tcPr>
            <w:tcW w:w="31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 xml:space="preserve"> 指标1：应拨资金总额</w:t>
            </w:r>
          </w:p>
        </w:tc>
        <w:tc>
          <w:tcPr>
            <w:tcW w:w="17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　1310.41万元</w:t>
            </w:r>
          </w:p>
        </w:tc>
        <w:tc>
          <w:tcPr>
            <w:tcW w:w="1559" w:type="dxa"/>
            <w:gridSpan w:val="2"/>
            <w:tcBorders>
              <w:top w:val="nil"/>
              <w:left w:val="nil"/>
              <w:bottom w:val="single" w:color="auto" w:sz="4" w:space="0"/>
              <w:right w:val="single" w:color="auto" w:sz="4" w:space="0"/>
            </w:tcBorders>
            <w:shd w:val="clear" w:color="auto" w:fill="auto"/>
            <w:vAlign w:val="center"/>
          </w:tcPr>
          <w:p>
            <w:r>
              <w:rPr>
                <w:rFonts w:hint="eastAsia" w:ascii="宋体" w:hAnsi="宋体" w:cs="仿宋"/>
                <w:kern w:val="0"/>
                <w:szCs w:val="21"/>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仿宋"/>
                <w:kern w:val="0"/>
                <w:szCs w:val="21"/>
              </w:rPr>
            </w:pPr>
          </w:p>
        </w:tc>
        <w:tc>
          <w:tcPr>
            <w:tcW w:w="85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项目效果指标</w:t>
            </w:r>
          </w:p>
        </w:tc>
        <w:tc>
          <w:tcPr>
            <w:tcW w:w="992" w:type="dxa"/>
            <w:gridSpan w:val="2"/>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经济效益指标</w:t>
            </w:r>
          </w:p>
        </w:tc>
        <w:tc>
          <w:tcPr>
            <w:tcW w:w="31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 xml:space="preserve"> 指标1：</w:t>
            </w:r>
          </w:p>
        </w:tc>
        <w:tc>
          <w:tcPr>
            <w:tcW w:w="17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　</w:t>
            </w:r>
          </w:p>
        </w:tc>
        <w:tc>
          <w:tcPr>
            <w:tcW w:w="1559" w:type="dxa"/>
            <w:gridSpan w:val="2"/>
            <w:tcBorders>
              <w:top w:val="nil"/>
              <w:left w:val="nil"/>
              <w:bottom w:val="single" w:color="auto" w:sz="4" w:space="0"/>
              <w:right w:val="single" w:color="auto" w:sz="4" w:space="0"/>
            </w:tcBorders>
            <w:shd w:val="clear" w:color="auto" w:fill="auto"/>
            <w:vAlign w:val="center"/>
          </w:tc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仿宋"/>
                <w:kern w:val="0"/>
                <w:szCs w:val="21"/>
              </w:rPr>
            </w:pPr>
          </w:p>
        </w:tc>
        <w:tc>
          <w:tcPr>
            <w:tcW w:w="85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仿宋"/>
                <w:kern w:val="0"/>
                <w:szCs w:val="21"/>
              </w:rPr>
            </w:pPr>
          </w:p>
        </w:tc>
        <w:tc>
          <w:tcPr>
            <w:tcW w:w="992" w:type="dxa"/>
            <w:gridSpan w:val="2"/>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社会效益指标</w:t>
            </w:r>
          </w:p>
        </w:tc>
        <w:tc>
          <w:tcPr>
            <w:tcW w:w="31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 xml:space="preserve"> 指标1：解决医疗费用高导致家庭贫穷，人人享有惠民政策。</w:t>
            </w:r>
          </w:p>
        </w:tc>
        <w:tc>
          <w:tcPr>
            <w:tcW w:w="17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逐步提升</w:t>
            </w:r>
          </w:p>
        </w:tc>
        <w:tc>
          <w:tcPr>
            <w:tcW w:w="1559" w:type="dxa"/>
            <w:gridSpan w:val="2"/>
            <w:tcBorders>
              <w:top w:val="nil"/>
              <w:left w:val="nil"/>
              <w:bottom w:val="single" w:color="auto" w:sz="4" w:space="0"/>
              <w:right w:val="single" w:color="auto" w:sz="4" w:space="0"/>
            </w:tcBorders>
            <w:shd w:val="clear" w:color="auto" w:fill="auto"/>
            <w:vAlign w:val="center"/>
          </w:tcPr>
          <w:p>
            <w:r>
              <w:rPr>
                <w:rFonts w:hint="eastAsia" w:ascii="宋体" w:hAnsi="宋体" w:cs="仿宋"/>
                <w:kern w:val="0"/>
                <w:szCs w:val="21"/>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仿宋"/>
                <w:kern w:val="0"/>
                <w:szCs w:val="21"/>
              </w:rPr>
            </w:pPr>
          </w:p>
        </w:tc>
        <w:tc>
          <w:tcPr>
            <w:tcW w:w="85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仿宋"/>
                <w:kern w:val="0"/>
                <w:szCs w:val="21"/>
              </w:rPr>
            </w:pPr>
          </w:p>
        </w:tc>
        <w:tc>
          <w:tcPr>
            <w:tcW w:w="992" w:type="dxa"/>
            <w:gridSpan w:val="2"/>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生态效益指标</w:t>
            </w:r>
          </w:p>
        </w:tc>
        <w:tc>
          <w:tcPr>
            <w:tcW w:w="31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 xml:space="preserve"> 指标1：</w:t>
            </w:r>
          </w:p>
        </w:tc>
        <w:tc>
          <w:tcPr>
            <w:tcW w:w="17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　</w:t>
            </w:r>
          </w:p>
        </w:tc>
        <w:tc>
          <w:tcPr>
            <w:tcW w:w="1559" w:type="dxa"/>
            <w:gridSpan w:val="2"/>
            <w:tcBorders>
              <w:top w:val="nil"/>
              <w:left w:val="nil"/>
              <w:bottom w:val="single" w:color="auto" w:sz="4" w:space="0"/>
              <w:right w:val="single" w:color="auto" w:sz="4" w:space="0"/>
            </w:tcBorders>
            <w:shd w:val="clear" w:color="auto" w:fill="auto"/>
            <w:vAlign w:val="center"/>
          </w:tcPr>
          <w:p>
            <w:r>
              <w:rPr>
                <w:rFonts w:hint="eastAsia" w:ascii="宋体" w:hAnsi="宋体" w:cs="仿宋"/>
                <w:kern w:val="0"/>
                <w:szCs w:val="21"/>
              </w:rPr>
              <w:t>100%</w:t>
            </w:r>
          </w:p>
        </w:tc>
      </w:tr>
      <w:tr>
        <w:tblPrEx>
          <w:tblLayout w:type="fixed"/>
          <w:tblCellMar>
            <w:top w:w="0" w:type="dxa"/>
            <w:left w:w="108" w:type="dxa"/>
            <w:bottom w:w="0" w:type="dxa"/>
            <w:right w:w="108" w:type="dxa"/>
          </w:tblCellMar>
        </w:tblPrEx>
        <w:trPr>
          <w:trHeight w:val="694"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仿宋"/>
                <w:kern w:val="0"/>
                <w:szCs w:val="21"/>
              </w:rPr>
            </w:pPr>
          </w:p>
        </w:tc>
        <w:tc>
          <w:tcPr>
            <w:tcW w:w="85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仿宋"/>
                <w:kern w:val="0"/>
                <w:szCs w:val="21"/>
              </w:rPr>
            </w:pPr>
          </w:p>
        </w:tc>
        <w:tc>
          <w:tcPr>
            <w:tcW w:w="992" w:type="dxa"/>
            <w:gridSpan w:val="2"/>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可持续影响指标</w:t>
            </w:r>
          </w:p>
        </w:tc>
        <w:tc>
          <w:tcPr>
            <w:tcW w:w="31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 xml:space="preserve"> 指标1：保障特殊困难群体人员按时交纳医疗保险费，</w:t>
            </w:r>
          </w:p>
        </w:tc>
        <w:tc>
          <w:tcPr>
            <w:tcW w:w="17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保障特殊困难群体人员按时交纳医疗保险费</w:t>
            </w:r>
          </w:p>
        </w:tc>
        <w:tc>
          <w:tcPr>
            <w:tcW w:w="1559" w:type="dxa"/>
            <w:gridSpan w:val="2"/>
            <w:tcBorders>
              <w:top w:val="nil"/>
              <w:left w:val="nil"/>
              <w:bottom w:val="single" w:color="auto" w:sz="4" w:space="0"/>
              <w:right w:val="single" w:color="auto" w:sz="4" w:space="0"/>
            </w:tcBorders>
            <w:shd w:val="clear" w:color="auto" w:fill="auto"/>
            <w:vAlign w:val="center"/>
          </w:tcPr>
          <w:p>
            <w:r>
              <w:rPr>
                <w:rFonts w:hint="eastAsia" w:ascii="宋体" w:hAnsi="宋体" w:cs="仿宋"/>
                <w:kern w:val="0"/>
                <w:szCs w:val="21"/>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仿宋"/>
                <w:kern w:val="0"/>
                <w:szCs w:val="21"/>
              </w:rPr>
            </w:pPr>
          </w:p>
        </w:tc>
        <w:tc>
          <w:tcPr>
            <w:tcW w:w="855" w:type="dxa"/>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满意度指标</w:t>
            </w:r>
          </w:p>
        </w:tc>
        <w:tc>
          <w:tcPr>
            <w:tcW w:w="992" w:type="dxa"/>
            <w:gridSpan w:val="2"/>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满意度指标</w:t>
            </w:r>
          </w:p>
        </w:tc>
        <w:tc>
          <w:tcPr>
            <w:tcW w:w="31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仿宋"/>
                <w:kern w:val="0"/>
                <w:szCs w:val="21"/>
              </w:rPr>
            </w:pPr>
            <w:r>
              <w:rPr>
                <w:rFonts w:hint="eastAsia" w:ascii="宋体" w:hAnsi="宋体" w:cs="仿宋"/>
                <w:kern w:val="0"/>
                <w:szCs w:val="21"/>
              </w:rPr>
              <w:t xml:space="preserve"> 指标1：政策知晓率</w:t>
            </w:r>
          </w:p>
        </w:tc>
        <w:tc>
          <w:tcPr>
            <w:tcW w:w="17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仿宋"/>
                <w:kern w:val="0"/>
                <w:szCs w:val="21"/>
              </w:rPr>
            </w:pPr>
            <w:r>
              <w:rPr>
                <w:rFonts w:hint="eastAsia" w:ascii="宋体" w:hAnsi="宋体" w:cs="仿宋"/>
                <w:kern w:val="0"/>
                <w:szCs w:val="21"/>
              </w:rPr>
              <w:t>≥95%</w:t>
            </w:r>
          </w:p>
        </w:tc>
        <w:tc>
          <w:tcPr>
            <w:tcW w:w="1559" w:type="dxa"/>
            <w:gridSpan w:val="2"/>
            <w:tcBorders>
              <w:top w:val="nil"/>
              <w:left w:val="nil"/>
              <w:bottom w:val="single" w:color="auto" w:sz="4" w:space="0"/>
              <w:right w:val="single" w:color="auto" w:sz="4" w:space="0"/>
            </w:tcBorders>
            <w:shd w:val="clear" w:color="auto" w:fill="auto"/>
            <w:vAlign w:val="center"/>
          </w:tcPr>
          <w:p>
            <w:r>
              <w:rPr>
                <w:rFonts w:hint="eastAsia" w:ascii="宋体" w:hAnsi="宋体" w:cs="仿宋"/>
                <w:kern w:val="0"/>
                <w:szCs w:val="21"/>
              </w:rPr>
              <w:t>100%</w:t>
            </w:r>
          </w:p>
        </w:tc>
      </w:tr>
    </w:tbl>
    <w:p>
      <w:pPr>
        <w:spacing w:line="540" w:lineRule="exact"/>
        <w:ind w:firstLine="567"/>
        <w:rPr>
          <w:rStyle w:val="18"/>
          <w:rFonts w:ascii="仿宋" w:hAnsi="仿宋" w:eastAsia="仿宋"/>
          <w:b w:val="0"/>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4</w:t>
    </w:r>
    <w:r>
      <w:rPr>
        <w:lang w:val="zh-CN"/>
      </w:rP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135E8"/>
    <w:rsid w:val="00056465"/>
    <w:rsid w:val="00060ECD"/>
    <w:rsid w:val="000D03BE"/>
    <w:rsid w:val="000E715D"/>
    <w:rsid w:val="0012050C"/>
    <w:rsid w:val="00121AE4"/>
    <w:rsid w:val="00146AAD"/>
    <w:rsid w:val="001543FB"/>
    <w:rsid w:val="001605B6"/>
    <w:rsid w:val="00172C65"/>
    <w:rsid w:val="00173EE3"/>
    <w:rsid w:val="00186751"/>
    <w:rsid w:val="00186AFF"/>
    <w:rsid w:val="001971FE"/>
    <w:rsid w:val="001A56E5"/>
    <w:rsid w:val="001B16B8"/>
    <w:rsid w:val="001B28DC"/>
    <w:rsid w:val="001B3A40"/>
    <w:rsid w:val="001B4039"/>
    <w:rsid w:val="001D5F16"/>
    <w:rsid w:val="00201CA6"/>
    <w:rsid w:val="0022737F"/>
    <w:rsid w:val="002755BA"/>
    <w:rsid w:val="00276649"/>
    <w:rsid w:val="00277F1C"/>
    <w:rsid w:val="002A434D"/>
    <w:rsid w:val="002B004E"/>
    <w:rsid w:val="002B1BAD"/>
    <w:rsid w:val="002C3FF0"/>
    <w:rsid w:val="002C47D4"/>
    <w:rsid w:val="003137A8"/>
    <w:rsid w:val="00316AA2"/>
    <w:rsid w:val="0033547F"/>
    <w:rsid w:val="003B31E6"/>
    <w:rsid w:val="003B7726"/>
    <w:rsid w:val="003C18BC"/>
    <w:rsid w:val="004366A8"/>
    <w:rsid w:val="00464900"/>
    <w:rsid w:val="004A1E10"/>
    <w:rsid w:val="00502BA7"/>
    <w:rsid w:val="005162F1"/>
    <w:rsid w:val="00523EDB"/>
    <w:rsid w:val="00531598"/>
    <w:rsid w:val="00535153"/>
    <w:rsid w:val="0054133D"/>
    <w:rsid w:val="00554F82"/>
    <w:rsid w:val="0056390D"/>
    <w:rsid w:val="005719B0"/>
    <w:rsid w:val="005768C9"/>
    <w:rsid w:val="005C1A92"/>
    <w:rsid w:val="005D10D6"/>
    <w:rsid w:val="005D2C98"/>
    <w:rsid w:val="005E168C"/>
    <w:rsid w:val="005E68D0"/>
    <w:rsid w:val="006732C8"/>
    <w:rsid w:val="006856CF"/>
    <w:rsid w:val="006B4FFA"/>
    <w:rsid w:val="006B7C2F"/>
    <w:rsid w:val="006B7FB1"/>
    <w:rsid w:val="0070654E"/>
    <w:rsid w:val="007806A5"/>
    <w:rsid w:val="00794324"/>
    <w:rsid w:val="007A09B1"/>
    <w:rsid w:val="00816E08"/>
    <w:rsid w:val="008219E5"/>
    <w:rsid w:val="00855E3A"/>
    <w:rsid w:val="00857F28"/>
    <w:rsid w:val="00897431"/>
    <w:rsid w:val="008A3F0F"/>
    <w:rsid w:val="00906B3D"/>
    <w:rsid w:val="00922CB9"/>
    <w:rsid w:val="00945366"/>
    <w:rsid w:val="0095255D"/>
    <w:rsid w:val="009D4292"/>
    <w:rsid w:val="009E17CA"/>
    <w:rsid w:val="009E5CD9"/>
    <w:rsid w:val="009F04D4"/>
    <w:rsid w:val="00A035D6"/>
    <w:rsid w:val="00A26421"/>
    <w:rsid w:val="00A33A16"/>
    <w:rsid w:val="00A4293B"/>
    <w:rsid w:val="00A45A8A"/>
    <w:rsid w:val="00A67D50"/>
    <w:rsid w:val="00A8691A"/>
    <w:rsid w:val="00AA2A86"/>
    <w:rsid w:val="00AC1946"/>
    <w:rsid w:val="00AE22CA"/>
    <w:rsid w:val="00B0638F"/>
    <w:rsid w:val="00B340E7"/>
    <w:rsid w:val="00B40063"/>
    <w:rsid w:val="00B41F61"/>
    <w:rsid w:val="00B47580"/>
    <w:rsid w:val="00B515B6"/>
    <w:rsid w:val="00B710A4"/>
    <w:rsid w:val="00B75EB1"/>
    <w:rsid w:val="00BA46E6"/>
    <w:rsid w:val="00BD22F9"/>
    <w:rsid w:val="00BE4781"/>
    <w:rsid w:val="00C00BE3"/>
    <w:rsid w:val="00C01160"/>
    <w:rsid w:val="00C06239"/>
    <w:rsid w:val="00C129B5"/>
    <w:rsid w:val="00C239BD"/>
    <w:rsid w:val="00C314F3"/>
    <w:rsid w:val="00C36FF4"/>
    <w:rsid w:val="00C56C72"/>
    <w:rsid w:val="00C8537B"/>
    <w:rsid w:val="00CA1EFF"/>
    <w:rsid w:val="00CA6457"/>
    <w:rsid w:val="00CF5396"/>
    <w:rsid w:val="00D05E40"/>
    <w:rsid w:val="00D17F2E"/>
    <w:rsid w:val="00D23C0B"/>
    <w:rsid w:val="00D277AB"/>
    <w:rsid w:val="00D30354"/>
    <w:rsid w:val="00D85F0A"/>
    <w:rsid w:val="00DD7934"/>
    <w:rsid w:val="00DE09A4"/>
    <w:rsid w:val="00DE4043"/>
    <w:rsid w:val="00DF42A0"/>
    <w:rsid w:val="00E030BE"/>
    <w:rsid w:val="00E06A28"/>
    <w:rsid w:val="00E10F34"/>
    <w:rsid w:val="00E260C8"/>
    <w:rsid w:val="00E271A0"/>
    <w:rsid w:val="00E277D9"/>
    <w:rsid w:val="00E45B01"/>
    <w:rsid w:val="00E46C51"/>
    <w:rsid w:val="00E5154D"/>
    <w:rsid w:val="00E66E2D"/>
    <w:rsid w:val="00E72229"/>
    <w:rsid w:val="00E769FE"/>
    <w:rsid w:val="00E8178B"/>
    <w:rsid w:val="00EA2CBE"/>
    <w:rsid w:val="00ED7E1C"/>
    <w:rsid w:val="00F01FF5"/>
    <w:rsid w:val="00F03FFF"/>
    <w:rsid w:val="00F07729"/>
    <w:rsid w:val="00F176E9"/>
    <w:rsid w:val="00F32FEE"/>
    <w:rsid w:val="00F73B8C"/>
    <w:rsid w:val="00FB10BB"/>
    <w:rsid w:val="00FE2E0A"/>
    <w:rsid w:val="00FF07C4"/>
    <w:rsid w:val="0ADB022D"/>
    <w:rsid w:val="15A537DF"/>
    <w:rsid w:val="19987A50"/>
    <w:rsid w:val="43576E92"/>
    <w:rsid w:val="4CAB4711"/>
    <w:rsid w:val="51B41A2D"/>
    <w:rsid w:val="553C40C4"/>
    <w:rsid w:val="5A2B1A2E"/>
    <w:rsid w:val="63C42FF6"/>
    <w:rsid w:val="66824FD8"/>
    <w:rsid w:val="75D263F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semiHidden="0"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7">
    <w:name w:val="Default Paragraph Font"/>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8">
    <w:name w:val="Strong"/>
    <w:qFormat/>
    <w:uiPriority w:val="99"/>
    <w:rPr>
      <w:rFonts w:cs="Times New Roman"/>
      <w:b/>
      <w:bCs/>
    </w:rPr>
  </w:style>
  <w:style w:type="character" w:styleId="19">
    <w:name w:val="Emphasis"/>
    <w:qFormat/>
    <w:uiPriority w:val="99"/>
    <w:rPr>
      <w:rFonts w:ascii="Calibri" w:hAnsi="Calibri" w:cs="Times New Roman"/>
      <w:b/>
      <w:i/>
      <w:iCs/>
    </w:rPr>
  </w:style>
  <w:style w:type="character" w:styleId="20">
    <w:name w:val="Hyperlink"/>
    <w:qFormat/>
    <w:locked/>
    <w:uiPriority w:val="99"/>
    <w:rPr>
      <w:rFonts w:cs="Times New Roman"/>
      <w:color w:val="0000FF"/>
      <w:u w:val="single"/>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5"/>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Subtle Emphasis1"/>
    <w:qFormat/>
    <w:uiPriority w:val="99"/>
    <w:rPr>
      <w:i/>
      <w:color w:val="595959"/>
    </w:rPr>
  </w:style>
  <w:style w:type="character" w:customStyle="1" w:styleId="42">
    <w:name w:val="Intense Emphasis1"/>
    <w:qFormat/>
    <w:uiPriority w:val="99"/>
    <w:rPr>
      <w:rFonts w:cs="Times New Roman"/>
      <w:b/>
      <w:i/>
      <w:sz w:val="24"/>
      <w:szCs w:val="24"/>
      <w:u w:val="single"/>
    </w:rPr>
  </w:style>
  <w:style w:type="character" w:customStyle="1" w:styleId="43">
    <w:name w:val="Subtle Reference1"/>
    <w:qFormat/>
    <w:uiPriority w:val="99"/>
    <w:rPr>
      <w:rFonts w:cs="Times New Roman"/>
      <w:sz w:val="24"/>
      <w:szCs w:val="24"/>
      <w:u w:val="single"/>
    </w:rPr>
  </w:style>
  <w:style w:type="character" w:customStyle="1" w:styleId="44">
    <w:name w:val="Intense Reference1"/>
    <w:qFormat/>
    <w:uiPriority w:val="99"/>
    <w:rPr>
      <w:rFonts w:cs="Times New Roman"/>
      <w:b/>
      <w:sz w:val="24"/>
      <w:u w:val="single"/>
    </w:rPr>
  </w:style>
  <w:style w:type="character" w:customStyle="1" w:styleId="45">
    <w:name w:val="Book Title1"/>
    <w:uiPriority w:val="99"/>
    <w:rPr>
      <w:rFonts w:ascii="Cambria" w:hAnsi="Cambria" w:eastAsia="宋体" w:cs="Times New Roman"/>
      <w:b/>
      <w:i/>
      <w:sz w:val="24"/>
      <w:szCs w:val="24"/>
    </w:rPr>
  </w:style>
  <w:style w:type="paragraph" w:customStyle="1" w:styleId="46">
    <w:name w:val="TOC Heading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318</Words>
  <Characters>1814</Characters>
  <Lines>15</Lines>
  <Paragraphs>4</Paragraphs>
  <TotalTime>35</TotalTime>
  <ScaleCrop>false</ScaleCrop>
  <LinksUpToDate>false</LinksUpToDate>
  <CharactersWithSpaces>2128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2019-01-15T04:48:00Z</dcterms:created>
  <dc:creator>赵 恺（预算处）</dc:creator>
  <cp:lastModifiedBy>64666</cp:lastModifiedBy>
  <cp:lastPrinted>2019-01-13T12:20:00Z</cp:lastPrinted>
  <dcterms:modified xsi:type="dcterms:W3CDTF">2024-08-29T04:24:44Z</dcterms:modified>
  <dc:title>附件1：</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