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ascii="仿宋" w:hAnsi="仿宋" w:eastAsia="仿宋" w:cs="宋体"/>
          <w:kern w:val="0"/>
          <w:sz w:val="32"/>
          <w:szCs w:val="32"/>
        </w:rPr>
        <w:t>1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度</w:t>
      </w:r>
      <w:r>
        <w:rPr>
          <w:rFonts w:hint="eastAsia" w:hAnsi="宋体" w:eastAsia="仿宋_GB2312" w:cs="宋体"/>
          <w:kern w:val="0"/>
          <w:sz w:val="36"/>
          <w:szCs w:val="36"/>
        </w:rPr>
        <w:t>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项目名称：义务兵优待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实施单位（公章）：玛纳斯县民政局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主管部门（公章）：玛纳斯县民政局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项目负责人（签章）：程新梅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 xml:space="preserve">   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9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</w:t>
      </w:r>
      <w:r>
        <w:rPr>
          <w:rFonts w:hint="eastAsia" w:hAnsi="宋体" w:eastAsia="仿宋_GB2312" w:cs="宋体"/>
          <w:kern w:val="0"/>
          <w:sz w:val="36"/>
          <w:szCs w:val="36"/>
        </w:rPr>
        <w:t>月1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9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320" w:firstLineChars="1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主管全县拥军优属、优待抚恤和烈士褒扬工作；贯彻执行国家有关优抚对象和国家机关工作人员优待、抚恤条例、标准和办法，并负责组织监督实施；负责退伍义务兵、转业士官和军队离退休干部（含武警）、退休士官、无军籍退休、退职职工的接受安置及其相关培训工作；负责全县复员退伍军人矛盾纠纷排查化解工作；指导全县军地两用人才开发使用工作；参与征兵工作；承担全县双拥工作领导小组的具体工作。</w:t>
      </w:r>
    </w:p>
    <w:p>
      <w:pPr>
        <w:spacing w:line="540" w:lineRule="exact"/>
        <w:ind w:firstLine="313" w:firstLineChars="100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（二）项目预算绩效目标设定情况</w:t>
      </w:r>
    </w:p>
    <w:p>
      <w:pPr>
        <w:spacing w:line="600" w:lineRule="exact"/>
        <w:ind w:left="210" w:leftChars="100" w:firstLine="320" w:firstLineChars="100"/>
        <w:rPr>
          <w:rFonts w:ascii="仿宋_GB2312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>2018</w:t>
      </w:r>
      <w:r>
        <w:rPr>
          <w:rFonts w:hint="eastAsia" w:ascii="仿宋_GB2312" w:hAnsi="宋体" w:eastAsia="仿宋_GB2312"/>
          <w:sz w:val="32"/>
          <w:szCs w:val="32"/>
        </w:rPr>
        <w:t>年我县有义务</w:t>
      </w:r>
      <w:r>
        <w:rPr>
          <w:rFonts w:ascii="仿宋_GB2312" w:hAnsi="宋体" w:eastAsia="仿宋_GB2312"/>
          <w:sz w:val="32"/>
          <w:szCs w:val="32"/>
        </w:rPr>
        <w:t>102</w:t>
      </w:r>
      <w:r>
        <w:rPr>
          <w:rFonts w:hint="eastAsia" w:ascii="仿宋_GB2312" w:hAnsi="宋体" w:eastAsia="仿宋_GB2312"/>
          <w:sz w:val="32"/>
          <w:szCs w:val="32"/>
        </w:rPr>
        <w:t>人，（</w:t>
      </w:r>
      <w:r>
        <w:rPr>
          <w:rFonts w:ascii="仿宋_GB2312" w:hAnsi="宋体" w:eastAsia="仿宋_GB2312"/>
          <w:sz w:val="32"/>
          <w:szCs w:val="32"/>
        </w:rPr>
        <w:t>2016</w:t>
      </w:r>
      <w:r>
        <w:rPr>
          <w:rFonts w:hint="eastAsia" w:ascii="仿宋_GB2312" w:hAnsi="宋体" w:eastAsia="仿宋_GB2312"/>
          <w:sz w:val="32"/>
          <w:szCs w:val="32"/>
        </w:rPr>
        <w:t>年有义务兵</w:t>
      </w:r>
      <w:r>
        <w:rPr>
          <w:rFonts w:ascii="仿宋_GB2312" w:hAnsi="宋体" w:eastAsia="仿宋_GB2312"/>
          <w:sz w:val="32"/>
          <w:szCs w:val="32"/>
        </w:rPr>
        <w:t>45</w:t>
      </w:r>
      <w:r>
        <w:rPr>
          <w:rFonts w:hint="eastAsia" w:ascii="仿宋_GB2312" w:hAnsi="宋体" w:eastAsia="仿宋_GB2312"/>
          <w:sz w:val="32"/>
          <w:szCs w:val="32"/>
        </w:rPr>
        <w:t>人，</w:t>
      </w:r>
      <w:r>
        <w:rPr>
          <w:rFonts w:ascii="仿宋_GB2312" w:hAnsi="宋体" w:eastAsia="仿宋_GB2312"/>
          <w:sz w:val="32"/>
          <w:szCs w:val="32"/>
        </w:rPr>
        <w:t>2017</w:t>
      </w:r>
      <w:r>
        <w:rPr>
          <w:rFonts w:hint="eastAsia" w:ascii="仿宋_GB2312" w:hAnsi="宋体" w:eastAsia="仿宋_GB2312"/>
          <w:sz w:val="32"/>
          <w:szCs w:val="32"/>
        </w:rPr>
        <w:t>年义务兵</w:t>
      </w:r>
      <w:r>
        <w:rPr>
          <w:rFonts w:ascii="仿宋_GB2312" w:hAnsi="宋体" w:eastAsia="仿宋_GB2312"/>
          <w:sz w:val="32"/>
          <w:szCs w:val="32"/>
        </w:rPr>
        <w:t>57</w:t>
      </w:r>
      <w:r>
        <w:rPr>
          <w:rFonts w:hint="eastAsia" w:ascii="仿宋_GB2312" w:hAnsi="宋体" w:eastAsia="仿宋_GB2312"/>
          <w:sz w:val="32"/>
          <w:szCs w:val="32"/>
        </w:rPr>
        <w:t>人）</w:t>
      </w:r>
      <w:r>
        <w:rPr>
          <w:rFonts w:hint="eastAsia" w:ascii="仿宋_GB2312" w:eastAsia="仿宋_GB2312"/>
          <w:sz w:val="32"/>
          <w:szCs w:val="32"/>
        </w:rPr>
        <w:t>，八一建军节为</w:t>
      </w:r>
      <w:r>
        <w:rPr>
          <w:rFonts w:ascii="仿宋_GB2312" w:eastAsia="仿宋_GB2312"/>
          <w:sz w:val="32"/>
          <w:szCs w:val="32"/>
        </w:rPr>
        <w:t>102</w:t>
      </w:r>
      <w:r>
        <w:rPr>
          <w:rFonts w:hint="eastAsia" w:ascii="仿宋_GB2312" w:eastAsia="仿宋_GB2312"/>
          <w:sz w:val="32"/>
          <w:szCs w:val="32"/>
        </w:rPr>
        <w:t>个义务兵家庭发放义务兵优待金</w:t>
      </w:r>
      <w:r>
        <w:rPr>
          <w:rFonts w:ascii="仿宋_GB2312" w:eastAsia="仿宋_GB2312"/>
          <w:sz w:val="32"/>
          <w:szCs w:val="32"/>
        </w:rPr>
        <w:t>104</w:t>
      </w:r>
      <w:r>
        <w:rPr>
          <w:rFonts w:hint="eastAsia" w:ascii="仿宋_GB2312" w:eastAsia="仿宋_GB2312"/>
          <w:sz w:val="32"/>
          <w:szCs w:val="32"/>
        </w:rPr>
        <w:t>万（其中补发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人）。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579" w:firstLineChars="181"/>
        <w:rPr>
          <w:rFonts w:ascii="仿宋_GB2312" w:hAnsi="Lucida Sans Unicode" w:eastAsia="仿宋_GB2312" w:cs="Lucida Sans Unicode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2018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hAnsi="Lucida Sans Unicode" w:eastAsia="仿宋_GB2312" w:cs="Lucida Sans Unicode"/>
          <w:sz w:val="32"/>
          <w:szCs w:val="32"/>
        </w:rPr>
        <w:t>全县义务兵共计</w:t>
      </w:r>
      <w:r>
        <w:rPr>
          <w:rFonts w:ascii="仿宋_GB2312" w:hAnsi="Lucida Sans Unicode" w:eastAsia="仿宋_GB2312" w:cs="Lucida Sans Unicode"/>
          <w:sz w:val="32"/>
          <w:szCs w:val="32"/>
        </w:rPr>
        <w:t>102</w:t>
      </w:r>
      <w:r>
        <w:rPr>
          <w:rFonts w:hint="eastAsia" w:ascii="仿宋_GB2312" w:hAnsi="Lucida Sans Unicode" w:eastAsia="仿宋_GB2312" w:cs="Lucida Sans Unicode"/>
          <w:sz w:val="32"/>
          <w:szCs w:val="32"/>
        </w:rPr>
        <w:t>人，财政拨义务优待金</w:t>
      </w:r>
      <w:r>
        <w:rPr>
          <w:rFonts w:ascii="仿宋_GB2312" w:hAnsi="Lucida Sans Unicode" w:eastAsia="仿宋_GB2312" w:cs="Lucida Sans Unicode"/>
          <w:sz w:val="32"/>
          <w:szCs w:val="32"/>
        </w:rPr>
        <w:t>104</w:t>
      </w:r>
      <w:r>
        <w:rPr>
          <w:rFonts w:hint="eastAsia" w:ascii="仿宋_GB2312" w:hAnsi="Lucida Sans Unicode" w:eastAsia="仿宋_GB2312" w:cs="Lucida Sans Unicode"/>
          <w:sz w:val="32"/>
          <w:szCs w:val="32"/>
        </w:rPr>
        <w:t>万元，全年发放义务兵家庭优待金</w:t>
      </w:r>
      <w:r>
        <w:rPr>
          <w:rFonts w:ascii="仿宋_GB2312" w:hAnsi="Lucida Sans Unicode" w:eastAsia="仿宋_GB2312" w:cs="Lucida Sans Unicode"/>
          <w:sz w:val="32"/>
          <w:szCs w:val="32"/>
        </w:rPr>
        <w:t>104</w:t>
      </w:r>
      <w:r>
        <w:rPr>
          <w:rFonts w:hint="eastAsia" w:ascii="仿宋_GB2312" w:hAnsi="Lucida Sans Unicode" w:eastAsia="仿宋_GB2312" w:cs="Lucida Sans Unicode"/>
          <w:sz w:val="32"/>
          <w:szCs w:val="32"/>
        </w:rPr>
        <w:t>万元。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440" w:lineRule="exact"/>
        <w:ind w:left="624" w:leftChars="297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hAnsi="Lucida Sans Unicode" w:eastAsia="仿宋_GB2312" w:cs="Lucida Sans Unicode"/>
          <w:sz w:val="32"/>
          <w:szCs w:val="32"/>
        </w:rPr>
        <w:t>2018</w:t>
      </w:r>
      <w:r>
        <w:rPr>
          <w:rFonts w:hint="eastAsia" w:ascii="仿宋_GB2312" w:hAnsi="Lucida Sans Unicode" w:eastAsia="仿宋_GB2312" w:cs="Lucida Sans Unicode"/>
          <w:sz w:val="32"/>
          <w:szCs w:val="32"/>
        </w:rPr>
        <w:t>年义务兵优待金支出</w:t>
      </w:r>
      <w:r>
        <w:rPr>
          <w:rFonts w:ascii="仿宋_GB2312" w:hAnsi="Lucida Sans Unicode" w:eastAsia="仿宋_GB2312" w:cs="Lucida Sans Unicode"/>
          <w:sz w:val="32"/>
          <w:szCs w:val="32"/>
        </w:rPr>
        <w:t>104</w:t>
      </w:r>
      <w:r>
        <w:rPr>
          <w:rFonts w:hint="eastAsia" w:ascii="仿宋_GB2312" w:hAnsi="Lucida Sans Unicode" w:eastAsia="仿宋_GB2312" w:cs="Lucida Sans Unicode"/>
          <w:sz w:val="32"/>
          <w:szCs w:val="32"/>
        </w:rPr>
        <w:t>万元，以打卡形式一次性发放。主要使用情况：春节慰问</w:t>
      </w:r>
      <w:r>
        <w:rPr>
          <w:rFonts w:hint="eastAsia" w:ascii="仿宋_GB2312" w:eastAsia="仿宋_GB2312"/>
          <w:color w:val="000000"/>
          <w:sz w:val="32"/>
          <w:szCs w:val="32"/>
        </w:rPr>
        <w:t>义务兵家属</w:t>
      </w:r>
      <w:r>
        <w:rPr>
          <w:rFonts w:ascii="仿宋_GB2312" w:eastAsia="仿宋_GB2312"/>
          <w:color w:val="000000"/>
          <w:sz w:val="32"/>
          <w:szCs w:val="32"/>
        </w:rPr>
        <w:t>98</w:t>
      </w:r>
      <w:r>
        <w:rPr>
          <w:rFonts w:hint="eastAsia" w:ascii="仿宋_GB2312" w:eastAsia="仿宋_GB2312"/>
          <w:color w:val="000000"/>
          <w:sz w:val="32"/>
          <w:szCs w:val="32"/>
        </w:rPr>
        <w:t>人，慰问物品床上四件套</w:t>
      </w:r>
      <w:r>
        <w:rPr>
          <w:rFonts w:ascii="仿宋_GB2312" w:eastAsia="仿宋_GB2312"/>
          <w:color w:val="000000"/>
          <w:sz w:val="32"/>
          <w:szCs w:val="32"/>
        </w:rPr>
        <w:t>300</w:t>
      </w:r>
      <w:r>
        <w:rPr>
          <w:rFonts w:hint="eastAsia" w:ascii="仿宋_GB2312" w:eastAsia="仿宋_GB2312"/>
          <w:color w:val="000000"/>
          <w:sz w:val="32"/>
          <w:szCs w:val="32"/>
        </w:rPr>
        <w:t>元，慰问金额合计</w:t>
      </w:r>
      <w:r>
        <w:rPr>
          <w:rFonts w:ascii="仿宋_GB2312" w:eastAsia="仿宋_GB2312"/>
          <w:bCs/>
          <w:color w:val="000000"/>
          <w:sz w:val="32"/>
          <w:szCs w:val="32"/>
        </w:rPr>
        <w:t>29400</w:t>
      </w:r>
      <w:r>
        <w:rPr>
          <w:rFonts w:hint="eastAsia" w:ascii="仿宋_GB2312" w:eastAsia="仿宋_GB2312"/>
          <w:color w:val="000000"/>
          <w:sz w:val="32"/>
          <w:szCs w:val="32"/>
        </w:rPr>
        <w:t>元。八一建军节慰问现役军人家属</w:t>
      </w:r>
    </w:p>
    <w:p>
      <w:pPr>
        <w:spacing w:line="540" w:lineRule="exact"/>
        <w:ind w:firstLine="470" w:firstLineChars="150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564" w:firstLineChars="181"/>
        <w:rPr>
          <w:rStyle w:val="17"/>
          <w:rFonts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7"/>
          <w:rFonts w:hint="eastAsia" w:ascii="仿宋_GB2312" w:hAnsi="仿宋" w:eastAsia="仿宋_GB2312"/>
          <w:b w:val="0"/>
          <w:spacing w:val="-4"/>
          <w:sz w:val="32"/>
          <w:szCs w:val="32"/>
        </w:rPr>
        <w:t>在资金的使用上，严格按照上级拨付资金的使用范围，没有存在挪用或超标准开支的情况。在财务管理上，严格按照要求进行资金分配支出，会计核算规范。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无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17"/>
          <w:rFonts w:ascii="黑体" w:hAnsi="黑体" w:eastAsia="黑体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7"/>
          <w:rFonts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无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无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无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《玛纳斯县财政项目支出绩效自评表》</w:t>
      </w: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9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1751" w:firstLineChars="545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2018</w:t>
            </w: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度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4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kern w:val="0"/>
                <w:sz w:val="24"/>
              </w:rPr>
              <w:t>义务兵优待</w:t>
            </w: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kern w:val="0"/>
                <w:sz w:val="24"/>
              </w:rPr>
              <w:t>玛纳斯县民政局</w:t>
            </w: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104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104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104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104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spacing w:line="600" w:lineRule="exact"/>
              <w:ind w:left="210" w:leftChars="100" w:firstLine="240" w:firstLineChars="100"/>
              <w:rPr>
                <w:rFonts w:ascii="仿宋_GB2312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2018</w:t>
            </w:r>
            <w:r>
              <w:rPr>
                <w:rFonts w:hint="eastAsia" w:ascii="仿宋_GB2312" w:hAnsi="宋体" w:eastAsia="仿宋_GB2312"/>
                <w:sz w:val="24"/>
              </w:rPr>
              <w:t>年我县有义务</w:t>
            </w:r>
            <w:r>
              <w:rPr>
                <w:rFonts w:ascii="仿宋_GB2312" w:hAnsi="宋体" w:eastAsia="仿宋_GB2312"/>
                <w:sz w:val="24"/>
              </w:rPr>
              <w:t>102</w:t>
            </w:r>
            <w:r>
              <w:rPr>
                <w:rFonts w:hint="eastAsia" w:ascii="仿宋_GB2312" w:hAnsi="宋体" w:eastAsia="仿宋_GB2312"/>
                <w:sz w:val="24"/>
              </w:rPr>
              <w:t>人，（</w:t>
            </w:r>
            <w:r>
              <w:rPr>
                <w:rFonts w:ascii="仿宋_GB2312" w:hAnsi="宋体" w:eastAsia="仿宋_GB2312"/>
                <w:sz w:val="24"/>
              </w:rPr>
              <w:t>2016</w:t>
            </w:r>
            <w:r>
              <w:rPr>
                <w:rFonts w:hint="eastAsia" w:ascii="仿宋_GB2312" w:hAnsi="宋体" w:eastAsia="仿宋_GB2312"/>
                <w:sz w:val="24"/>
              </w:rPr>
              <w:t>年有义务兵</w:t>
            </w:r>
            <w:r>
              <w:rPr>
                <w:rFonts w:ascii="仿宋_GB2312" w:hAnsi="宋体" w:eastAsia="仿宋_GB2312"/>
                <w:sz w:val="24"/>
              </w:rPr>
              <w:t>45</w:t>
            </w:r>
            <w:r>
              <w:rPr>
                <w:rFonts w:hint="eastAsia" w:ascii="仿宋_GB2312" w:hAnsi="宋体" w:eastAsia="仿宋_GB2312"/>
                <w:sz w:val="24"/>
              </w:rPr>
              <w:t>人，</w:t>
            </w:r>
            <w:r>
              <w:rPr>
                <w:rFonts w:ascii="仿宋_GB2312" w:hAnsi="宋体" w:eastAsia="仿宋_GB2312"/>
                <w:sz w:val="24"/>
              </w:rPr>
              <w:t>2017</w:t>
            </w:r>
            <w:r>
              <w:rPr>
                <w:rFonts w:hint="eastAsia" w:ascii="仿宋_GB2312" w:hAnsi="宋体" w:eastAsia="仿宋_GB2312"/>
                <w:sz w:val="24"/>
              </w:rPr>
              <w:t>年义务兵</w:t>
            </w:r>
            <w:r>
              <w:rPr>
                <w:rFonts w:ascii="仿宋_GB2312" w:hAnsi="宋体" w:eastAsia="仿宋_GB2312"/>
                <w:sz w:val="24"/>
              </w:rPr>
              <w:t>57</w:t>
            </w:r>
            <w:r>
              <w:rPr>
                <w:rFonts w:hint="eastAsia" w:ascii="仿宋_GB2312" w:hAnsi="宋体" w:eastAsia="仿宋_GB2312"/>
                <w:sz w:val="24"/>
              </w:rPr>
              <w:t>人）</w:t>
            </w:r>
            <w:r>
              <w:rPr>
                <w:rFonts w:hint="eastAsia" w:ascii="仿宋_GB2312" w:eastAsia="仿宋_GB2312"/>
                <w:sz w:val="24"/>
              </w:rPr>
              <w:t>，八一建军节为</w:t>
            </w:r>
            <w:r>
              <w:rPr>
                <w:rFonts w:ascii="仿宋_GB2312" w:eastAsia="仿宋_GB2312"/>
                <w:sz w:val="24"/>
              </w:rPr>
              <w:t>102</w:t>
            </w:r>
            <w:r>
              <w:rPr>
                <w:rFonts w:hint="eastAsia" w:ascii="仿宋_GB2312" w:eastAsia="仿宋_GB2312"/>
                <w:sz w:val="24"/>
              </w:rPr>
              <w:t>个义务兵家庭发放义务兵优待金</w:t>
            </w:r>
            <w:r>
              <w:rPr>
                <w:rFonts w:ascii="仿宋_GB2312" w:eastAsia="仿宋_GB2312"/>
                <w:sz w:val="24"/>
              </w:rPr>
              <w:t>104</w:t>
            </w:r>
            <w:r>
              <w:rPr>
                <w:rFonts w:hint="eastAsia" w:ascii="仿宋_GB2312" w:eastAsia="仿宋_GB2312"/>
                <w:sz w:val="24"/>
              </w:rPr>
              <w:t>万（其中补发</w:t>
            </w:r>
            <w:r>
              <w:rPr>
                <w:rFonts w:ascii="仿宋_GB2312" w:eastAsia="仿宋_GB2312"/>
                <w:sz w:val="24"/>
              </w:rPr>
              <w:t>2</w:t>
            </w:r>
            <w:r>
              <w:rPr>
                <w:rFonts w:hint="eastAsia" w:ascii="仿宋_GB2312" w:eastAsia="仿宋_GB2312"/>
                <w:sz w:val="24"/>
              </w:rPr>
              <w:t>人）。</w:t>
            </w:r>
          </w:p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spacing w:line="540" w:lineRule="exact"/>
              <w:ind w:firstLine="380" w:firstLineChars="181"/>
              <w:rPr>
                <w:rFonts w:ascii="仿宋_GB2312" w:hAnsi="Lucida Sans Unicode" w:eastAsia="仿宋_GB2312" w:cs="Lucida Sans Unicode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。</w:t>
            </w:r>
          </w:p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：义务兵优待人数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110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人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：义务兵慰问人数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110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人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102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：义务兵优待金是否按时发放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按时发放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已落实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：保证义务兵生活有效保障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已落实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：促进社会和谐稳定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进一步完善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已落实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：工作满意度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﹪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﹪　</w:t>
            </w:r>
          </w:p>
        </w:tc>
      </w:tr>
    </w:tbl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06205"/>
    <w:rsid w:val="000362AE"/>
    <w:rsid w:val="00056465"/>
    <w:rsid w:val="000A69A0"/>
    <w:rsid w:val="000B1A14"/>
    <w:rsid w:val="00121AE4"/>
    <w:rsid w:val="00121B58"/>
    <w:rsid w:val="00134762"/>
    <w:rsid w:val="00146AAD"/>
    <w:rsid w:val="00160EDE"/>
    <w:rsid w:val="001B3A40"/>
    <w:rsid w:val="001B5DDA"/>
    <w:rsid w:val="001D2D57"/>
    <w:rsid w:val="001F083D"/>
    <w:rsid w:val="0027202D"/>
    <w:rsid w:val="00281FE9"/>
    <w:rsid w:val="002E481B"/>
    <w:rsid w:val="0035463D"/>
    <w:rsid w:val="00357E5D"/>
    <w:rsid w:val="003614E3"/>
    <w:rsid w:val="00367FA5"/>
    <w:rsid w:val="003A3BF0"/>
    <w:rsid w:val="003B4DCF"/>
    <w:rsid w:val="003C18BC"/>
    <w:rsid w:val="0040361C"/>
    <w:rsid w:val="00406161"/>
    <w:rsid w:val="00411A97"/>
    <w:rsid w:val="00415FF2"/>
    <w:rsid w:val="00432BEB"/>
    <w:rsid w:val="004366A8"/>
    <w:rsid w:val="00460215"/>
    <w:rsid w:val="00464900"/>
    <w:rsid w:val="0047248A"/>
    <w:rsid w:val="004B4F1D"/>
    <w:rsid w:val="004C3DD3"/>
    <w:rsid w:val="004E570B"/>
    <w:rsid w:val="00502BA7"/>
    <w:rsid w:val="00503828"/>
    <w:rsid w:val="005067A4"/>
    <w:rsid w:val="005162F1"/>
    <w:rsid w:val="005342E3"/>
    <w:rsid w:val="00535153"/>
    <w:rsid w:val="00554F82"/>
    <w:rsid w:val="0056390D"/>
    <w:rsid w:val="005719B0"/>
    <w:rsid w:val="005D0F7C"/>
    <w:rsid w:val="005D10D6"/>
    <w:rsid w:val="005F5B02"/>
    <w:rsid w:val="006000E5"/>
    <w:rsid w:val="0061775F"/>
    <w:rsid w:val="006830A1"/>
    <w:rsid w:val="006F5A9E"/>
    <w:rsid w:val="006F64BB"/>
    <w:rsid w:val="00712972"/>
    <w:rsid w:val="007447EB"/>
    <w:rsid w:val="007515FC"/>
    <w:rsid w:val="007806A5"/>
    <w:rsid w:val="007A0884"/>
    <w:rsid w:val="007A1526"/>
    <w:rsid w:val="007D13C3"/>
    <w:rsid w:val="007D5475"/>
    <w:rsid w:val="00804373"/>
    <w:rsid w:val="00855E3A"/>
    <w:rsid w:val="008B2ABB"/>
    <w:rsid w:val="008D4B5D"/>
    <w:rsid w:val="00922CB9"/>
    <w:rsid w:val="009A544A"/>
    <w:rsid w:val="009B16FF"/>
    <w:rsid w:val="009B7C0B"/>
    <w:rsid w:val="009E5CD9"/>
    <w:rsid w:val="009F3442"/>
    <w:rsid w:val="009F7CC6"/>
    <w:rsid w:val="00A26421"/>
    <w:rsid w:val="00A4293B"/>
    <w:rsid w:val="00A552D8"/>
    <w:rsid w:val="00A65EC3"/>
    <w:rsid w:val="00A67D50"/>
    <w:rsid w:val="00A8691A"/>
    <w:rsid w:val="00A8793B"/>
    <w:rsid w:val="00AA128A"/>
    <w:rsid w:val="00AA7B39"/>
    <w:rsid w:val="00AC1946"/>
    <w:rsid w:val="00AE5924"/>
    <w:rsid w:val="00B16CB0"/>
    <w:rsid w:val="00B32145"/>
    <w:rsid w:val="00B40063"/>
    <w:rsid w:val="00B41F61"/>
    <w:rsid w:val="00B75380"/>
    <w:rsid w:val="00B907AE"/>
    <w:rsid w:val="00BA46E6"/>
    <w:rsid w:val="00BF2CD9"/>
    <w:rsid w:val="00C04DCF"/>
    <w:rsid w:val="00C3046B"/>
    <w:rsid w:val="00C45923"/>
    <w:rsid w:val="00C474FA"/>
    <w:rsid w:val="00C56C72"/>
    <w:rsid w:val="00C633CB"/>
    <w:rsid w:val="00CA6457"/>
    <w:rsid w:val="00CE1DD7"/>
    <w:rsid w:val="00D10AA7"/>
    <w:rsid w:val="00D17D66"/>
    <w:rsid w:val="00D17F2E"/>
    <w:rsid w:val="00D30354"/>
    <w:rsid w:val="00D56982"/>
    <w:rsid w:val="00D76507"/>
    <w:rsid w:val="00DC0727"/>
    <w:rsid w:val="00DF42A0"/>
    <w:rsid w:val="00E3753A"/>
    <w:rsid w:val="00E400FD"/>
    <w:rsid w:val="00E46C51"/>
    <w:rsid w:val="00E769FE"/>
    <w:rsid w:val="00EA2CBE"/>
    <w:rsid w:val="00EB52AA"/>
    <w:rsid w:val="00F0169A"/>
    <w:rsid w:val="00F32FEE"/>
    <w:rsid w:val="00F5212B"/>
    <w:rsid w:val="00F56B0F"/>
    <w:rsid w:val="00FB10BB"/>
    <w:rsid w:val="00FB17D6"/>
    <w:rsid w:val="00FB7C81"/>
    <w:rsid w:val="00FD2B6B"/>
    <w:rsid w:val="553C40C4"/>
    <w:rsid w:val="5869087D"/>
    <w:rsid w:val="5A2B1A2E"/>
    <w:rsid w:val="63C4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0" w:semiHidden="0" w:name="Table Grid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7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8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6">
    <w:name w:val="Default Paragraph Font"/>
    <w:semiHidden/>
    <w:unhideWhenUsed/>
    <w:uiPriority w:val="1"/>
  </w:style>
  <w:style w:type="table" w:default="1" w:styleId="1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29"/>
    <w:semiHidden/>
    <w:qFormat/>
    <w:uiPriority w:val="99"/>
    <w:rPr>
      <w:sz w:val="18"/>
      <w:szCs w:val="18"/>
    </w:rPr>
  </w:style>
  <w:style w:type="paragraph" w:styleId="12">
    <w:name w:val="footer"/>
    <w:basedOn w:val="1"/>
    <w:link w:val="30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3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2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5">
    <w:name w:val="Title"/>
    <w:basedOn w:val="1"/>
    <w:next w:val="1"/>
    <w:link w:val="33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99"/>
    <w:rPr>
      <w:rFonts w:cs="Times New Roman"/>
      <w:b/>
      <w:bCs/>
    </w:rPr>
  </w:style>
  <w:style w:type="character" w:styleId="18">
    <w:name w:val="Emphasis"/>
    <w:basedOn w:val="16"/>
    <w:qFormat/>
    <w:uiPriority w:val="99"/>
    <w:rPr>
      <w:rFonts w:ascii="Calibri" w:hAnsi="Calibri" w:cs="Times New Roman"/>
      <w:b/>
      <w:i/>
      <w:iCs/>
    </w:rPr>
  </w:style>
  <w:style w:type="character" w:customStyle="1" w:styleId="20">
    <w:name w:val="标题 1 Char"/>
    <w:basedOn w:val="16"/>
    <w:link w:val="2"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1">
    <w:name w:val="标题 2 Char"/>
    <w:basedOn w:val="16"/>
    <w:link w:val="3"/>
    <w:semiHidden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2">
    <w:name w:val="标题 3 Char"/>
    <w:basedOn w:val="16"/>
    <w:link w:val="4"/>
    <w:semiHidden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3">
    <w:name w:val="标题 4 Char"/>
    <w:basedOn w:val="16"/>
    <w:link w:val="5"/>
    <w:semiHidden/>
    <w:locked/>
    <w:uiPriority w:val="99"/>
    <w:rPr>
      <w:rFonts w:cs="Times New Roman"/>
      <w:b/>
      <w:bCs/>
      <w:sz w:val="28"/>
      <w:szCs w:val="28"/>
    </w:rPr>
  </w:style>
  <w:style w:type="character" w:customStyle="1" w:styleId="24">
    <w:name w:val="标题 5 Char"/>
    <w:basedOn w:val="16"/>
    <w:link w:val="6"/>
    <w:semiHidden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5">
    <w:name w:val="标题 6 Char"/>
    <w:basedOn w:val="16"/>
    <w:link w:val="7"/>
    <w:semiHidden/>
    <w:locked/>
    <w:uiPriority w:val="99"/>
    <w:rPr>
      <w:rFonts w:cs="Times New Roman"/>
      <w:b/>
      <w:bCs/>
    </w:rPr>
  </w:style>
  <w:style w:type="character" w:customStyle="1" w:styleId="26">
    <w:name w:val="标题 7 Char"/>
    <w:basedOn w:val="16"/>
    <w:link w:val="8"/>
    <w:semiHidden/>
    <w:locked/>
    <w:uiPriority w:val="99"/>
    <w:rPr>
      <w:rFonts w:cs="Times New Roman"/>
      <w:sz w:val="24"/>
      <w:szCs w:val="24"/>
    </w:rPr>
  </w:style>
  <w:style w:type="character" w:customStyle="1" w:styleId="27">
    <w:name w:val="标题 8 Char"/>
    <w:basedOn w:val="16"/>
    <w:link w:val="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28">
    <w:name w:val="标题 9 Char"/>
    <w:basedOn w:val="16"/>
    <w:link w:val="10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29">
    <w:name w:val="批注框文本 Char"/>
    <w:basedOn w:val="16"/>
    <w:link w:val="11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0">
    <w:name w:val="页脚 Char"/>
    <w:basedOn w:val="16"/>
    <w:link w:val="12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1">
    <w:name w:val="页眉 Char"/>
    <w:basedOn w:val="16"/>
    <w:link w:val="1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2">
    <w:name w:val="副标题 Char"/>
    <w:basedOn w:val="16"/>
    <w:link w:val="14"/>
    <w:qFormat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3">
    <w:name w:val="标题 Char"/>
    <w:basedOn w:val="16"/>
    <w:link w:val="15"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styleId="34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35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36">
    <w:name w:val="Quote"/>
    <w:basedOn w:val="1"/>
    <w:next w:val="1"/>
    <w:link w:val="37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7">
    <w:name w:val="引用 Char"/>
    <w:basedOn w:val="16"/>
    <w:link w:val="36"/>
    <w:qFormat/>
    <w:locked/>
    <w:uiPriority w:val="99"/>
    <w:rPr>
      <w:rFonts w:cs="Times New Roman"/>
      <w:i/>
      <w:sz w:val="24"/>
      <w:szCs w:val="24"/>
    </w:rPr>
  </w:style>
  <w:style w:type="paragraph" w:styleId="38">
    <w:name w:val="Intense Quote"/>
    <w:basedOn w:val="1"/>
    <w:next w:val="1"/>
    <w:link w:val="39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39">
    <w:name w:val="明显引用 Char"/>
    <w:basedOn w:val="16"/>
    <w:link w:val="38"/>
    <w:qFormat/>
    <w:locked/>
    <w:uiPriority w:val="99"/>
    <w:rPr>
      <w:rFonts w:cs="Times New Roman"/>
      <w:b/>
      <w:i/>
      <w:sz w:val="24"/>
    </w:rPr>
  </w:style>
  <w:style w:type="character" w:customStyle="1" w:styleId="40">
    <w:name w:val="Subtle Emphasis1"/>
    <w:qFormat/>
    <w:uiPriority w:val="99"/>
    <w:rPr>
      <w:i/>
      <w:color w:val="595959"/>
    </w:rPr>
  </w:style>
  <w:style w:type="character" w:customStyle="1" w:styleId="41">
    <w:name w:val="Intense Emphasis1"/>
    <w:basedOn w:val="16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42">
    <w:name w:val="Subtle Reference1"/>
    <w:basedOn w:val="16"/>
    <w:uiPriority w:val="99"/>
    <w:rPr>
      <w:rFonts w:cs="Times New Roman"/>
      <w:sz w:val="24"/>
      <w:szCs w:val="24"/>
      <w:u w:val="single"/>
    </w:rPr>
  </w:style>
  <w:style w:type="character" w:customStyle="1" w:styleId="43">
    <w:name w:val="Intense Reference1"/>
    <w:basedOn w:val="16"/>
    <w:uiPriority w:val="99"/>
    <w:rPr>
      <w:rFonts w:cs="Times New Roman"/>
      <w:b/>
      <w:sz w:val="24"/>
      <w:u w:val="single"/>
    </w:rPr>
  </w:style>
  <w:style w:type="character" w:customStyle="1" w:styleId="44">
    <w:name w:val="Book Title1"/>
    <w:basedOn w:val="16"/>
    <w:qFormat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5">
    <w:name w:val="TOC Heading1"/>
    <w:basedOn w:val="2"/>
    <w:next w:val="1"/>
    <w:semiHidden/>
    <w:qFormat/>
    <w:uiPriority w:val="99"/>
    <w:pPr>
      <w:outlineLvl w:val="9"/>
    </w:pPr>
    <w:rPr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215</Words>
  <Characters>1227</Characters>
  <Lines>10</Lines>
  <Paragraphs>2</Paragraphs>
  <TotalTime>36</TotalTime>
  <ScaleCrop>false</ScaleCrop>
  <LinksUpToDate>false</LinksUpToDate>
  <CharactersWithSpaces>1440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2019-01-16T05:51:00Z</dcterms:created>
  <dc:creator>赵 恺（预算处）</dc:creator>
  <cp:lastModifiedBy>淡然一笑</cp:lastModifiedBy>
  <cp:lastPrinted>2019-01-13T12:20:00Z</cp:lastPrinted>
  <dcterms:modified xsi:type="dcterms:W3CDTF">2019-02-21T09:33:21Z</dcterms:modified>
  <dc:title>附件1：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