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600" w:lineRule="exact"/>
        <w:rPr>
          <w:rFonts w:ascii="Times New Roman" w:hAnsi="Times New Roman" w:eastAsia="仿宋" w:cs="Times New Roman"/>
          <w:sz w:val="32"/>
          <w:szCs w:val="32"/>
        </w:rPr>
      </w:pPr>
      <w:r>
        <w:rPr>
          <w:rFonts w:hint="eastAsia" w:ascii="仿宋" w:eastAsia="仿宋" w:cs="仿宋"/>
          <w:sz w:val="32"/>
          <w:szCs w:val="32"/>
        </w:rPr>
        <w:t>附件</w:t>
      </w:r>
      <w:r>
        <w:rPr>
          <w:rFonts w:ascii="仿宋" w:eastAsia="仿宋" w:cs="仿宋"/>
          <w:sz w:val="32"/>
          <w:szCs w:val="32"/>
        </w:rPr>
        <w:t>1</w:t>
      </w:r>
      <w:r>
        <w:rPr>
          <w:rFonts w:hint="eastAsia" w:ascii="仿宋" w:eastAsia="仿宋" w:cs="仿宋"/>
          <w:sz w:val="32"/>
          <w:szCs w:val="32"/>
        </w:rPr>
        <w:t>：</w:t>
      </w:r>
    </w:p>
    <w:p>
      <w:pPr>
        <w:autoSpaceDE w:val="0"/>
        <w:autoSpaceDN w:val="0"/>
        <w:adjustRightInd w:val="0"/>
        <w:spacing w:line="600" w:lineRule="exact"/>
        <w:rPr>
          <w:rFonts w:ascii="Times New Roman" w:hAnsi="Times New Roman" w:eastAsia="仿宋" w:cs="Times New Roman"/>
          <w:sz w:val="32"/>
          <w:szCs w:val="32"/>
        </w:rPr>
      </w:pPr>
    </w:p>
    <w:p>
      <w:pPr>
        <w:autoSpaceDE w:val="0"/>
        <w:autoSpaceDN w:val="0"/>
        <w:adjustRightInd w:val="0"/>
        <w:spacing w:line="600" w:lineRule="exact"/>
        <w:rPr>
          <w:rFonts w:ascii="Times New Roman" w:hAnsi="Times New Roman" w:eastAsia="仿宋" w:cs="Times New Roman"/>
          <w:sz w:val="32"/>
          <w:szCs w:val="32"/>
        </w:rPr>
      </w:pPr>
    </w:p>
    <w:p>
      <w:pPr>
        <w:autoSpaceDE w:val="0"/>
        <w:autoSpaceDN w:val="0"/>
        <w:adjustRightInd w:val="0"/>
        <w:spacing w:line="600" w:lineRule="exact"/>
        <w:rPr>
          <w:rFonts w:ascii="Times New Roman" w:hAnsi="Times New Roman" w:eastAsia="仿宋" w:cs="Times New Roman"/>
          <w:sz w:val="32"/>
          <w:szCs w:val="32"/>
        </w:rPr>
      </w:pPr>
    </w:p>
    <w:p>
      <w:pPr>
        <w:autoSpaceDE w:val="0"/>
        <w:autoSpaceDN w:val="0"/>
        <w:adjustRightInd w:val="0"/>
        <w:spacing w:line="600" w:lineRule="exact"/>
        <w:rPr>
          <w:rFonts w:ascii="Times New Roman" w:hAnsi="Times New Roman" w:eastAsia="仿宋" w:cs="Times New Roman"/>
          <w:sz w:val="32"/>
          <w:szCs w:val="32"/>
        </w:rPr>
      </w:pPr>
    </w:p>
    <w:p>
      <w:pPr>
        <w:autoSpaceDE w:val="0"/>
        <w:autoSpaceDN w:val="0"/>
        <w:adjustRightInd w:val="0"/>
        <w:spacing w:line="600" w:lineRule="exact"/>
        <w:rPr>
          <w:rFonts w:ascii="Times New Roman" w:hAnsi="Times New Roman" w:eastAsia="仿宋" w:cs="Times New Roman"/>
          <w:sz w:val="32"/>
          <w:szCs w:val="32"/>
        </w:rPr>
      </w:pPr>
    </w:p>
    <w:p>
      <w:pPr>
        <w:autoSpaceDE w:val="0"/>
        <w:autoSpaceDN w:val="0"/>
        <w:adjustRightInd w:val="0"/>
        <w:jc w:val="center"/>
        <w:rPr>
          <w:rFonts w:ascii="方正小标宋_GBK" w:hAnsi="Times New Roman" w:eastAsia="方正小标宋_GBK" w:cs="方正小标宋_GBK"/>
          <w:sz w:val="44"/>
          <w:szCs w:val="44"/>
        </w:rPr>
      </w:pPr>
      <w:r>
        <w:rPr>
          <w:rFonts w:hint="eastAsia" w:ascii="方正小标宋_GBK" w:hAnsi="Times New Roman" w:eastAsia="方正小标宋_GBK" w:cs="方正小标宋_GBK"/>
          <w:sz w:val="44"/>
          <w:szCs w:val="44"/>
        </w:rPr>
        <w:t>新疆昌吉玛纳斯县包家店镇学校</w:t>
      </w:r>
    </w:p>
    <w:p>
      <w:pPr>
        <w:autoSpaceDE w:val="0"/>
        <w:autoSpaceDN w:val="0"/>
        <w:adjustRightInd w:val="0"/>
        <w:jc w:val="center"/>
        <w:rPr>
          <w:rFonts w:ascii="Times New Roman" w:hAnsi="Times New Roman" w:eastAsia="方正小标宋_GBK" w:cs="Times New Roman"/>
          <w:sz w:val="32"/>
          <w:szCs w:val="32"/>
        </w:rPr>
      </w:pPr>
      <w:r>
        <w:rPr>
          <w:rFonts w:ascii="方正小标宋_GBK" w:hAnsi="Times New Roman" w:eastAsia="方正小标宋_GBK" w:cs="方正小标宋_GBK"/>
          <w:sz w:val="44"/>
          <w:szCs w:val="44"/>
        </w:rPr>
        <w:t>2019</w:t>
      </w:r>
      <w:r>
        <w:rPr>
          <w:rFonts w:hint="eastAsia" w:ascii="方正小标宋_GBK" w:hAnsi="Times New Roman" w:eastAsia="方正小标宋_GBK" w:cs="方正小标宋_GBK"/>
          <w:sz w:val="44"/>
          <w:szCs w:val="44"/>
        </w:rPr>
        <w:t>年度部门决算公开说明</w:t>
      </w: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rPr>
          <w:rFonts w:ascii="Times New Roman" w:hAnsi="Times New Roman" w:eastAsia="方正小标宋_GBK" w:cs="Times New Roman"/>
          <w:sz w:val="32"/>
          <w:szCs w:val="32"/>
        </w:rPr>
      </w:pPr>
    </w:p>
    <w:p>
      <w:pPr>
        <w:autoSpaceDE w:val="0"/>
        <w:autoSpaceDN w:val="0"/>
        <w:adjustRightInd w:val="0"/>
        <w:spacing w:line="600" w:lineRule="exact"/>
        <w:jc w:val="center"/>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目</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录</w:t>
      </w:r>
    </w:p>
    <w:p>
      <w:pPr>
        <w:autoSpaceDE w:val="0"/>
        <w:autoSpaceDN w:val="0"/>
        <w:adjustRightInd w:val="0"/>
        <w:spacing w:line="600" w:lineRule="exact"/>
        <w:rPr>
          <w:rFonts w:ascii="Times New Roman" w:hAnsi="Times New Roman" w:eastAsia="仿宋" w:cs="Times New Roman"/>
          <w:b/>
          <w:bCs/>
          <w:kern w:val="0"/>
          <w:sz w:val="32"/>
          <w:szCs w:val="32"/>
        </w:rPr>
      </w:pPr>
    </w:p>
    <w:p>
      <w:pPr>
        <w:autoSpaceDE w:val="0"/>
        <w:autoSpaceDN w:val="0"/>
        <w:adjustRightInd w:val="0"/>
        <w:spacing w:line="600" w:lineRule="exact"/>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第一部分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部门单位概况</w:t>
      </w:r>
    </w:p>
    <w:p>
      <w:pPr>
        <w:autoSpaceDE w:val="0"/>
        <w:autoSpaceDN w:val="0"/>
        <w:adjustRightInd w:val="0"/>
        <w:spacing w:line="600" w:lineRule="exact"/>
        <w:rPr>
          <w:rFonts w:ascii="Times New Roman" w:hAnsi="Times New Roman" w:eastAsia="仿宋" w:cs="Times New Roman"/>
          <w:kern w:val="0"/>
          <w:sz w:val="32"/>
          <w:szCs w:val="32"/>
        </w:rPr>
      </w:pPr>
      <w:r>
        <w:rPr>
          <w:rFonts w:hint="eastAsia" w:ascii="仿宋" w:hAnsi="Times New Roman" w:eastAsia="仿宋" w:cs="仿宋"/>
          <w:kern w:val="0"/>
          <w:sz w:val="32"/>
          <w:szCs w:val="32"/>
        </w:rPr>
        <w:t>一、主要职能</w:t>
      </w:r>
    </w:p>
    <w:p>
      <w:pPr>
        <w:autoSpaceDE w:val="0"/>
        <w:autoSpaceDN w:val="0"/>
        <w:adjustRightInd w:val="0"/>
        <w:spacing w:line="600" w:lineRule="exact"/>
        <w:rPr>
          <w:rFonts w:ascii="Times New Roman" w:hAnsi="Times New Roman" w:eastAsia="仿宋" w:cs="Times New Roman"/>
          <w:kern w:val="0"/>
          <w:sz w:val="32"/>
          <w:szCs w:val="32"/>
        </w:rPr>
      </w:pPr>
      <w:r>
        <w:rPr>
          <w:rFonts w:hint="eastAsia" w:ascii="仿宋" w:hAnsi="Times New Roman" w:eastAsia="仿宋" w:cs="仿宋"/>
          <w:kern w:val="0"/>
          <w:sz w:val="32"/>
          <w:szCs w:val="32"/>
        </w:rPr>
        <w:t>二、</w:t>
      </w:r>
      <w:r>
        <w:rPr>
          <w:rFonts w:hint="eastAsia" w:ascii="仿宋" w:hAnsi="Times New Roman" w:eastAsia="仿宋" w:cs="仿宋"/>
          <w:sz w:val="32"/>
          <w:szCs w:val="32"/>
        </w:rPr>
        <w:t>机构设置及人员情况</w:t>
      </w:r>
    </w:p>
    <w:p>
      <w:pPr>
        <w:autoSpaceDE w:val="0"/>
        <w:autoSpaceDN w:val="0"/>
        <w:adjustRightInd w:val="0"/>
        <w:spacing w:line="600" w:lineRule="exact"/>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第二部分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部门决算情况说明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一、收入支出决算总体情况说明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二、收入决算情况说明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三、支出决算情况说明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四、财政拨款收入支出决算总体情况说明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五、一般公共预算财政拨款支出决算情况说明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六、一般公共预算财政拨款基本支出决算情况说明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七、一般公共预算财政拨款</w:t>
      </w:r>
      <w:r>
        <w:rPr>
          <w:rFonts w:ascii="Times New Roman" w:hAnsi="Times New Roman" w:eastAsia="仿宋" w:cs="Times New Roman"/>
          <w:sz w:val="32"/>
          <w:szCs w:val="32"/>
        </w:rPr>
        <w:t>“</w:t>
      </w:r>
      <w:r>
        <w:rPr>
          <w:rFonts w:hint="eastAsia" w:ascii="仿宋" w:hAnsi="Times New Roman" w:eastAsia="仿宋" w:cs="仿宋"/>
          <w:sz w:val="32"/>
          <w:szCs w:val="32"/>
        </w:rPr>
        <w:t>三公</w:t>
      </w:r>
      <w:r>
        <w:rPr>
          <w:rFonts w:ascii="Times New Roman" w:hAnsi="Times New Roman" w:eastAsia="仿宋" w:cs="Times New Roman"/>
          <w:sz w:val="32"/>
          <w:szCs w:val="32"/>
        </w:rPr>
        <w:t>”</w:t>
      </w:r>
      <w:r>
        <w:rPr>
          <w:rFonts w:hint="eastAsia" w:ascii="仿宋" w:hAnsi="Times New Roman" w:eastAsia="仿宋" w:cs="仿宋"/>
          <w:sz w:val="32"/>
          <w:szCs w:val="32"/>
        </w:rPr>
        <w:t>经费支出决算情况说明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八、政府性基金预算收入支出决算情况说明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九、其他重要事项的情况说明</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（一）机关运行经费支出情况</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（二）政府采购情况</w:t>
      </w:r>
    </w:p>
    <w:p>
      <w:pPr>
        <w:autoSpaceDE w:val="0"/>
        <w:autoSpaceDN w:val="0"/>
        <w:adjustRightInd w:val="0"/>
        <w:spacing w:line="600" w:lineRule="exact"/>
        <w:rPr>
          <w:rFonts w:hint="eastAsia" w:ascii="仿宋" w:hAnsi="Times New Roman" w:eastAsia="仿宋" w:cs="仿宋"/>
          <w:sz w:val="32"/>
          <w:szCs w:val="32"/>
        </w:rPr>
      </w:pPr>
      <w:r>
        <w:rPr>
          <w:rFonts w:hint="eastAsia" w:ascii="仿宋" w:hAnsi="Times New Roman" w:eastAsia="仿宋" w:cs="仿宋"/>
          <w:sz w:val="32"/>
          <w:szCs w:val="32"/>
        </w:rPr>
        <w:t>（三）国有资产占用情况说明</w:t>
      </w:r>
    </w:p>
    <w:p>
      <w:pPr>
        <w:autoSpaceDE w:val="0"/>
        <w:autoSpaceDN w:val="0"/>
        <w:adjustRightInd w:val="0"/>
        <w:spacing w:line="600" w:lineRule="exact"/>
        <w:rPr>
          <w:rFonts w:hint="eastAsia" w:ascii="仿宋" w:hAnsi="Times New Roman" w:eastAsia="仿宋" w:cs="仿宋"/>
          <w:sz w:val="32"/>
          <w:szCs w:val="32"/>
          <w:lang w:eastAsia="zh-CN"/>
        </w:rPr>
      </w:pPr>
      <w:r>
        <w:rPr>
          <w:rFonts w:hint="eastAsia" w:ascii="仿宋" w:hAnsi="Times New Roman" w:eastAsia="仿宋" w:cs="仿宋"/>
          <w:sz w:val="32"/>
          <w:szCs w:val="32"/>
          <w:lang w:eastAsia="zh-CN"/>
        </w:rPr>
        <w:t>十、预算绩效的情况说明</w:t>
      </w:r>
    </w:p>
    <w:p>
      <w:pPr>
        <w:autoSpaceDE w:val="0"/>
        <w:autoSpaceDN w:val="0"/>
        <w:adjustRightInd w:val="0"/>
        <w:spacing w:line="600" w:lineRule="exact"/>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第三部分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专业名词解释</w:t>
      </w:r>
    </w:p>
    <w:p>
      <w:pPr>
        <w:autoSpaceDE w:val="0"/>
        <w:autoSpaceDN w:val="0"/>
        <w:adjustRightInd w:val="0"/>
        <w:spacing w:line="600" w:lineRule="exact"/>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第四部分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部门决算报表（见附表）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一、《收入支出决算总表》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二、《收入决算表》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三、《支出决算表》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四、《财政拨款收入支出决算总表》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五、《一般公共预算财政拨款支出决算表》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六、《一般公共预算财政拨款基本支出决算表》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七、《一般公共预算财政拨款</w:t>
      </w:r>
      <w:r>
        <w:rPr>
          <w:rFonts w:ascii="Times New Roman" w:hAnsi="Times New Roman" w:eastAsia="仿宋" w:cs="Times New Roman"/>
          <w:sz w:val="32"/>
          <w:szCs w:val="32"/>
        </w:rPr>
        <w:t>“</w:t>
      </w:r>
      <w:r>
        <w:rPr>
          <w:rFonts w:hint="eastAsia" w:ascii="仿宋" w:hAnsi="Times New Roman" w:eastAsia="仿宋" w:cs="仿宋"/>
          <w:sz w:val="32"/>
          <w:szCs w:val="32"/>
        </w:rPr>
        <w:t>三公</w:t>
      </w:r>
      <w:r>
        <w:rPr>
          <w:rFonts w:ascii="Times New Roman" w:hAnsi="Times New Roman" w:eastAsia="仿宋" w:cs="Times New Roman"/>
          <w:sz w:val="32"/>
          <w:szCs w:val="32"/>
        </w:rPr>
        <w:t>”</w:t>
      </w:r>
      <w:r>
        <w:rPr>
          <w:rFonts w:hint="eastAsia" w:ascii="仿宋" w:hAnsi="Times New Roman" w:eastAsia="仿宋" w:cs="仿宋"/>
          <w:sz w:val="32"/>
          <w:szCs w:val="32"/>
        </w:rPr>
        <w:t>经费支出决算表》</w:t>
      </w:r>
    </w:p>
    <w:p>
      <w:pPr>
        <w:autoSpaceDE w:val="0"/>
        <w:autoSpaceDN w:val="0"/>
        <w:adjustRightInd w:val="0"/>
        <w:spacing w:line="600" w:lineRule="exact"/>
        <w:rPr>
          <w:rFonts w:ascii="Times New Roman" w:hAnsi="Times New Roman" w:eastAsia="仿宋" w:cs="Times New Roman"/>
          <w:sz w:val="32"/>
          <w:szCs w:val="32"/>
        </w:rPr>
      </w:pPr>
      <w:r>
        <w:rPr>
          <w:rFonts w:hint="eastAsia" w:ascii="仿宋" w:hAnsi="Times New Roman" w:eastAsia="仿宋" w:cs="仿宋"/>
          <w:sz w:val="32"/>
          <w:szCs w:val="32"/>
        </w:rPr>
        <w:t>八、《政府性基金预算财政拨款收入支出决算表》</w:t>
      </w: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autoSpaceDE w:val="0"/>
        <w:autoSpaceDN w:val="0"/>
        <w:adjustRightInd w:val="0"/>
        <w:spacing w:line="600" w:lineRule="exact"/>
        <w:ind w:firstLine="640"/>
        <w:rPr>
          <w:rFonts w:ascii="Times New Roman" w:hAnsi="Times New Roman" w:eastAsia="仿宋" w:cs="Times New Roman"/>
          <w:sz w:val="32"/>
          <w:szCs w:val="32"/>
        </w:rPr>
      </w:pPr>
    </w:p>
    <w:p>
      <w:pPr>
        <w:shd w:val="clear" w:color="auto" w:fill="FFFFFF"/>
        <w:autoSpaceDE w:val="0"/>
        <w:autoSpaceDN w:val="0"/>
        <w:adjustRightInd w:val="0"/>
        <w:spacing w:before="100" w:after="240" w:line="600" w:lineRule="exact"/>
        <w:jc w:val="center"/>
        <w:rPr>
          <w:rFonts w:ascii="Times New Roman" w:hAnsi="Times New Roman" w:eastAsia="仿宋" w:cs="Times New Roman"/>
          <w:b/>
          <w:bCs/>
          <w:kern w:val="0"/>
          <w:sz w:val="32"/>
          <w:szCs w:val="32"/>
        </w:rPr>
      </w:pPr>
      <w:r>
        <w:rPr>
          <w:rFonts w:hint="eastAsia" w:ascii="仿宋" w:hAnsi="Times New Roman" w:eastAsia="仿宋" w:cs="仿宋"/>
          <w:b/>
          <w:bCs/>
          <w:sz w:val="32"/>
          <w:szCs w:val="32"/>
        </w:rPr>
        <w:t>第一部分</w:t>
      </w:r>
      <w:r>
        <w:rPr>
          <w:rFonts w:ascii="仿宋" w:hAnsi="Times New Roman" w:eastAsia="仿宋" w:cs="仿宋"/>
          <w:b/>
          <w:bCs/>
          <w:sz w:val="32"/>
          <w:szCs w:val="32"/>
        </w:rPr>
        <w:t xml:space="preserve"> </w:t>
      </w:r>
      <w:r>
        <w:rPr>
          <w:rFonts w:hint="eastAsia" w:ascii="仿宋" w:hAnsi="Times New Roman" w:eastAsia="仿宋" w:cs="仿宋"/>
          <w:b/>
          <w:bCs/>
          <w:sz w:val="32"/>
          <w:szCs w:val="32"/>
        </w:rPr>
        <w:t>部门单位概况</w:t>
      </w:r>
    </w:p>
    <w:p>
      <w:pPr>
        <w:pStyle w:val="8"/>
        <w:shd w:val="clear" w:color="auto" w:fill="FFFFFF"/>
        <w:autoSpaceDE w:val="0"/>
        <w:autoSpaceDN w:val="0"/>
        <w:adjustRightInd w:val="0"/>
        <w:spacing w:before="100" w:after="240" w:line="600" w:lineRule="exact"/>
        <w:ind w:left="643" w:firstLine="0" w:firstLineChars="0"/>
        <w:rPr>
          <w:rFonts w:ascii="仿宋" w:hAnsi="Times New Roman" w:eastAsia="仿宋" w:cs="仿宋"/>
          <w:b/>
          <w:bCs/>
          <w:kern w:val="0"/>
          <w:sz w:val="32"/>
          <w:szCs w:val="32"/>
        </w:rPr>
      </w:pPr>
      <w:r>
        <w:rPr>
          <w:rFonts w:hint="eastAsia" w:ascii="仿宋" w:hAnsi="Times New Roman" w:eastAsia="仿宋" w:cs="仿宋"/>
          <w:b/>
          <w:bCs/>
          <w:kern w:val="0"/>
          <w:sz w:val="32"/>
          <w:szCs w:val="32"/>
        </w:rPr>
        <w:t>一、主要职能</w:t>
      </w:r>
    </w:p>
    <w:p>
      <w:pPr>
        <w:shd w:val="clear" w:color="auto" w:fill="FFFFFF"/>
        <w:autoSpaceDE w:val="0"/>
        <w:autoSpaceDN w:val="0"/>
        <w:adjustRightInd w:val="0"/>
        <w:spacing w:before="100" w:line="600" w:lineRule="exact"/>
        <w:ind w:firstLine="640"/>
        <w:rPr>
          <w:rFonts w:ascii="仿宋" w:hAnsi="Times New Roman" w:eastAsia="仿宋" w:cs="仿宋"/>
          <w:kern w:val="0"/>
          <w:sz w:val="32"/>
          <w:szCs w:val="32"/>
        </w:rPr>
      </w:pPr>
      <w:r>
        <w:rPr>
          <w:rFonts w:hint="eastAsia" w:ascii="仿宋" w:hAnsi="Times New Roman" w:eastAsia="仿宋" w:cs="仿宋"/>
          <w:kern w:val="0"/>
          <w:sz w:val="32"/>
          <w:szCs w:val="32"/>
        </w:rPr>
        <w:t>实施学前、中小学义务教育，促进基础教育发展。幼儿教育、学前教育、中小学学历教育（相关社会服务）。2019年玛纳斯县包家店镇学校各项工作顺利开展，教育扶贫攻坚扎实有效；教育督导评估顺利通过；学校第十五届中小学生田径运动会成功举办；九年级体育中考成绩优异；4--8年级期中测试成绩稳定；学校安全维稳工作成效显著；学校班子团结协作，教育教学质量稳步提升。</w:t>
      </w:r>
    </w:p>
    <w:p>
      <w:pPr>
        <w:shd w:val="clear" w:color="auto" w:fill="FFFFFF"/>
        <w:autoSpaceDE w:val="0"/>
        <w:autoSpaceDN w:val="0"/>
        <w:adjustRightInd w:val="0"/>
        <w:spacing w:before="100" w:line="600" w:lineRule="exact"/>
        <w:ind w:firstLine="640"/>
        <w:rPr>
          <w:rFonts w:ascii="仿宋" w:hAnsi="Times New Roman" w:eastAsia="仿宋" w:cs="仿宋"/>
          <w:kern w:val="0"/>
          <w:sz w:val="32"/>
          <w:szCs w:val="32"/>
        </w:rPr>
      </w:pPr>
    </w:p>
    <w:p>
      <w:pPr>
        <w:shd w:val="clear" w:color="auto" w:fill="FFFFFF"/>
        <w:autoSpaceDE w:val="0"/>
        <w:autoSpaceDN w:val="0"/>
        <w:adjustRightInd w:val="0"/>
        <w:spacing w:before="100" w:after="240" w:line="600" w:lineRule="exact"/>
        <w:ind w:firstLine="643"/>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二、机构设置及人员情况</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新疆昌吉玛纳斯县包家店镇学校</w:t>
      </w:r>
      <w:r>
        <w:rPr>
          <w:rFonts w:ascii="仿宋" w:hAnsi="Times New Roman" w:eastAsia="仿宋" w:cs="仿宋"/>
          <w:kern w:val="0"/>
          <w:sz w:val="32"/>
          <w:szCs w:val="32"/>
        </w:rPr>
        <w:t>2019</w:t>
      </w:r>
      <w:r>
        <w:rPr>
          <w:rFonts w:hint="eastAsia" w:ascii="仿宋" w:hAnsi="Times New Roman" w:eastAsia="仿宋" w:cs="仿宋"/>
          <w:kern w:val="0"/>
          <w:sz w:val="32"/>
          <w:szCs w:val="32"/>
        </w:rPr>
        <w:t>年度，实有人数</w:t>
      </w:r>
      <w:r>
        <w:rPr>
          <w:rFonts w:ascii="仿宋" w:hAnsi="Times New Roman" w:eastAsia="仿宋" w:cs="仿宋"/>
          <w:kern w:val="0"/>
          <w:sz w:val="32"/>
          <w:szCs w:val="32"/>
        </w:rPr>
        <w:t>105</w:t>
      </w:r>
      <w:r>
        <w:rPr>
          <w:rFonts w:hint="eastAsia" w:ascii="仿宋" w:hAnsi="Times New Roman" w:eastAsia="仿宋" w:cs="仿宋"/>
          <w:kern w:val="0"/>
          <w:sz w:val="32"/>
          <w:szCs w:val="32"/>
        </w:rPr>
        <w:t>人，其中：在职人员</w:t>
      </w:r>
      <w:r>
        <w:rPr>
          <w:rFonts w:ascii="仿宋" w:hAnsi="Times New Roman" w:eastAsia="仿宋" w:cs="仿宋"/>
          <w:kern w:val="0"/>
          <w:sz w:val="32"/>
          <w:szCs w:val="32"/>
        </w:rPr>
        <w:t>105</w:t>
      </w:r>
      <w:r>
        <w:rPr>
          <w:rFonts w:hint="eastAsia" w:ascii="仿宋" w:hAnsi="Times New Roman" w:eastAsia="仿宋" w:cs="仿宋"/>
          <w:kern w:val="0"/>
          <w:sz w:val="32"/>
          <w:szCs w:val="32"/>
        </w:rPr>
        <w:t>人，离休人员</w:t>
      </w:r>
      <w:r>
        <w:rPr>
          <w:rFonts w:ascii="仿宋" w:hAnsi="Times New Roman" w:eastAsia="仿宋" w:cs="仿宋"/>
          <w:kern w:val="0"/>
          <w:sz w:val="32"/>
          <w:szCs w:val="32"/>
        </w:rPr>
        <w:t>0</w:t>
      </w:r>
      <w:r>
        <w:rPr>
          <w:rFonts w:hint="eastAsia" w:ascii="仿宋" w:hAnsi="Times New Roman" w:eastAsia="仿宋" w:cs="仿宋"/>
          <w:kern w:val="0"/>
          <w:sz w:val="32"/>
          <w:szCs w:val="32"/>
        </w:rPr>
        <w:t>人，退休人员</w:t>
      </w:r>
      <w:r>
        <w:rPr>
          <w:rFonts w:ascii="仿宋" w:hAnsi="Times New Roman" w:eastAsia="仿宋" w:cs="仿宋"/>
          <w:kern w:val="0"/>
          <w:sz w:val="32"/>
          <w:szCs w:val="32"/>
        </w:rPr>
        <w:t>0</w:t>
      </w:r>
      <w:r>
        <w:rPr>
          <w:rFonts w:hint="eastAsia" w:ascii="仿宋" w:hAnsi="Times New Roman" w:eastAsia="仿宋" w:cs="仿宋"/>
          <w:kern w:val="0"/>
          <w:sz w:val="32"/>
          <w:szCs w:val="32"/>
        </w:rPr>
        <w:t>人。</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从部门决算单位构成看，新疆昌吉玛纳斯县包家店镇学校部门决算包括：新疆昌吉玛纳斯县包家店镇学校决算。</w:t>
      </w:r>
    </w:p>
    <w:p>
      <w:pPr>
        <w:shd w:val="clear" w:color="auto" w:fill="FFFFFF"/>
        <w:autoSpaceDE w:val="0"/>
        <w:autoSpaceDN w:val="0"/>
        <w:adjustRightInd w:val="0"/>
        <w:spacing w:before="100" w:line="600" w:lineRule="exact"/>
        <w:rPr>
          <w:rFonts w:ascii="Times New Roman" w:hAnsi="Times New Roman" w:eastAsia="仿宋" w:cs="Times New Roman"/>
          <w:kern w:val="0"/>
          <w:sz w:val="32"/>
          <w:szCs w:val="32"/>
        </w:rPr>
      </w:pPr>
    </w:p>
    <w:p>
      <w:pPr>
        <w:shd w:val="clear" w:color="auto" w:fill="FFFFFF"/>
        <w:autoSpaceDE w:val="0"/>
        <w:autoSpaceDN w:val="0"/>
        <w:adjustRightInd w:val="0"/>
        <w:spacing w:before="100" w:after="240" w:line="600" w:lineRule="exact"/>
        <w:jc w:val="center"/>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第二部分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部门决算情况说明</w:t>
      </w:r>
    </w:p>
    <w:p>
      <w:pPr>
        <w:shd w:val="clear" w:color="auto" w:fill="FFFFFF"/>
        <w:autoSpaceDE w:val="0"/>
        <w:autoSpaceDN w:val="0"/>
        <w:adjustRightInd w:val="0"/>
        <w:spacing w:before="100" w:after="240" w:line="600" w:lineRule="exact"/>
        <w:ind w:firstLine="643"/>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一、收入支出决算总体情况说明</w:t>
      </w:r>
    </w:p>
    <w:p>
      <w:pPr>
        <w:autoSpaceDE w:val="0"/>
        <w:autoSpaceDN w:val="0"/>
        <w:adjustRightInd w:val="0"/>
        <w:spacing w:line="600" w:lineRule="exact"/>
        <w:ind w:firstLine="640"/>
        <w:rPr>
          <w:rFonts w:ascii="仿宋" w:hAnsi="Times New Roman" w:eastAsia="仿宋" w:cs="仿宋"/>
          <w:kern w:val="0"/>
          <w:sz w:val="32"/>
          <w:szCs w:val="32"/>
        </w:rPr>
      </w:pPr>
      <w:r>
        <w:rPr>
          <w:rFonts w:hint="eastAsia" w:ascii="仿宋" w:hAnsi="Times New Roman" w:eastAsia="仿宋"/>
          <w:kern w:val="0"/>
          <w:sz w:val="32"/>
        </w:rPr>
        <w:t>2019年度本年收入2,359.3万元，与上年相比，</w:t>
      </w:r>
      <w:r>
        <w:rPr>
          <w:rFonts w:hint="eastAsia" w:ascii="仿宋" w:hAnsi="Times New Roman" w:eastAsia="仿宋"/>
          <w:color w:val="000000"/>
          <w:kern w:val="0"/>
          <w:sz w:val="32"/>
        </w:rPr>
        <w:t>增加</w:t>
      </w:r>
      <w:r>
        <w:rPr>
          <w:rFonts w:hint="eastAsia" w:ascii="仿宋" w:hAnsi="Times New Roman" w:eastAsia="仿宋"/>
          <w:kern w:val="0"/>
          <w:sz w:val="32"/>
        </w:rPr>
        <w:t>144.36万元，</w:t>
      </w:r>
      <w:r>
        <w:rPr>
          <w:rFonts w:hint="eastAsia" w:ascii="仿宋" w:hAnsi="Times New Roman" w:eastAsia="仿宋"/>
          <w:color w:val="000000"/>
          <w:kern w:val="0"/>
          <w:sz w:val="32"/>
        </w:rPr>
        <w:t>增长</w:t>
      </w:r>
      <w:r>
        <w:rPr>
          <w:rFonts w:hint="eastAsia" w:ascii="仿宋" w:hAnsi="Times New Roman" w:eastAsia="仿宋"/>
          <w:kern w:val="0"/>
          <w:sz w:val="32"/>
        </w:rPr>
        <w:t>6.52%，主要原因是：学前教育因学生数增加10人，教师数增加4人，导致学前经费及人员经费增加89.6万元；初中教育因在编教师数增加9名，导致增加96,14万元。本年支出2,290.93万元，与上年相比，增加79.13万元，增长3.58%，主要原因是：</w:t>
      </w:r>
      <w:r>
        <w:rPr>
          <w:rFonts w:hint="eastAsia" w:ascii="仿宋" w:hAnsi="Times New Roman" w:eastAsia="仿宋" w:cs="仿宋"/>
          <w:kern w:val="0"/>
          <w:sz w:val="32"/>
          <w:szCs w:val="32"/>
        </w:rPr>
        <w:t>学前教育因学生数增加10人，教师数增加4人，导致学前经费及人员经费支出增加。</w:t>
      </w:r>
    </w:p>
    <w:p>
      <w:pPr>
        <w:autoSpaceDE w:val="0"/>
        <w:autoSpaceDN w:val="0"/>
        <w:adjustRightInd w:val="0"/>
        <w:spacing w:line="600" w:lineRule="exact"/>
        <w:ind w:firstLine="640"/>
        <w:rPr>
          <w:rFonts w:ascii="仿宋" w:hAnsi="Times New Roman" w:eastAsia="仿宋" w:cs="仿宋"/>
          <w:kern w:val="0"/>
          <w:sz w:val="32"/>
          <w:szCs w:val="32"/>
        </w:rPr>
      </w:pPr>
    </w:p>
    <w:p>
      <w:pPr>
        <w:shd w:val="clear" w:color="auto" w:fill="FFFFFF"/>
        <w:autoSpaceDE w:val="0"/>
        <w:autoSpaceDN w:val="0"/>
        <w:adjustRightInd w:val="0"/>
        <w:spacing w:before="100" w:after="240" w:line="600" w:lineRule="exact"/>
        <w:ind w:firstLine="643"/>
        <w:jc w:val="left"/>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二、收入决算情况说明</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年度本年收入</w:t>
      </w:r>
      <w:r>
        <w:rPr>
          <w:rFonts w:ascii="仿宋" w:hAnsi="Times New Roman" w:eastAsia="仿宋" w:cs="仿宋"/>
          <w:kern w:val="0"/>
          <w:sz w:val="32"/>
          <w:szCs w:val="32"/>
        </w:rPr>
        <w:t>2,359.3</w:t>
      </w:r>
      <w:r>
        <w:rPr>
          <w:rFonts w:hint="eastAsia" w:ascii="仿宋" w:hAnsi="Times New Roman" w:eastAsia="仿宋" w:cs="仿宋"/>
          <w:kern w:val="0"/>
          <w:sz w:val="32"/>
          <w:szCs w:val="32"/>
        </w:rPr>
        <w:t>万元，其中：财政拨款收入</w:t>
      </w:r>
      <w:r>
        <w:rPr>
          <w:rFonts w:ascii="仿宋" w:hAnsi="Times New Roman" w:eastAsia="仿宋" w:cs="仿宋"/>
          <w:kern w:val="0"/>
          <w:sz w:val="32"/>
          <w:szCs w:val="32"/>
        </w:rPr>
        <w:t>2,145.33</w:t>
      </w:r>
      <w:r>
        <w:rPr>
          <w:rFonts w:hint="eastAsia" w:ascii="仿宋" w:hAnsi="Times New Roman" w:eastAsia="仿宋" w:cs="仿宋"/>
          <w:kern w:val="0"/>
          <w:sz w:val="32"/>
          <w:szCs w:val="32"/>
        </w:rPr>
        <w:t>万元，占</w:t>
      </w:r>
      <w:r>
        <w:rPr>
          <w:rFonts w:ascii="仿宋" w:hAnsi="Times New Roman" w:eastAsia="仿宋" w:cs="仿宋"/>
          <w:kern w:val="0"/>
          <w:sz w:val="32"/>
          <w:szCs w:val="32"/>
        </w:rPr>
        <w:t>90.93%</w:t>
      </w:r>
      <w:r>
        <w:rPr>
          <w:rFonts w:hint="eastAsia" w:ascii="仿宋" w:hAnsi="Times New Roman" w:eastAsia="仿宋" w:cs="仿宋"/>
          <w:kern w:val="0"/>
          <w:sz w:val="32"/>
          <w:szCs w:val="32"/>
        </w:rPr>
        <w:t>；上级补助收入</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；事业收入</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；经营收入</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；附属单位上缴收入</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；其他收入</w:t>
      </w:r>
      <w:r>
        <w:rPr>
          <w:rFonts w:ascii="仿宋" w:hAnsi="Times New Roman" w:eastAsia="仿宋" w:cs="仿宋"/>
          <w:kern w:val="0"/>
          <w:sz w:val="32"/>
          <w:szCs w:val="32"/>
        </w:rPr>
        <w:t>213.97</w:t>
      </w:r>
      <w:r>
        <w:rPr>
          <w:rFonts w:hint="eastAsia" w:ascii="仿宋" w:hAnsi="Times New Roman" w:eastAsia="仿宋" w:cs="仿宋"/>
          <w:kern w:val="0"/>
          <w:sz w:val="32"/>
          <w:szCs w:val="32"/>
        </w:rPr>
        <w:t>万元，占</w:t>
      </w:r>
      <w:r>
        <w:rPr>
          <w:rFonts w:ascii="仿宋" w:hAnsi="Times New Roman" w:eastAsia="仿宋" w:cs="仿宋"/>
          <w:kern w:val="0"/>
          <w:sz w:val="32"/>
          <w:szCs w:val="32"/>
        </w:rPr>
        <w:t>9.07%</w:t>
      </w:r>
      <w:r>
        <w:rPr>
          <w:rFonts w:hint="eastAsia" w:ascii="仿宋" w:hAnsi="Times New Roman" w:eastAsia="仿宋" w:cs="仿宋"/>
          <w:kern w:val="0"/>
          <w:sz w:val="32"/>
          <w:szCs w:val="32"/>
        </w:rPr>
        <w:t>。</w:t>
      </w:r>
    </w:p>
    <w:p>
      <w:pPr>
        <w:shd w:val="clear" w:color="auto" w:fill="FFFFFF"/>
        <w:autoSpaceDE w:val="0"/>
        <w:autoSpaceDN w:val="0"/>
        <w:adjustRightInd w:val="0"/>
        <w:spacing w:before="100" w:after="240" w:line="600" w:lineRule="exact"/>
        <w:jc w:val="left"/>
        <w:rPr>
          <w:rFonts w:ascii="Times New Roman" w:hAnsi="Times New Roman" w:eastAsia="仿宋" w:cs="Times New Roman"/>
          <w:kern w:val="0"/>
          <w:sz w:val="32"/>
          <w:szCs w:val="32"/>
        </w:rPr>
      </w:pPr>
    </w:p>
    <w:p>
      <w:pPr>
        <w:shd w:val="clear" w:color="auto" w:fill="FFFFFF"/>
        <w:autoSpaceDE w:val="0"/>
        <w:autoSpaceDN w:val="0"/>
        <w:adjustRightInd w:val="0"/>
        <w:spacing w:before="100" w:after="240" w:line="600" w:lineRule="exact"/>
        <w:ind w:firstLine="643"/>
        <w:jc w:val="left"/>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三、支出决算情况说明</w:t>
      </w:r>
    </w:p>
    <w:p>
      <w:pPr>
        <w:shd w:val="clear" w:color="auto" w:fill="FFFFFF"/>
        <w:autoSpaceDE w:val="0"/>
        <w:autoSpaceDN w:val="0"/>
        <w:adjustRightInd w:val="0"/>
        <w:spacing w:before="100" w:line="600" w:lineRule="exact"/>
        <w:ind w:firstLine="640"/>
        <w:rPr>
          <w:rFonts w:ascii="仿宋" w:hAnsi="Times New Roman" w:eastAsia="仿宋" w:cs="仿宋"/>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年度本年支出</w:t>
      </w:r>
      <w:r>
        <w:rPr>
          <w:rFonts w:ascii="仿宋" w:hAnsi="Times New Roman" w:eastAsia="仿宋" w:cs="仿宋"/>
          <w:kern w:val="0"/>
          <w:sz w:val="32"/>
          <w:szCs w:val="32"/>
        </w:rPr>
        <w:t>2,290.93</w:t>
      </w:r>
      <w:r>
        <w:rPr>
          <w:rFonts w:hint="eastAsia" w:ascii="仿宋" w:hAnsi="Times New Roman" w:eastAsia="仿宋" w:cs="仿宋"/>
          <w:kern w:val="0"/>
          <w:sz w:val="32"/>
          <w:szCs w:val="32"/>
        </w:rPr>
        <w:t>万元，其中，基本支出</w:t>
      </w:r>
      <w:r>
        <w:rPr>
          <w:rFonts w:ascii="仿宋" w:hAnsi="Times New Roman" w:eastAsia="仿宋" w:cs="仿宋"/>
          <w:kern w:val="0"/>
          <w:sz w:val="32"/>
          <w:szCs w:val="32"/>
        </w:rPr>
        <w:t>2,206.8</w:t>
      </w:r>
      <w:r>
        <w:rPr>
          <w:rFonts w:hint="eastAsia" w:ascii="仿宋" w:hAnsi="Times New Roman" w:eastAsia="仿宋" w:cs="仿宋"/>
          <w:kern w:val="0"/>
          <w:sz w:val="32"/>
          <w:szCs w:val="32"/>
        </w:rPr>
        <w:t>万元，占</w:t>
      </w:r>
      <w:r>
        <w:rPr>
          <w:rFonts w:ascii="仿宋" w:hAnsi="Times New Roman" w:eastAsia="仿宋" w:cs="仿宋"/>
          <w:kern w:val="0"/>
          <w:sz w:val="32"/>
          <w:szCs w:val="32"/>
        </w:rPr>
        <w:t>96.33%</w:t>
      </w:r>
      <w:r>
        <w:rPr>
          <w:rFonts w:hint="eastAsia" w:ascii="仿宋" w:hAnsi="Times New Roman" w:eastAsia="仿宋" w:cs="仿宋"/>
          <w:kern w:val="0"/>
          <w:sz w:val="32"/>
          <w:szCs w:val="32"/>
        </w:rPr>
        <w:t>；项目支出</w:t>
      </w:r>
      <w:r>
        <w:rPr>
          <w:rFonts w:ascii="仿宋" w:hAnsi="Times New Roman" w:eastAsia="仿宋" w:cs="仿宋"/>
          <w:kern w:val="0"/>
          <w:sz w:val="32"/>
          <w:szCs w:val="32"/>
        </w:rPr>
        <w:t>84.13</w:t>
      </w:r>
      <w:r>
        <w:rPr>
          <w:rFonts w:hint="eastAsia" w:ascii="仿宋" w:hAnsi="Times New Roman" w:eastAsia="仿宋" w:cs="仿宋"/>
          <w:kern w:val="0"/>
          <w:sz w:val="32"/>
          <w:szCs w:val="32"/>
        </w:rPr>
        <w:t>万元</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占</w:t>
      </w:r>
      <w:r>
        <w:rPr>
          <w:rFonts w:ascii="仿宋" w:hAnsi="Times New Roman" w:eastAsia="仿宋" w:cs="仿宋"/>
          <w:kern w:val="0"/>
          <w:sz w:val="32"/>
          <w:szCs w:val="32"/>
        </w:rPr>
        <w:t>3.67%</w:t>
      </w:r>
      <w:r>
        <w:rPr>
          <w:rFonts w:hint="eastAsia" w:ascii="仿宋" w:hAnsi="Times New Roman" w:eastAsia="仿宋" w:cs="仿宋"/>
          <w:kern w:val="0"/>
          <w:sz w:val="32"/>
          <w:szCs w:val="32"/>
        </w:rPr>
        <w:t>；上缴上级支出</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；经营支出</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；对附属单位补助支出</w:t>
      </w:r>
      <w:r>
        <w:rPr>
          <w:rFonts w:ascii="仿宋" w:hAnsi="Times New Roman" w:eastAsia="仿宋" w:cs="仿宋"/>
          <w:kern w:val="0"/>
          <w:sz w:val="32"/>
          <w:szCs w:val="32"/>
        </w:rPr>
        <w:t>0</w:t>
      </w:r>
      <w:r>
        <w:rPr>
          <w:rFonts w:hint="eastAsia" w:ascii="仿宋" w:hAnsi="Times New Roman" w:eastAsia="仿宋" w:cs="仿宋"/>
          <w:kern w:val="0"/>
          <w:sz w:val="32"/>
          <w:szCs w:val="32"/>
        </w:rPr>
        <w:t>万元，占</w:t>
      </w:r>
      <w:r>
        <w:rPr>
          <w:rFonts w:ascii="仿宋" w:hAnsi="Times New Roman" w:eastAsia="仿宋" w:cs="仿宋"/>
          <w:kern w:val="0"/>
          <w:sz w:val="32"/>
          <w:szCs w:val="32"/>
        </w:rPr>
        <w:t>0%</w:t>
      </w:r>
      <w:r>
        <w:rPr>
          <w:rFonts w:hint="eastAsia" w:ascii="仿宋" w:hAnsi="Times New Roman" w:eastAsia="仿宋" w:cs="仿宋"/>
          <w:kern w:val="0"/>
          <w:sz w:val="32"/>
          <w:szCs w:val="32"/>
        </w:rPr>
        <w:t>。</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p>
    <w:p>
      <w:pPr>
        <w:shd w:val="clear" w:color="auto" w:fill="FFFFFF"/>
        <w:autoSpaceDE w:val="0"/>
        <w:autoSpaceDN w:val="0"/>
        <w:adjustRightInd w:val="0"/>
        <w:spacing w:before="100" w:after="240" w:line="600" w:lineRule="exact"/>
        <w:ind w:firstLine="643"/>
        <w:jc w:val="left"/>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四、财政拨款收入支出决算总体情况说明</w:t>
      </w:r>
    </w:p>
    <w:p>
      <w:pPr>
        <w:shd w:val="clear" w:color="auto" w:fill="FFFFFF"/>
        <w:autoSpaceDE w:val="0"/>
        <w:autoSpaceDN w:val="0"/>
        <w:adjustRightInd w:val="0"/>
        <w:spacing w:before="100" w:after="240" w:line="600" w:lineRule="exact"/>
        <w:ind w:firstLine="640"/>
        <w:rPr>
          <w:rFonts w:ascii="Times New Roman" w:hAnsi="Times New Roman" w:eastAsia="仿宋" w:cs="Times New Roman"/>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年度财政拨款收入</w:t>
      </w:r>
      <w:r>
        <w:rPr>
          <w:rFonts w:ascii="仿宋" w:hAnsi="Times New Roman" w:eastAsia="仿宋" w:cs="仿宋"/>
          <w:kern w:val="0"/>
          <w:sz w:val="32"/>
          <w:szCs w:val="32"/>
        </w:rPr>
        <w:t>2,145.33</w:t>
      </w:r>
      <w:r>
        <w:rPr>
          <w:rFonts w:hint="eastAsia" w:ascii="仿宋" w:hAnsi="Times New Roman" w:eastAsia="仿宋" w:cs="仿宋"/>
          <w:kern w:val="0"/>
          <w:sz w:val="32"/>
          <w:szCs w:val="32"/>
        </w:rPr>
        <w:t>万元，与上年相比，</w:t>
      </w:r>
      <w:r>
        <w:rPr>
          <w:rFonts w:hint="eastAsia" w:ascii="仿宋" w:hAnsi="Times New Roman" w:eastAsia="仿宋" w:cs="仿宋"/>
          <w:color w:val="000000"/>
          <w:kern w:val="0"/>
          <w:sz w:val="32"/>
          <w:szCs w:val="32"/>
        </w:rPr>
        <w:t>增加</w:t>
      </w:r>
      <w:r>
        <w:rPr>
          <w:rFonts w:ascii="仿宋" w:hAnsi="Times New Roman" w:eastAsia="仿宋" w:cs="仿宋"/>
          <w:kern w:val="0"/>
          <w:sz w:val="32"/>
          <w:szCs w:val="32"/>
        </w:rPr>
        <w:t>170.78</w:t>
      </w:r>
      <w:r>
        <w:rPr>
          <w:rFonts w:hint="eastAsia" w:ascii="仿宋" w:hAnsi="Times New Roman" w:eastAsia="仿宋" w:cs="仿宋"/>
          <w:kern w:val="0"/>
          <w:sz w:val="32"/>
          <w:szCs w:val="32"/>
        </w:rPr>
        <w:t>万元，</w:t>
      </w:r>
      <w:r>
        <w:rPr>
          <w:rFonts w:hint="eastAsia" w:ascii="仿宋" w:hAnsi="Times New Roman" w:eastAsia="仿宋" w:cs="仿宋"/>
          <w:color w:val="000000"/>
          <w:kern w:val="0"/>
          <w:sz w:val="32"/>
          <w:szCs w:val="32"/>
        </w:rPr>
        <w:t>增长</w:t>
      </w:r>
      <w:r>
        <w:rPr>
          <w:rFonts w:ascii="仿宋" w:hAnsi="Times New Roman" w:eastAsia="仿宋" w:cs="仿宋"/>
          <w:kern w:val="0"/>
          <w:sz w:val="32"/>
          <w:szCs w:val="32"/>
        </w:rPr>
        <w:t>8.65%</w:t>
      </w:r>
      <w:r>
        <w:rPr>
          <w:rFonts w:hint="eastAsia" w:ascii="仿宋" w:hAnsi="Times New Roman" w:eastAsia="仿宋" w:cs="仿宋"/>
          <w:kern w:val="0"/>
          <w:sz w:val="32"/>
          <w:szCs w:val="32"/>
        </w:rPr>
        <w:t>，主要原因是：学前教育因学生数增加10人，教师数增加4人，导致学前经费及人员经费增加；初中教育因在编教师数增加9名，特岗增加3名，导致</w:t>
      </w:r>
      <w:r>
        <w:rPr>
          <w:rFonts w:hint="eastAsia" w:ascii="仿宋" w:hAnsi="Times New Roman" w:eastAsia="仿宋" w:cs="仿宋"/>
          <w:kern w:val="0"/>
          <w:sz w:val="32"/>
          <w:szCs w:val="32"/>
          <w:lang w:val="en-US" w:eastAsia="zh-CN"/>
        </w:rPr>
        <w:t>拨款</w:t>
      </w:r>
      <w:r>
        <w:rPr>
          <w:rFonts w:hint="eastAsia" w:ascii="仿宋" w:hAnsi="Times New Roman" w:eastAsia="仿宋" w:cs="仿宋"/>
          <w:kern w:val="0"/>
          <w:sz w:val="32"/>
          <w:szCs w:val="32"/>
        </w:rPr>
        <w:t>增加。财政拨款支出</w:t>
      </w:r>
      <w:r>
        <w:rPr>
          <w:rFonts w:ascii="仿宋" w:hAnsi="Times New Roman" w:eastAsia="仿宋" w:cs="仿宋"/>
          <w:kern w:val="0"/>
          <w:sz w:val="32"/>
          <w:szCs w:val="32"/>
        </w:rPr>
        <w:t>2,145.33</w:t>
      </w:r>
      <w:r>
        <w:rPr>
          <w:rFonts w:hint="eastAsia" w:ascii="仿宋" w:hAnsi="Times New Roman" w:eastAsia="仿宋" w:cs="仿宋"/>
          <w:kern w:val="0"/>
          <w:sz w:val="32"/>
          <w:szCs w:val="32"/>
        </w:rPr>
        <w:t>万元，与上年相比，</w:t>
      </w:r>
      <w:r>
        <w:rPr>
          <w:rFonts w:hint="eastAsia" w:ascii="仿宋" w:hAnsi="Times New Roman" w:eastAsia="仿宋" w:cs="仿宋"/>
          <w:color w:val="000000"/>
          <w:kern w:val="0"/>
          <w:sz w:val="32"/>
          <w:szCs w:val="32"/>
        </w:rPr>
        <w:t>增加</w:t>
      </w:r>
      <w:r>
        <w:rPr>
          <w:rFonts w:ascii="仿宋" w:hAnsi="Times New Roman" w:eastAsia="仿宋" w:cs="仿宋"/>
          <w:kern w:val="0"/>
          <w:sz w:val="32"/>
          <w:szCs w:val="32"/>
        </w:rPr>
        <w:t>170.78</w:t>
      </w:r>
      <w:r>
        <w:rPr>
          <w:rFonts w:hint="eastAsia" w:ascii="仿宋" w:hAnsi="Times New Roman" w:eastAsia="仿宋" w:cs="仿宋"/>
          <w:kern w:val="0"/>
          <w:sz w:val="32"/>
          <w:szCs w:val="32"/>
        </w:rPr>
        <w:t>万元，</w:t>
      </w:r>
      <w:r>
        <w:rPr>
          <w:rFonts w:hint="eastAsia" w:ascii="仿宋" w:hAnsi="Times New Roman" w:eastAsia="仿宋" w:cs="仿宋"/>
          <w:color w:val="000000"/>
          <w:kern w:val="0"/>
          <w:sz w:val="32"/>
          <w:szCs w:val="32"/>
        </w:rPr>
        <w:t>增长</w:t>
      </w:r>
      <w:r>
        <w:rPr>
          <w:rFonts w:ascii="仿宋" w:hAnsi="Times New Roman" w:eastAsia="仿宋" w:cs="仿宋"/>
          <w:kern w:val="0"/>
          <w:sz w:val="32"/>
          <w:szCs w:val="32"/>
        </w:rPr>
        <w:t>8.65%</w:t>
      </w:r>
      <w:r>
        <w:rPr>
          <w:rFonts w:hint="eastAsia" w:ascii="仿宋" w:hAnsi="Times New Roman" w:eastAsia="仿宋" w:cs="仿宋"/>
          <w:kern w:val="0"/>
          <w:sz w:val="32"/>
          <w:szCs w:val="32"/>
        </w:rPr>
        <w:t>。主要原因是：学前教育因学生数增加10人，教师数增加4人，导致学前经费及人员经费支出增加；初中教育因在编教师数增加9名，特岗增加3名，导致支出增加</w:t>
      </w:r>
      <w:r>
        <w:rPr>
          <w:rFonts w:hint="eastAsia" w:ascii="宋体" w:hAnsi="宋体" w:eastAsia="宋体" w:cs="仿宋"/>
          <w:kern w:val="0"/>
          <w:sz w:val="24"/>
          <w:szCs w:val="24"/>
        </w:rPr>
        <w:t>。</w:t>
      </w:r>
    </w:p>
    <w:p>
      <w:pPr>
        <w:shd w:val="clear" w:color="auto" w:fill="FFFFFF"/>
        <w:autoSpaceDE w:val="0"/>
        <w:autoSpaceDN w:val="0"/>
        <w:adjustRightInd w:val="0"/>
        <w:spacing w:before="100" w:line="600" w:lineRule="exact"/>
        <w:ind w:firstLine="640"/>
        <w:jc w:val="left"/>
        <w:rPr>
          <w:rFonts w:ascii="仿宋" w:hAnsi="Times New Roman" w:eastAsia="仿宋" w:cs="仿宋"/>
          <w:kern w:val="0"/>
          <w:sz w:val="32"/>
          <w:szCs w:val="32"/>
        </w:rPr>
      </w:pPr>
      <w:r>
        <w:rPr>
          <w:rFonts w:hint="eastAsia" w:ascii="仿宋" w:hAnsi="Times New Roman" w:eastAsia="仿宋" w:cs="仿宋"/>
          <w:kern w:val="0"/>
          <w:sz w:val="32"/>
          <w:szCs w:val="32"/>
        </w:rPr>
        <w:t>与年初预算数相比情况</w:t>
      </w:r>
      <w:r>
        <w:rPr>
          <w:rFonts w:ascii="仿宋" w:hAnsi="Times New Roman" w:eastAsia="仿宋" w:cs="仿宋"/>
          <w:kern w:val="0"/>
          <w:sz w:val="32"/>
          <w:szCs w:val="32"/>
        </w:rPr>
        <w:t>:</w:t>
      </w:r>
      <w:r>
        <w:rPr>
          <w:rFonts w:hint="eastAsia" w:ascii="仿宋" w:hAnsi="Times New Roman" w:eastAsia="仿宋" w:cs="仿宋"/>
          <w:kern w:val="0"/>
          <w:sz w:val="32"/>
          <w:szCs w:val="32"/>
          <w:lang w:val="zh-CN"/>
        </w:rPr>
        <w:t>财政拨款收入年初预算数</w:t>
      </w:r>
      <w:r>
        <w:rPr>
          <w:rFonts w:ascii="仿宋" w:hAnsi="Times New Roman" w:eastAsia="仿宋" w:cs="仿宋"/>
          <w:kern w:val="0"/>
          <w:sz w:val="32"/>
          <w:szCs w:val="32"/>
        </w:rPr>
        <w:t>1,993.7</w:t>
      </w:r>
      <w:r>
        <w:rPr>
          <w:rFonts w:hint="eastAsia" w:ascii="仿宋" w:hAnsi="Times New Roman" w:eastAsia="仿宋" w:cs="仿宋"/>
          <w:kern w:val="0"/>
          <w:sz w:val="32"/>
          <w:szCs w:val="32"/>
          <w:lang w:val="zh-CN"/>
        </w:rPr>
        <w:t>万元</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决算数</w:t>
      </w:r>
      <w:r>
        <w:rPr>
          <w:rFonts w:ascii="仿宋" w:hAnsi="Times New Roman" w:eastAsia="仿宋" w:cs="仿宋"/>
          <w:kern w:val="0"/>
          <w:sz w:val="32"/>
          <w:szCs w:val="32"/>
        </w:rPr>
        <w:t>2,145.33</w:t>
      </w:r>
      <w:r>
        <w:rPr>
          <w:rFonts w:hint="eastAsia" w:ascii="仿宋" w:hAnsi="Times New Roman" w:eastAsia="仿宋" w:cs="仿宋"/>
          <w:kern w:val="0"/>
          <w:sz w:val="32"/>
          <w:szCs w:val="32"/>
        </w:rPr>
        <w:t>万元，预决算差异率</w:t>
      </w:r>
      <w:r>
        <w:rPr>
          <w:rFonts w:ascii="仿宋" w:hAnsi="Times New Roman" w:eastAsia="仿宋" w:cs="仿宋"/>
          <w:kern w:val="0"/>
          <w:sz w:val="32"/>
          <w:szCs w:val="32"/>
        </w:rPr>
        <w:t>7.61%</w:t>
      </w:r>
      <w:r>
        <w:rPr>
          <w:rFonts w:hint="eastAsia" w:ascii="仿宋" w:hAnsi="Times New Roman" w:eastAsia="仿宋" w:cs="仿宋"/>
          <w:kern w:val="0"/>
          <w:sz w:val="32"/>
          <w:szCs w:val="32"/>
        </w:rPr>
        <w:t>。主要原因是：学前教育学生数增加10人，导致增加63.21万元；小学教育因增加考核工资及乡镇津贴，导致增加34.37万元；初中教育因增加考核工资及乡镇津贴，导致增加248.95万元。</w:t>
      </w:r>
      <w:r>
        <w:rPr>
          <w:rFonts w:hint="eastAsia" w:ascii="仿宋" w:hAnsi="Times New Roman" w:eastAsia="仿宋" w:cs="仿宋"/>
          <w:kern w:val="0"/>
          <w:sz w:val="32"/>
          <w:szCs w:val="32"/>
          <w:lang w:val="zh-CN"/>
        </w:rPr>
        <w:t>财政拨款支出年初预算数</w:t>
      </w:r>
      <w:r>
        <w:rPr>
          <w:rFonts w:hint="eastAsia" w:ascii="仿宋" w:hAnsi="Times New Roman" w:eastAsia="仿宋" w:cs="仿宋"/>
          <w:kern w:val="0"/>
          <w:sz w:val="32"/>
          <w:szCs w:val="32"/>
        </w:rPr>
        <w:t>1,993.7</w:t>
      </w:r>
      <w:r>
        <w:rPr>
          <w:rFonts w:hint="eastAsia" w:ascii="仿宋" w:hAnsi="Times New Roman" w:eastAsia="仿宋" w:cs="仿宋"/>
          <w:kern w:val="0"/>
          <w:sz w:val="32"/>
          <w:szCs w:val="32"/>
          <w:lang w:val="zh-CN"/>
        </w:rPr>
        <w:t>万元</w:t>
      </w:r>
      <w:r>
        <w:rPr>
          <w:rFonts w:hint="eastAsia" w:ascii="仿宋" w:hAnsi="Times New Roman" w:eastAsia="仿宋" w:cs="仿宋"/>
          <w:kern w:val="0"/>
          <w:sz w:val="32"/>
          <w:szCs w:val="32"/>
        </w:rPr>
        <w:t>，决算数2,145.33万元，预决算差异率7.61%。主要原因是：学前教育学生数增加10人，导致增加63.21万元；小学教育因增加考核工资及乡镇津贴，导致增加34.37万元；初中教育因增加考核工资及乡镇津贴，导致增加248.95万元。</w:t>
      </w:r>
    </w:p>
    <w:p>
      <w:pPr>
        <w:shd w:val="clear" w:color="auto" w:fill="FFFFFF"/>
        <w:autoSpaceDE w:val="0"/>
        <w:autoSpaceDN w:val="0"/>
        <w:adjustRightInd w:val="0"/>
        <w:spacing w:before="100" w:line="600" w:lineRule="exact"/>
        <w:ind w:firstLine="640"/>
        <w:jc w:val="left"/>
        <w:rPr>
          <w:rFonts w:ascii="Times New Roman" w:hAnsi="Times New Roman" w:eastAsia="仿宋" w:cs="Times New Roman"/>
          <w:kern w:val="0"/>
          <w:sz w:val="32"/>
          <w:szCs w:val="32"/>
        </w:rPr>
      </w:pPr>
    </w:p>
    <w:p>
      <w:pPr>
        <w:shd w:val="clear" w:color="auto" w:fill="FFFFFF"/>
        <w:autoSpaceDE w:val="0"/>
        <w:autoSpaceDN w:val="0"/>
        <w:adjustRightInd w:val="0"/>
        <w:spacing w:before="100" w:line="600" w:lineRule="exact"/>
        <w:ind w:firstLine="643"/>
        <w:jc w:val="left"/>
        <w:rPr>
          <w:rFonts w:ascii="Times New Roman" w:hAnsi="Times New Roman" w:eastAsia="仿宋" w:cs="Times New Roman"/>
          <w:kern w:val="0"/>
          <w:sz w:val="32"/>
          <w:szCs w:val="32"/>
        </w:rPr>
      </w:pPr>
      <w:r>
        <w:rPr>
          <w:rFonts w:hint="eastAsia" w:ascii="仿宋" w:hAnsi="Times New Roman" w:eastAsia="仿宋" w:cs="仿宋"/>
          <w:b/>
          <w:bCs/>
          <w:kern w:val="0"/>
          <w:sz w:val="32"/>
          <w:szCs w:val="32"/>
        </w:rPr>
        <w:t>五、一般公共预算财政拨款支出决算情况说明</w:t>
      </w:r>
    </w:p>
    <w:p>
      <w:pPr>
        <w:autoSpaceDE w:val="0"/>
        <w:autoSpaceDN w:val="0"/>
        <w:adjustRightInd w:val="0"/>
        <w:spacing w:line="600" w:lineRule="exact"/>
        <w:ind w:firstLine="640"/>
        <w:rPr>
          <w:rFonts w:ascii="仿宋" w:hAnsi="Times New Roman" w:eastAsia="仿宋" w:cs="仿宋"/>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年度一般公共预算财政拨款支出</w:t>
      </w:r>
      <w:r>
        <w:rPr>
          <w:rFonts w:ascii="仿宋" w:hAnsi="Times New Roman" w:eastAsia="仿宋" w:cs="仿宋"/>
          <w:kern w:val="0"/>
          <w:sz w:val="32"/>
          <w:szCs w:val="32"/>
        </w:rPr>
        <w:t>2,140.33</w:t>
      </w:r>
      <w:r>
        <w:rPr>
          <w:rFonts w:hint="eastAsia" w:ascii="仿宋" w:hAnsi="Times New Roman" w:eastAsia="仿宋" w:cs="仿宋"/>
          <w:kern w:val="0"/>
          <w:sz w:val="32"/>
          <w:szCs w:val="32"/>
        </w:rPr>
        <w:t>万元，按功能分类科目项级科目公开，其中：</w:t>
      </w:r>
    </w:p>
    <w:p>
      <w:pPr>
        <w:autoSpaceDE w:val="0"/>
        <w:autoSpaceDN w:val="0"/>
        <w:adjustRightInd w:val="0"/>
        <w:spacing w:line="600" w:lineRule="exact"/>
        <w:ind w:firstLine="640"/>
        <w:rPr>
          <w:rFonts w:hint="eastAsia" w:ascii="仿宋" w:hAnsi="Times New Roman" w:eastAsia="仿宋" w:cs="仿宋"/>
          <w:kern w:val="0"/>
          <w:sz w:val="32"/>
          <w:szCs w:val="32"/>
        </w:rPr>
      </w:pPr>
      <w:r>
        <w:rPr>
          <w:rFonts w:hint="eastAsia" w:ascii="仿宋" w:hAnsi="Times New Roman" w:eastAsia="仿宋" w:cs="仿宋"/>
          <w:kern w:val="0"/>
          <w:sz w:val="32"/>
          <w:szCs w:val="32"/>
        </w:rPr>
        <w:t>2050201学前教育311.82万元；</w:t>
      </w:r>
    </w:p>
    <w:p>
      <w:pPr>
        <w:autoSpaceDE w:val="0"/>
        <w:autoSpaceDN w:val="0"/>
        <w:adjustRightInd w:val="0"/>
        <w:spacing w:line="600" w:lineRule="exact"/>
        <w:ind w:firstLine="640"/>
        <w:rPr>
          <w:rFonts w:hint="eastAsia" w:ascii="仿宋" w:hAnsi="Times New Roman" w:eastAsia="仿宋" w:cs="仿宋"/>
          <w:kern w:val="0"/>
          <w:sz w:val="32"/>
          <w:szCs w:val="32"/>
        </w:rPr>
      </w:pPr>
      <w:r>
        <w:rPr>
          <w:rFonts w:hint="eastAsia" w:ascii="仿宋" w:hAnsi="Times New Roman" w:eastAsia="仿宋" w:cs="仿宋"/>
          <w:kern w:val="0"/>
          <w:sz w:val="32"/>
          <w:szCs w:val="32"/>
        </w:rPr>
        <w:t>2050202小学教育765.04万元；</w:t>
      </w:r>
    </w:p>
    <w:p>
      <w:pPr>
        <w:autoSpaceDE w:val="0"/>
        <w:autoSpaceDN w:val="0"/>
        <w:adjustRightInd w:val="0"/>
        <w:spacing w:line="600" w:lineRule="exact"/>
        <w:ind w:firstLine="640"/>
        <w:rPr>
          <w:rFonts w:hint="eastAsia" w:ascii="仿宋" w:hAnsi="Times New Roman" w:eastAsia="仿宋" w:cs="仿宋"/>
          <w:kern w:val="0"/>
          <w:sz w:val="32"/>
          <w:szCs w:val="32"/>
        </w:rPr>
      </w:pPr>
      <w:r>
        <w:rPr>
          <w:rFonts w:hint="eastAsia" w:ascii="仿宋" w:hAnsi="Times New Roman" w:eastAsia="仿宋" w:cs="仿宋"/>
          <w:kern w:val="0"/>
          <w:sz w:val="32"/>
          <w:szCs w:val="32"/>
        </w:rPr>
        <w:t>2050203初中教育912.04万元；</w:t>
      </w:r>
    </w:p>
    <w:p>
      <w:pPr>
        <w:autoSpaceDE w:val="0"/>
        <w:autoSpaceDN w:val="0"/>
        <w:adjustRightInd w:val="0"/>
        <w:spacing w:line="600" w:lineRule="exact"/>
        <w:ind w:firstLine="640"/>
        <w:rPr>
          <w:rFonts w:hint="eastAsia" w:ascii="仿宋" w:hAnsi="Times New Roman" w:eastAsia="仿宋" w:cs="仿宋"/>
          <w:kern w:val="0"/>
          <w:sz w:val="32"/>
          <w:szCs w:val="32"/>
        </w:rPr>
      </w:pPr>
      <w:r>
        <w:rPr>
          <w:rFonts w:hint="eastAsia" w:ascii="仿宋" w:hAnsi="Times New Roman" w:eastAsia="仿宋" w:cs="仿宋"/>
          <w:kern w:val="0"/>
          <w:sz w:val="32"/>
          <w:szCs w:val="32"/>
        </w:rPr>
        <w:t>2080505机关事业单位基本养老保险缴费支出151.43万元。</w:t>
      </w:r>
    </w:p>
    <w:p>
      <w:pPr>
        <w:autoSpaceDE w:val="0"/>
        <w:autoSpaceDN w:val="0"/>
        <w:adjustRightInd w:val="0"/>
        <w:spacing w:line="600" w:lineRule="exact"/>
        <w:ind w:firstLine="640"/>
        <w:rPr>
          <w:rFonts w:ascii="Times New Roman" w:hAnsi="Times New Roman" w:eastAsia="仿宋" w:cs="Times New Roman"/>
          <w:b/>
          <w:bCs/>
          <w:sz w:val="32"/>
          <w:szCs w:val="32"/>
        </w:rPr>
      </w:pPr>
    </w:p>
    <w:p>
      <w:pPr>
        <w:autoSpaceDE w:val="0"/>
        <w:autoSpaceDN w:val="0"/>
        <w:adjustRightInd w:val="0"/>
        <w:spacing w:line="600" w:lineRule="exact"/>
        <w:ind w:firstLine="643"/>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六、一般公共预算财政拨款基本支出决算情况说明</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年度一般公共预算财政拨款基本支出</w:t>
      </w:r>
      <w:r>
        <w:rPr>
          <w:rFonts w:ascii="仿宋" w:hAnsi="Times New Roman" w:eastAsia="仿宋" w:cs="仿宋"/>
          <w:kern w:val="0"/>
          <w:sz w:val="32"/>
          <w:szCs w:val="32"/>
        </w:rPr>
        <w:t>2,061.2</w:t>
      </w:r>
      <w:r>
        <w:rPr>
          <w:rFonts w:hint="eastAsia" w:ascii="仿宋" w:hAnsi="Times New Roman" w:eastAsia="仿宋" w:cs="仿宋"/>
          <w:kern w:val="0"/>
          <w:sz w:val="32"/>
          <w:szCs w:val="32"/>
        </w:rPr>
        <w:t>万元，其中：</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人员经费</w:t>
      </w:r>
      <w:r>
        <w:rPr>
          <w:rFonts w:ascii="仿宋" w:hAnsi="Times New Roman" w:eastAsia="仿宋" w:cs="仿宋"/>
          <w:kern w:val="0"/>
          <w:sz w:val="32"/>
          <w:szCs w:val="32"/>
        </w:rPr>
        <w:t>1,942.2</w:t>
      </w:r>
      <w:r>
        <w:rPr>
          <w:rFonts w:hint="eastAsia" w:ascii="仿宋" w:hAnsi="Times New Roman" w:eastAsia="仿宋" w:cs="仿宋"/>
          <w:kern w:val="0"/>
          <w:sz w:val="32"/>
          <w:szCs w:val="32"/>
          <w:lang w:val="en-US" w:eastAsia="zh-CN"/>
        </w:rPr>
        <w:t>5</w:t>
      </w:r>
      <w:r>
        <w:rPr>
          <w:rFonts w:hint="eastAsia" w:ascii="仿宋" w:hAnsi="Times New Roman" w:eastAsia="仿宋" w:cs="仿宋"/>
          <w:kern w:val="0"/>
          <w:sz w:val="32"/>
          <w:szCs w:val="32"/>
        </w:rPr>
        <w:t>万元，包括：</w:t>
      </w:r>
      <w:r>
        <w:rPr>
          <w:rFonts w:hint="eastAsia" w:ascii="仿宋" w:hAnsi="Times New Roman" w:eastAsia="仿宋" w:cs="仿宋"/>
          <w:color w:val="000000"/>
          <w:kern w:val="0"/>
          <w:sz w:val="32"/>
          <w:szCs w:val="32"/>
        </w:rPr>
        <w:t>基本工资、津贴补贴、奖金、绩效工资、机关事业单位基本养老保险缴费、职工基本医疗保险缴费、公务员医疗补助缴费、其他社会保障缴费、住房公积金、其他工资福利支出、抚恤金、生活补助、奖励金、其他对个人和家庭的补助。</w:t>
      </w:r>
    </w:p>
    <w:p>
      <w:pPr>
        <w:autoSpaceDE w:val="0"/>
        <w:autoSpaceDN w:val="0"/>
        <w:adjustRightInd w:val="0"/>
        <w:spacing w:line="600" w:lineRule="exact"/>
        <w:ind w:firstLine="640"/>
        <w:rPr>
          <w:rFonts w:ascii="仿宋" w:hAnsi="Times New Roman" w:eastAsia="仿宋" w:cs="仿宋"/>
          <w:color w:val="000000"/>
          <w:kern w:val="0"/>
          <w:sz w:val="32"/>
          <w:szCs w:val="32"/>
        </w:rPr>
      </w:pPr>
      <w:r>
        <w:rPr>
          <w:rFonts w:hint="eastAsia" w:ascii="仿宋" w:hAnsi="Times New Roman" w:eastAsia="仿宋" w:cs="仿宋"/>
          <w:kern w:val="0"/>
          <w:sz w:val="32"/>
          <w:szCs w:val="32"/>
        </w:rPr>
        <w:t>公用经费</w:t>
      </w:r>
      <w:r>
        <w:rPr>
          <w:rFonts w:ascii="仿宋" w:hAnsi="Times New Roman" w:eastAsia="仿宋" w:cs="仿宋"/>
          <w:kern w:val="0"/>
          <w:sz w:val="32"/>
          <w:szCs w:val="32"/>
        </w:rPr>
        <w:t>118.9</w:t>
      </w:r>
      <w:r>
        <w:rPr>
          <w:rFonts w:hint="eastAsia" w:ascii="仿宋" w:hAnsi="Times New Roman" w:eastAsia="仿宋" w:cs="仿宋"/>
          <w:kern w:val="0"/>
          <w:sz w:val="32"/>
          <w:szCs w:val="32"/>
          <w:lang w:val="en-US" w:eastAsia="zh-CN"/>
        </w:rPr>
        <w:t>3</w:t>
      </w:r>
      <w:r>
        <w:rPr>
          <w:rFonts w:hint="eastAsia" w:ascii="仿宋" w:hAnsi="Times New Roman" w:eastAsia="仿宋" w:cs="仿宋"/>
          <w:kern w:val="0"/>
          <w:sz w:val="32"/>
          <w:szCs w:val="32"/>
        </w:rPr>
        <w:t>万元，包括：</w:t>
      </w:r>
      <w:r>
        <w:rPr>
          <w:rFonts w:hint="eastAsia" w:ascii="仿宋" w:hAnsi="Times New Roman" w:eastAsia="仿宋" w:cs="仿宋"/>
          <w:color w:val="000000"/>
          <w:kern w:val="0"/>
          <w:sz w:val="32"/>
          <w:szCs w:val="32"/>
        </w:rPr>
        <w:t>办公费、水费、电费、邮电费、取暖费、物业管理费、维修（护）费、培训费、专用材料费、劳务费、工会经费、其他商品和服务支出、办公设备购置。</w:t>
      </w:r>
    </w:p>
    <w:p>
      <w:pPr>
        <w:autoSpaceDE w:val="0"/>
        <w:autoSpaceDN w:val="0"/>
        <w:adjustRightInd w:val="0"/>
        <w:spacing w:line="600" w:lineRule="exact"/>
        <w:ind w:firstLine="640"/>
        <w:rPr>
          <w:rFonts w:ascii="Times New Roman" w:hAnsi="Times New Roman" w:eastAsia="仿宋" w:cs="Times New Roman"/>
          <w:kern w:val="0"/>
          <w:sz w:val="32"/>
          <w:szCs w:val="32"/>
        </w:rPr>
      </w:pPr>
    </w:p>
    <w:p>
      <w:pPr>
        <w:autoSpaceDE w:val="0"/>
        <w:autoSpaceDN w:val="0"/>
        <w:adjustRightInd w:val="0"/>
        <w:spacing w:line="600" w:lineRule="exact"/>
        <w:ind w:firstLine="643"/>
        <w:rPr>
          <w:rFonts w:ascii="Times New Roman" w:hAnsi="Times New Roman" w:eastAsia="仿宋" w:cs="Times New Roman"/>
          <w:sz w:val="32"/>
          <w:szCs w:val="32"/>
        </w:rPr>
      </w:pPr>
      <w:r>
        <w:rPr>
          <w:rFonts w:hint="eastAsia" w:ascii="仿宋" w:hAnsi="Times New Roman" w:eastAsia="仿宋" w:cs="仿宋"/>
          <w:b/>
          <w:bCs/>
          <w:kern w:val="0"/>
          <w:sz w:val="32"/>
          <w:szCs w:val="32"/>
        </w:rPr>
        <w:t>七、一般公共预算财政拨款</w:t>
      </w:r>
      <w:r>
        <w:rPr>
          <w:rFonts w:ascii="Times New Roman" w:hAnsi="Times New Roman" w:eastAsia="仿宋" w:cs="Times New Roman"/>
          <w:b/>
          <w:bCs/>
          <w:kern w:val="0"/>
          <w:sz w:val="32"/>
          <w:szCs w:val="32"/>
        </w:rPr>
        <w:t>“</w:t>
      </w:r>
      <w:r>
        <w:rPr>
          <w:rFonts w:hint="eastAsia" w:ascii="仿宋" w:hAnsi="Times New Roman" w:eastAsia="仿宋" w:cs="仿宋"/>
          <w:b/>
          <w:bCs/>
          <w:kern w:val="0"/>
          <w:sz w:val="32"/>
          <w:szCs w:val="32"/>
        </w:rPr>
        <w:t>三公</w:t>
      </w:r>
      <w:r>
        <w:rPr>
          <w:rFonts w:ascii="Times New Roman" w:hAnsi="Times New Roman" w:eastAsia="仿宋" w:cs="Times New Roman"/>
          <w:b/>
          <w:bCs/>
          <w:kern w:val="0"/>
          <w:sz w:val="32"/>
          <w:szCs w:val="32"/>
        </w:rPr>
        <w:t>”</w:t>
      </w:r>
      <w:r>
        <w:rPr>
          <w:rFonts w:hint="eastAsia" w:ascii="仿宋" w:hAnsi="Times New Roman" w:eastAsia="仿宋" w:cs="仿宋"/>
          <w:b/>
          <w:bCs/>
          <w:kern w:val="0"/>
          <w:sz w:val="32"/>
          <w:szCs w:val="32"/>
        </w:rPr>
        <w:t>经费支出决算情况说明</w:t>
      </w:r>
    </w:p>
    <w:p>
      <w:pPr>
        <w:shd w:val="clear" w:color="auto" w:fill="FFFFFF"/>
        <w:autoSpaceDE w:val="0"/>
        <w:autoSpaceDN w:val="0"/>
        <w:adjustRightInd w:val="0"/>
        <w:spacing w:before="100" w:line="600" w:lineRule="exact"/>
        <w:ind w:firstLine="640"/>
        <w:rPr>
          <w:rFonts w:ascii="仿宋" w:hAnsi="Times New Roman" w:eastAsia="仿宋" w:cs="仿宋"/>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年度，一般公共预算</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三公</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经费支出决算</w:t>
      </w:r>
      <w:r>
        <w:rPr>
          <w:rFonts w:ascii="仿宋" w:hAnsi="Times New Roman" w:eastAsia="仿宋" w:cs="仿宋"/>
          <w:kern w:val="0"/>
          <w:sz w:val="32"/>
          <w:szCs w:val="32"/>
        </w:rPr>
        <w:t>0</w:t>
      </w:r>
      <w:r>
        <w:rPr>
          <w:rFonts w:hint="eastAsia" w:ascii="仿宋" w:hAnsi="Times New Roman" w:eastAsia="仿宋" w:cs="仿宋"/>
          <w:kern w:val="0"/>
          <w:sz w:val="32"/>
          <w:szCs w:val="32"/>
        </w:rPr>
        <w:t>万元，比上年减少</w:t>
      </w:r>
      <w:r>
        <w:rPr>
          <w:rFonts w:ascii="仿宋" w:hAnsi="Times New Roman" w:eastAsia="仿宋" w:cs="仿宋"/>
          <w:kern w:val="0"/>
          <w:sz w:val="32"/>
          <w:szCs w:val="32"/>
        </w:rPr>
        <w:t>1.09</w:t>
      </w:r>
      <w:r>
        <w:rPr>
          <w:rFonts w:hint="eastAsia" w:ascii="仿宋" w:hAnsi="Times New Roman" w:eastAsia="仿宋" w:cs="仿宋"/>
          <w:kern w:val="0"/>
          <w:sz w:val="32"/>
          <w:szCs w:val="32"/>
        </w:rPr>
        <w:t>万元，降低</w:t>
      </w:r>
      <w:r>
        <w:rPr>
          <w:rFonts w:ascii="仿宋" w:hAnsi="Times New Roman" w:eastAsia="仿宋" w:cs="仿宋"/>
          <w:kern w:val="0"/>
          <w:sz w:val="32"/>
          <w:szCs w:val="32"/>
        </w:rPr>
        <w:t>100%</w:t>
      </w:r>
      <w:r>
        <w:rPr>
          <w:rFonts w:hint="eastAsia" w:ascii="仿宋" w:hAnsi="Times New Roman" w:eastAsia="仿宋" w:cs="仿宋"/>
          <w:kern w:val="0"/>
          <w:sz w:val="32"/>
          <w:szCs w:val="32"/>
        </w:rPr>
        <w:t>。主要原因是车辆现状为待报废不能使用，本年无支出。其中，因公出国（境）费支出0万元，占0%，比上年增加0万元，增长0%，主要原因是2019年度我单位无因公出国（境）费支出，与上年相比无变化；公务用车购置及运行维护费支出0万元，占0%，比上年减少1.09万元，降低100%，主要原因是车辆现状为待报废不能使用，本年无支出；公务接待费支出0万元，占0%，比上年增加0万元，增长0%，主要原因是2019年我单位无公务接待费支出。具体情况如下：</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因公出国（境）费支出0万元，开支内容包括：</w:t>
      </w:r>
      <w:r>
        <w:rPr>
          <w:rFonts w:ascii="仿宋" w:hAnsi="Times New Roman" w:eastAsia="仿宋" w:cs="仿宋"/>
          <w:kern w:val="0"/>
          <w:sz w:val="32"/>
          <w:szCs w:val="32"/>
        </w:rPr>
        <w:t>2019</w:t>
      </w:r>
      <w:r>
        <w:rPr>
          <w:rFonts w:hint="eastAsia" w:ascii="仿宋" w:hAnsi="Times New Roman" w:eastAsia="仿宋" w:cs="仿宋"/>
          <w:kern w:val="0"/>
          <w:sz w:val="32"/>
          <w:szCs w:val="32"/>
        </w:rPr>
        <w:t>年度我单位无因公出国（境）费支出。单位全年安排的因公出国（境）团组</w:t>
      </w:r>
      <w:r>
        <w:rPr>
          <w:rFonts w:ascii="仿宋" w:hAnsi="Times New Roman" w:eastAsia="仿宋" w:cs="仿宋"/>
          <w:kern w:val="0"/>
          <w:sz w:val="32"/>
          <w:szCs w:val="32"/>
        </w:rPr>
        <w:t>0</w:t>
      </w:r>
      <w:r>
        <w:rPr>
          <w:rFonts w:hint="eastAsia" w:ascii="仿宋" w:hAnsi="Times New Roman" w:eastAsia="仿宋" w:cs="仿宋"/>
          <w:kern w:val="0"/>
          <w:sz w:val="32"/>
          <w:szCs w:val="32"/>
        </w:rPr>
        <w:t>个，因公出国（境）</w:t>
      </w:r>
      <w:r>
        <w:rPr>
          <w:rFonts w:ascii="仿宋" w:hAnsi="Times New Roman" w:eastAsia="仿宋" w:cs="仿宋"/>
          <w:kern w:val="0"/>
          <w:sz w:val="32"/>
          <w:szCs w:val="32"/>
        </w:rPr>
        <w:t>0</w:t>
      </w:r>
      <w:r>
        <w:rPr>
          <w:rFonts w:hint="eastAsia" w:ascii="仿宋" w:hAnsi="Times New Roman" w:eastAsia="仿宋" w:cs="仿宋"/>
          <w:kern w:val="0"/>
          <w:sz w:val="32"/>
          <w:szCs w:val="32"/>
        </w:rPr>
        <w:t>人次。</w:t>
      </w:r>
    </w:p>
    <w:p>
      <w:pPr>
        <w:shd w:val="clear" w:color="auto" w:fill="FFFFFF"/>
        <w:autoSpaceDE w:val="0"/>
        <w:autoSpaceDN w:val="0"/>
        <w:adjustRightInd w:val="0"/>
        <w:spacing w:before="100" w:line="600" w:lineRule="exact"/>
        <w:ind w:firstLine="640"/>
        <w:rPr>
          <w:rFonts w:ascii="仿宋" w:hAnsi="Times New Roman" w:eastAsia="仿宋" w:cs="仿宋"/>
          <w:kern w:val="0"/>
          <w:sz w:val="32"/>
          <w:szCs w:val="32"/>
        </w:rPr>
      </w:pPr>
      <w:r>
        <w:rPr>
          <w:rFonts w:hint="eastAsia" w:ascii="仿宋" w:hAnsi="Times New Roman" w:eastAsia="仿宋" w:cs="仿宋"/>
          <w:kern w:val="0"/>
          <w:sz w:val="32"/>
          <w:szCs w:val="32"/>
        </w:rPr>
        <w:t>公务用车购置及运行维护费</w:t>
      </w:r>
      <w:r>
        <w:rPr>
          <w:rFonts w:ascii="仿宋" w:hAnsi="Times New Roman" w:eastAsia="仿宋" w:cs="仿宋"/>
          <w:kern w:val="0"/>
          <w:sz w:val="32"/>
          <w:szCs w:val="32"/>
        </w:rPr>
        <w:t>0</w:t>
      </w:r>
      <w:r>
        <w:rPr>
          <w:rFonts w:hint="eastAsia" w:ascii="仿宋" w:hAnsi="Times New Roman" w:eastAsia="仿宋" w:cs="仿宋"/>
          <w:kern w:val="0"/>
          <w:sz w:val="32"/>
          <w:szCs w:val="32"/>
        </w:rPr>
        <w:t>万元，其中，公务用车购置费</w:t>
      </w:r>
      <w:r>
        <w:rPr>
          <w:rFonts w:ascii="仿宋" w:hAnsi="Times New Roman" w:eastAsia="仿宋" w:cs="仿宋"/>
          <w:kern w:val="0"/>
          <w:sz w:val="32"/>
          <w:szCs w:val="32"/>
        </w:rPr>
        <w:t>0</w:t>
      </w:r>
      <w:r>
        <w:rPr>
          <w:rFonts w:hint="eastAsia" w:ascii="仿宋" w:hAnsi="Times New Roman" w:eastAsia="仿宋" w:cs="仿宋"/>
          <w:kern w:val="0"/>
          <w:sz w:val="32"/>
          <w:szCs w:val="32"/>
        </w:rPr>
        <w:t>万元，公务用车运行维护费</w:t>
      </w:r>
      <w:r>
        <w:rPr>
          <w:rFonts w:ascii="仿宋" w:hAnsi="Times New Roman" w:eastAsia="仿宋" w:cs="仿宋"/>
          <w:kern w:val="0"/>
          <w:sz w:val="32"/>
          <w:szCs w:val="32"/>
        </w:rPr>
        <w:t>0</w:t>
      </w:r>
      <w:r>
        <w:rPr>
          <w:rFonts w:hint="eastAsia" w:ascii="仿宋" w:hAnsi="Times New Roman" w:eastAsia="仿宋" w:cs="仿宋"/>
          <w:kern w:val="0"/>
          <w:sz w:val="32"/>
          <w:szCs w:val="32"/>
        </w:rPr>
        <w:t>万元。公务用车运行维护费开支内容包括：本年无公务用车运行维护费开支。公务用车购置数0辆，公务用车保有量0辆。</w:t>
      </w:r>
    </w:p>
    <w:p>
      <w:pPr>
        <w:shd w:val="clear" w:color="auto" w:fill="FFFFFF"/>
        <w:autoSpaceDE w:val="0"/>
        <w:autoSpaceDN w:val="0"/>
        <w:adjustRightInd w:val="0"/>
        <w:spacing w:before="100" w:line="600" w:lineRule="exact"/>
        <w:ind w:firstLine="640"/>
        <w:rPr>
          <w:rFonts w:ascii="仿宋" w:hAnsi="Times New Roman" w:eastAsia="仿宋" w:cs="仿宋"/>
          <w:kern w:val="0"/>
          <w:sz w:val="32"/>
          <w:szCs w:val="32"/>
        </w:rPr>
      </w:pPr>
      <w:r>
        <w:rPr>
          <w:rFonts w:hint="eastAsia" w:ascii="仿宋" w:hAnsi="Times New Roman" w:eastAsia="仿宋" w:cs="仿宋"/>
          <w:kern w:val="0"/>
          <w:sz w:val="32"/>
          <w:szCs w:val="32"/>
        </w:rPr>
        <w:t>公务接待费0万元。开支内容：包括本年无公务接待费。单位全年安排的国内公务接待0批次，0人次。</w:t>
      </w:r>
    </w:p>
    <w:p>
      <w:pPr>
        <w:shd w:val="clear" w:color="auto" w:fill="FFFFFF"/>
        <w:autoSpaceDE w:val="0"/>
        <w:autoSpaceDN w:val="0"/>
        <w:adjustRightInd w:val="0"/>
        <w:spacing w:before="100" w:after="240" w:line="600" w:lineRule="exact"/>
        <w:ind w:firstLine="640"/>
        <w:jc w:val="left"/>
        <w:rPr>
          <w:rFonts w:ascii="仿宋" w:hAnsi="Times New Roman" w:eastAsia="仿宋" w:cs="仿宋"/>
          <w:kern w:val="0"/>
          <w:sz w:val="32"/>
          <w:szCs w:val="32"/>
        </w:rPr>
      </w:pPr>
      <w:r>
        <w:rPr>
          <w:rFonts w:hint="eastAsia" w:ascii="仿宋" w:hAnsi="Times New Roman" w:eastAsia="仿宋" w:cs="仿宋"/>
          <w:kern w:val="0"/>
          <w:sz w:val="32"/>
          <w:szCs w:val="32"/>
        </w:rPr>
        <w:t>与年初预算数相比情况</w:t>
      </w:r>
      <w:r>
        <w:rPr>
          <w:rFonts w:ascii="仿宋" w:hAnsi="Times New Roman" w:eastAsia="仿宋" w:cs="仿宋"/>
          <w:kern w:val="0"/>
          <w:sz w:val="32"/>
          <w:szCs w:val="32"/>
        </w:rPr>
        <w:t>:</w:t>
      </w:r>
      <w:r>
        <w:rPr>
          <w:rFonts w:hint="eastAsia" w:ascii="仿宋" w:hAnsi="Times New Roman" w:eastAsia="仿宋" w:cs="仿宋"/>
          <w:kern w:val="0"/>
          <w:sz w:val="32"/>
          <w:szCs w:val="32"/>
        </w:rPr>
        <w:t>一般公共预算</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三公</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经费支出年初预算数</w:t>
      </w:r>
      <w:r>
        <w:rPr>
          <w:rFonts w:ascii="仿宋" w:hAnsi="Times New Roman" w:eastAsia="仿宋" w:cs="仿宋"/>
          <w:kern w:val="0"/>
          <w:sz w:val="32"/>
          <w:szCs w:val="32"/>
        </w:rPr>
        <w:t>0</w:t>
      </w:r>
      <w:r>
        <w:rPr>
          <w:rFonts w:hint="eastAsia" w:ascii="仿宋" w:hAnsi="Times New Roman" w:eastAsia="仿宋" w:cs="仿宋"/>
          <w:kern w:val="0"/>
          <w:sz w:val="32"/>
          <w:szCs w:val="32"/>
        </w:rPr>
        <w:t>万元，决算数</w:t>
      </w:r>
      <w:r>
        <w:rPr>
          <w:rFonts w:ascii="仿宋" w:hAnsi="Times New Roman" w:eastAsia="仿宋" w:cs="仿宋"/>
          <w:kern w:val="0"/>
          <w:sz w:val="32"/>
          <w:szCs w:val="32"/>
        </w:rPr>
        <w:t>0</w:t>
      </w:r>
      <w:r>
        <w:rPr>
          <w:rFonts w:hint="eastAsia" w:ascii="仿宋" w:hAnsi="Times New Roman" w:eastAsia="仿宋" w:cs="仿宋"/>
          <w:kern w:val="0"/>
          <w:sz w:val="32"/>
          <w:szCs w:val="32"/>
        </w:rPr>
        <w:t>万元，预决算差异率</w:t>
      </w:r>
      <w:r>
        <w:rPr>
          <w:rFonts w:ascii="仿宋" w:hAnsi="Times New Roman" w:eastAsia="仿宋" w:cs="仿宋"/>
          <w:kern w:val="0"/>
          <w:sz w:val="32"/>
          <w:szCs w:val="32"/>
        </w:rPr>
        <w:t>0%</w:t>
      </w:r>
      <w:r>
        <w:rPr>
          <w:rFonts w:hint="eastAsia" w:ascii="仿宋" w:hAnsi="Times New Roman" w:eastAsia="仿宋" w:cs="仿宋"/>
          <w:kern w:val="0"/>
          <w:sz w:val="32"/>
          <w:szCs w:val="32"/>
        </w:rPr>
        <w:t>，主要原因是：</w:t>
      </w:r>
      <w:r>
        <w:rPr>
          <w:rFonts w:hint="eastAsia" w:ascii="仿宋" w:hAnsi="Times New Roman" w:eastAsia="仿宋"/>
          <w:kern w:val="0"/>
          <w:sz w:val="32"/>
        </w:rPr>
        <w:t>2019年我单位无一般公共预算</w:t>
      </w:r>
      <w:r>
        <w:rPr>
          <w:rFonts w:ascii="Times New Roman" w:hAnsi="Times New Roman" w:eastAsia="仿宋"/>
          <w:kern w:val="0"/>
          <w:sz w:val="32"/>
        </w:rPr>
        <w:t>“</w:t>
      </w:r>
      <w:r>
        <w:rPr>
          <w:rFonts w:hint="eastAsia" w:ascii="仿宋" w:hAnsi="Times New Roman" w:eastAsia="仿宋"/>
          <w:kern w:val="0"/>
          <w:sz w:val="32"/>
        </w:rPr>
        <w:t>三公</w:t>
      </w:r>
      <w:r>
        <w:rPr>
          <w:rFonts w:ascii="Times New Roman" w:hAnsi="Times New Roman" w:eastAsia="仿宋"/>
          <w:kern w:val="0"/>
          <w:sz w:val="32"/>
        </w:rPr>
        <w:t>”</w:t>
      </w:r>
      <w:r>
        <w:rPr>
          <w:rFonts w:hint="eastAsia" w:ascii="仿宋" w:hAnsi="Times New Roman" w:eastAsia="仿宋"/>
          <w:kern w:val="0"/>
          <w:sz w:val="32"/>
        </w:rPr>
        <w:t>经费支出，与预算数相比无差异</w:t>
      </w:r>
      <w:r>
        <w:rPr>
          <w:rFonts w:hint="eastAsia" w:ascii="仿宋" w:hAnsi="Times New Roman" w:eastAsia="仿宋" w:cs="仿宋"/>
          <w:kern w:val="0"/>
          <w:sz w:val="32"/>
          <w:szCs w:val="32"/>
        </w:rPr>
        <w:t>。其中：因公出国（境）费预算数</w:t>
      </w:r>
      <w:r>
        <w:rPr>
          <w:rFonts w:ascii="仿宋" w:hAnsi="Times New Roman" w:eastAsia="仿宋" w:cs="仿宋"/>
          <w:kern w:val="0"/>
          <w:sz w:val="32"/>
          <w:szCs w:val="32"/>
        </w:rPr>
        <w:t>0</w:t>
      </w:r>
      <w:r>
        <w:rPr>
          <w:rFonts w:hint="eastAsia" w:ascii="仿宋" w:hAnsi="Times New Roman" w:eastAsia="仿宋" w:cs="仿宋"/>
          <w:kern w:val="0"/>
          <w:sz w:val="32"/>
          <w:szCs w:val="32"/>
        </w:rPr>
        <w:t>万元，决算数</w:t>
      </w:r>
      <w:r>
        <w:rPr>
          <w:rFonts w:ascii="仿宋" w:hAnsi="Times New Roman" w:eastAsia="仿宋" w:cs="仿宋"/>
          <w:kern w:val="0"/>
          <w:sz w:val="32"/>
          <w:szCs w:val="32"/>
        </w:rPr>
        <w:t>0</w:t>
      </w:r>
      <w:r>
        <w:rPr>
          <w:rFonts w:hint="eastAsia" w:ascii="仿宋" w:hAnsi="Times New Roman" w:eastAsia="仿宋" w:cs="仿宋"/>
          <w:kern w:val="0"/>
          <w:sz w:val="32"/>
          <w:szCs w:val="32"/>
        </w:rPr>
        <w:t>万元，预决算差异率</w:t>
      </w:r>
      <w:r>
        <w:rPr>
          <w:rFonts w:ascii="仿宋" w:hAnsi="Times New Roman" w:eastAsia="仿宋" w:cs="仿宋"/>
          <w:kern w:val="0"/>
          <w:sz w:val="32"/>
          <w:szCs w:val="32"/>
        </w:rPr>
        <w:t>0%</w:t>
      </w:r>
      <w:r>
        <w:rPr>
          <w:rFonts w:hint="eastAsia" w:ascii="仿宋" w:hAnsi="Times New Roman" w:eastAsia="仿宋" w:cs="仿宋"/>
          <w:kern w:val="0"/>
          <w:sz w:val="32"/>
          <w:szCs w:val="32"/>
        </w:rPr>
        <w:t>，主要原因是：</w:t>
      </w:r>
      <w:r>
        <w:rPr>
          <w:rFonts w:ascii="仿宋" w:hAnsi="Times New Roman" w:eastAsia="仿宋" w:cs="仿宋"/>
          <w:kern w:val="0"/>
          <w:sz w:val="32"/>
          <w:szCs w:val="32"/>
        </w:rPr>
        <w:t>2019</w:t>
      </w:r>
      <w:r>
        <w:rPr>
          <w:rFonts w:hint="eastAsia" w:ascii="仿宋" w:hAnsi="Times New Roman" w:eastAsia="仿宋" w:cs="仿宋"/>
          <w:kern w:val="0"/>
          <w:sz w:val="32"/>
          <w:szCs w:val="32"/>
        </w:rPr>
        <w:t>年度我单位无因公出国（境）费支出，与预算数相比无差异；公务用车购置费预算数</w:t>
      </w:r>
      <w:r>
        <w:rPr>
          <w:rFonts w:ascii="仿宋" w:hAnsi="Times New Roman" w:eastAsia="仿宋" w:cs="仿宋"/>
          <w:kern w:val="0"/>
          <w:sz w:val="32"/>
          <w:szCs w:val="32"/>
        </w:rPr>
        <w:t>0</w:t>
      </w:r>
      <w:r>
        <w:rPr>
          <w:rFonts w:hint="eastAsia" w:ascii="仿宋" w:hAnsi="Times New Roman" w:eastAsia="仿宋" w:cs="仿宋"/>
          <w:kern w:val="0"/>
          <w:sz w:val="32"/>
          <w:szCs w:val="32"/>
        </w:rPr>
        <w:t>万元，决算数</w:t>
      </w:r>
      <w:r>
        <w:rPr>
          <w:rFonts w:ascii="仿宋" w:hAnsi="Times New Roman" w:eastAsia="仿宋" w:cs="仿宋"/>
          <w:kern w:val="0"/>
          <w:sz w:val="32"/>
          <w:szCs w:val="32"/>
        </w:rPr>
        <w:t>0</w:t>
      </w:r>
      <w:r>
        <w:rPr>
          <w:rFonts w:hint="eastAsia" w:ascii="仿宋" w:hAnsi="Times New Roman" w:eastAsia="仿宋" w:cs="仿宋"/>
          <w:kern w:val="0"/>
          <w:sz w:val="32"/>
          <w:szCs w:val="32"/>
        </w:rPr>
        <w:t>万元，预决算差异率</w:t>
      </w:r>
      <w:r>
        <w:rPr>
          <w:rFonts w:ascii="仿宋" w:hAnsi="Times New Roman" w:eastAsia="仿宋" w:cs="仿宋"/>
          <w:kern w:val="0"/>
          <w:sz w:val="32"/>
          <w:szCs w:val="32"/>
        </w:rPr>
        <w:t>0%</w:t>
      </w:r>
      <w:r>
        <w:rPr>
          <w:rFonts w:hint="eastAsia" w:ascii="仿宋" w:hAnsi="Times New Roman" w:eastAsia="仿宋" w:cs="仿宋"/>
          <w:kern w:val="0"/>
          <w:sz w:val="32"/>
          <w:szCs w:val="32"/>
        </w:rPr>
        <w:t>，主要原因是：2019年我单位无公务用车购置费支出，与预算数相比无差异；公务用车运行维护费预算数</w:t>
      </w:r>
      <w:r>
        <w:rPr>
          <w:rFonts w:ascii="仿宋" w:hAnsi="Times New Roman" w:eastAsia="仿宋" w:cs="仿宋"/>
          <w:kern w:val="0"/>
          <w:sz w:val="32"/>
          <w:szCs w:val="32"/>
        </w:rPr>
        <w:t>0</w:t>
      </w:r>
      <w:r>
        <w:rPr>
          <w:rFonts w:hint="eastAsia" w:ascii="仿宋" w:hAnsi="Times New Roman" w:eastAsia="仿宋" w:cs="仿宋"/>
          <w:kern w:val="0"/>
          <w:sz w:val="32"/>
          <w:szCs w:val="32"/>
        </w:rPr>
        <w:t>万元，决算数</w:t>
      </w:r>
      <w:r>
        <w:rPr>
          <w:rFonts w:ascii="仿宋" w:hAnsi="Times New Roman" w:eastAsia="仿宋" w:cs="仿宋"/>
          <w:kern w:val="0"/>
          <w:sz w:val="32"/>
          <w:szCs w:val="32"/>
        </w:rPr>
        <w:t>0</w:t>
      </w:r>
      <w:r>
        <w:rPr>
          <w:rFonts w:hint="eastAsia" w:ascii="仿宋" w:hAnsi="Times New Roman" w:eastAsia="仿宋" w:cs="仿宋"/>
          <w:kern w:val="0"/>
          <w:sz w:val="32"/>
          <w:szCs w:val="32"/>
        </w:rPr>
        <w:t>万元，预决算差异率</w:t>
      </w:r>
      <w:r>
        <w:rPr>
          <w:rFonts w:ascii="仿宋" w:hAnsi="Times New Roman" w:eastAsia="仿宋" w:cs="仿宋"/>
          <w:kern w:val="0"/>
          <w:sz w:val="32"/>
          <w:szCs w:val="32"/>
        </w:rPr>
        <w:t>0%</w:t>
      </w:r>
      <w:r>
        <w:rPr>
          <w:rFonts w:hint="eastAsia" w:ascii="仿宋" w:hAnsi="Times New Roman" w:eastAsia="仿宋" w:cs="仿宋"/>
          <w:kern w:val="0"/>
          <w:sz w:val="32"/>
          <w:szCs w:val="32"/>
        </w:rPr>
        <w:t>，主要原因是：</w:t>
      </w:r>
      <w:r>
        <w:rPr>
          <w:rFonts w:hint="eastAsia" w:ascii="仿宋" w:hAnsi="Times New Roman" w:eastAsia="仿宋"/>
          <w:kern w:val="0"/>
          <w:sz w:val="32"/>
        </w:rPr>
        <w:t>2019年我单位无公务用车运行维护费支出，与预算数相比无差异</w:t>
      </w:r>
      <w:r>
        <w:rPr>
          <w:rFonts w:hint="eastAsia" w:ascii="仿宋" w:hAnsi="Times New Roman" w:eastAsia="仿宋" w:cs="仿宋"/>
          <w:kern w:val="0"/>
          <w:sz w:val="32"/>
          <w:szCs w:val="32"/>
        </w:rPr>
        <w:t>；公务接待费预算数</w:t>
      </w:r>
      <w:r>
        <w:rPr>
          <w:rFonts w:ascii="仿宋" w:hAnsi="Times New Roman" w:eastAsia="仿宋" w:cs="仿宋"/>
          <w:kern w:val="0"/>
          <w:sz w:val="32"/>
          <w:szCs w:val="32"/>
        </w:rPr>
        <w:t>0</w:t>
      </w:r>
      <w:r>
        <w:rPr>
          <w:rFonts w:hint="eastAsia" w:ascii="仿宋" w:hAnsi="Times New Roman" w:eastAsia="仿宋" w:cs="仿宋"/>
          <w:kern w:val="0"/>
          <w:sz w:val="32"/>
          <w:szCs w:val="32"/>
        </w:rPr>
        <w:t>万元，决算数</w:t>
      </w:r>
      <w:r>
        <w:rPr>
          <w:rFonts w:ascii="仿宋" w:hAnsi="Times New Roman" w:eastAsia="仿宋" w:cs="仿宋"/>
          <w:kern w:val="0"/>
          <w:sz w:val="32"/>
          <w:szCs w:val="32"/>
        </w:rPr>
        <w:t>0</w:t>
      </w:r>
      <w:r>
        <w:rPr>
          <w:rFonts w:hint="eastAsia" w:ascii="仿宋" w:hAnsi="Times New Roman" w:eastAsia="仿宋" w:cs="仿宋"/>
          <w:kern w:val="0"/>
          <w:sz w:val="32"/>
          <w:szCs w:val="32"/>
        </w:rPr>
        <w:t>万元，预决算差异率</w:t>
      </w:r>
      <w:r>
        <w:rPr>
          <w:rFonts w:ascii="仿宋" w:hAnsi="Times New Roman" w:eastAsia="仿宋" w:cs="仿宋"/>
          <w:kern w:val="0"/>
          <w:sz w:val="32"/>
          <w:szCs w:val="32"/>
        </w:rPr>
        <w:t>0%</w:t>
      </w:r>
      <w:r>
        <w:rPr>
          <w:rFonts w:hint="eastAsia" w:ascii="仿宋" w:hAnsi="Times New Roman" w:eastAsia="仿宋" w:cs="仿宋"/>
          <w:kern w:val="0"/>
          <w:sz w:val="32"/>
          <w:szCs w:val="32"/>
        </w:rPr>
        <w:t>，主要原因是：</w:t>
      </w:r>
      <w:r>
        <w:rPr>
          <w:rFonts w:hint="eastAsia" w:ascii="仿宋" w:hAnsi="Times New Roman" w:eastAsia="仿宋"/>
          <w:kern w:val="0"/>
          <w:sz w:val="32"/>
        </w:rPr>
        <w:t>2019年我单位无公务接待费支出，与预算数相比无差异</w:t>
      </w:r>
      <w:r>
        <w:rPr>
          <w:rFonts w:hint="eastAsia" w:ascii="仿宋" w:hAnsi="Times New Roman" w:eastAsia="仿宋" w:cs="仿宋"/>
          <w:kern w:val="0"/>
          <w:sz w:val="32"/>
          <w:szCs w:val="32"/>
        </w:rPr>
        <w:t>。</w:t>
      </w:r>
    </w:p>
    <w:p>
      <w:pPr>
        <w:shd w:val="clear" w:color="auto" w:fill="FFFFFF"/>
        <w:autoSpaceDE w:val="0"/>
        <w:autoSpaceDN w:val="0"/>
        <w:adjustRightInd w:val="0"/>
        <w:spacing w:before="100" w:after="240" w:line="600" w:lineRule="exact"/>
        <w:ind w:firstLine="640"/>
        <w:jc w:val="left"/>
        <w:rPr>
          <w:rFonts w:ascii="Times New Roman" w:hAnsi="Times New Roman" w:eastAsia="仿宋" w:cs="Times New Roman"/>
          <w:kern w:val="0"/>
          <w:sz w:val="32"/>
          <w:szCs w:val="32"/>
        </w:rPr>
      </w:pPr>
    </w:p>
    <w:p>
      <w:pPr>
        <w:autoSpaceDE w:val="0"/>
        <w:autoSpaceDN w:val="0"/>
        <w:adjustRightInd w:val="0"/>
        <w:spacing w:line="600" w:lineRule="exact"/>
        <w:ind w:firstLine="640"/>
        <w:rPr>
          <w:rFonts w:ascii="Times New Roman" w:hAnsi="Times New Roman" w:eastAsia="黑体" w:cs="Times New Roman"/>
          <w:sz w:val="32"/>
          <w:szCs w:val="32"/>
        </w:rPr>
      </w:pPr>
      <w:r>
        <w:rPr>
          <w:rFonts w:hint="eastAsia" w:ascii="黑体" w:hAnsi="Times New Roman" w:eastAsia="黑体" w:cs="黑体"/>
          <w:kern w:val="0"/>
          <w:sz w:val="32"/>
          <w:szCs w:val="32"/>
        </w:rPr>
        <w:t>八、政府性基金预算收入支出决算情况说明</w:t>
      </w:r>
    </w:p>
    <w:p>
      <w:pPr>
        <w:autoSpaceDE w:val="0"/>
        <w:autoSpaceDN w:val="0"/>
        <w:adjustRightInd w:val="0"/>
        <w:spacing w:line="600" w:lineRule="exact"/>
        <w:ind w:firstLine="640"/>
        <w:rPr>
          <w:rFonts w:ascii="仿宋" w:hAnsi="Times New Roman" w:eastAsia="仿宋" w:cs="仿宋"/>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年度政府性基金预算财政拨款收入</w:t>
      </w:r>
      <w:r>
        <w:rPr>
          <w:rFonts w:ascii="仿宋" w:hAnsi="Times New Roman" w:eastAsia="仿宋" w:cs="仿宋"/>
          <w:kern w:val="0"/>
          <w:sz w:val="32"/>
          <w:szCs w:val="32"/>
        </w:rPr>
        <w:t>5</w:t>
      </w:r>
      <w:r>
        <w:rPr>
          <w:rFonts w:hint="eastAsia" w:ascii="仿宋" w:hAnsi="Times New Roman" w:eastAsia="仿宋" w:cs="仿宋"/>
          <w:kern w:val="0"/>
          <w:sz w:val="32"/>
          <w:szCs w:val="32"/>
        </w:rPr>
        <w:t>万元，与上年相比，</w:t>
      </w:r>
      <w:r>
        <w:rPr>
          <w:rFonts w:hint="eastAsia" w:ascii="仿宋" w:hAnsi="Times New Roman" w:eastAsia="仿宋" w:cs="仿宋"/>
          <w:color w:val="000000"/>
          <w:kern w:val="0"/>
          <w:sz w:val="32"/>
          <w:szCs w:val="32"/>
        </w:rPr>
        <w:t>增加</w:t>
      </w:r>
      <w:r>
        <w:rPr>
          <w:rFonts w:ascii="仿宋" w:hAnsi="Times New Roman" w:eastAsia="仿宋" w:cs="仿宋"/>
          <w:kern w:val="0"/>
          <w:sz w:val="32"/>
          <w:szCs w:val="32"/>
        </w:rPr>
        <w:t>5</w:t>
      </w:r>
      <w:r>
        <w:rPr>
          <w:rFonts w:hint="eastAsia" w:ascii="仿宋" w:hAnsi="Times New Roman" w:eastAsia="仿宋" w:cs="仿宋"/>
          <w:kern w:val="0"/>
          <w:sz w:val="32"/>
          <w:szCs w:val="32"/>
        </w:rPr>
        <w:t>万元，</w:t>
      </w:r>
      <w:r>
        <w:rPr>
          <w:rFonts w:hint="eastAsia" w:ascii="仿宋" w:hAnsi="Times New Roman" w:eastAsia="仿宋" w:cs="仿宋"/>
          <w:color w:val="000000"/>
          <w:kern w:val="0"/>
          <w:sz w:val="32"/>
          <w:szCs w:val="32"/>
        </w:rPr>
        <w:t>增长10</w:t>
      </w:r>
      <w:r>
        <w:rPr>
          <w:rFonts w:ascii="仿宋" w:hAnsi="Times New Roman" w:eastAsia="仿宋" w:cs="仿宋"/>
          <w:kern w:val="0"/>
          <w:sz w:val="32"/>
          <w:szCs w:val="32"/>
        </w:rPr>
        <w:t>0%</w:t>
      </w:r>
      <w:r>
        <w:rPr>
          <w:rFonts w:hint="eastAsia" w:ascii="仿宋" w:hAnsi="Times New Roman" w:eastAsia="仿宋" w:cs="仿宋"/>
          <w:kern w:val="0"/>
          <w:sz w:val="32"/>
          <w:szCs w:val="32"/>
        </w:rPr>
        <w:t>。主要原因是：本年用于教育事业的彩票公益金拨款5万元。政府性基金预算支出5万元，与上年相比，增加5万元，增长100%</w:t>
      </w:r>
      <w:r>
        <w:rPr>
          <w:rFonts w:hint="eastAsia" w:ascii="仿宋" w:hAnsi="Times New Roman" w:eastAsia="仿宋" w:cs="仿宋"/>
          <w:kern w:val="0"/>
          <w:sz w:val="32"/>
          <w:szCs w:val="32"/>
          <w:lang w:val="zh-CN"/>
        </w:rPr>
        <w:t>。</w:t>
      </w:r>
      <w:r>
        <w:rPr>
          <w:rFonts w:hint="eastAsia" w:ascii="仿宋" w:hAnsi="Times New Roman" w:eastAsia="仿宋" w:cs="仿宋"/>
          <w:kern w:val="0"/>
          <w:sz w:val="32"/>
          <w:szCs w:val="32"/>
        </w:rPr>
        <w:t>主要原因是：本年用于教育事业的彩票公益金支出5万元。</w:t>
      </w:r>
    </w:p>
    <w:p>
      <w:pPr>
        <w:autoSpaceDE w:val="0"/>
        <w:autoSpaceDN w:val="0"/>
        <w:adjustRightInd w:val="0"/>
        <w:spacing w:line="600" w:lineRule="exact"/>
        <w:ind w:firstLine="640"/>
        <w:rPr>
          <w:rFonts w:ascii="Times New Roman" w:hAnsi="Times New Roman" w:eastAsia="仿宋" w:cs="Times New Roman"/>
          <w:kern w:val="0"/>
          <w:sz w:val="32"/>
          <w:szCs w:val="32"/>
        </w:rPr>
      </w:pPr>
    </w:p>
    <w:p>
      <w:pPr>
        <w:autoSpaceDE w:val="0"/>
        <w:autoSpaceDN w:val="0"/>
        <w:adjustRightInd w:val="0"/>
        <w:spacing w:line="600" w:lineRule="exact"/>
        <w:ind w:firstLine="640"/>
        <w:rPr>
          <w:rFonts w:ascii="Times New Roman" w:hAnsi="Times New Roman" w:eastAsia="黑体" w:cs="Times New Roman"/>
          <w:sz w:val="32"/>
          <w:szCs w:val="32"/>
        </w:rPr>
      </w:pPr>
      <w:r>
        <w:rPr>
          <w:rFonts w:hint="eastAsia" w:ascii="黑体" w:hAnsi="Times New Roman" w:eastAsia="黑体" w:cs="黑体"/>
          <w:kern w:val="0"/>
          <w:sz w:val="32"/>
          <w:szCs w:val="32"/>
        </w:rPr>
        <w:t>九、其他重要事项的情况说明</w:t>
      </w:r>
    </w:p>
    <w:p>
      <w:pPr>
        <w:autoSpaceDE w:val="0"/>
        <w:autoSpaceDN w:val="0"/>
        <w:adjustRightInd w:val="0"/>
        <w:spacing w:line="600" w:lineRule="exact"/>
        <w:ind w:firstLine="640"/>
        <w:rPr>
          <w:rFonts w:ascii="Times New Roman" w:hAnsi="Times New Roman" w:eastAsia="仿宋" w:cs="Times New Roman"/>
          <w:sz w:val="32"/>
          <w:szCs w:val="32"/>
        </w:rPr>
      </w:pPr>
      <w:r>
        <w:rPr>
          <w:rFonts w:hint="eastAsia" w:ascii="仿宋" w:hAnsi="Times New Roman" w:eastAsia="仿宋" w:cs="仿宋"/>
          <w:sz w:val="32"/>
          <w:szCs w:val="32"/>
        </w:rPr>
        <w:t>（一）机关运行经费支出情况</w:t>
      </w:r>
    </w:p>
    <w:p>
      <w:pPr>
        <w:shd w:val="clear" w:color="auto" w:fill="FFFFFF"/>
        <w:autoSpaceDE w:val="0"/>
        <w:autoSpaceDN w:val="0"/>
        <w:adjustRightInd w:val="0"/>
        <w:spacing w:before="100" w:line="600" w:lineRule="exact"/>
        <w:ind w:firstLine="640"/>
        <w:jc w:val="left"/>
        <w:rPr>
          <w:rFonts w:ascii="仿宋" w:hAnsi="Times New Roman" w:eastAsia="仿宋" w:cs="仿宋"/>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年度新疆昌吉玛纳斯县包家店镇学校日常公用经费支出</w:t>
      </w:r>
      <w:r>
        <w:rPr>
          <w:rFonts w:ascii="仿宋" w:hAnsi="Times New Roman" w:eastAsia="仿宋" w:cs="仿宋"/>
          <w:kern w:val="0"/>
          <w:sz w:val="32"/>
          <w:szCs w:val="32"/>
        </w:rPr>
        <w:t>118.94</w:t>
      </w:r>
      <w:r>
        <w:rPr>
          <w:rFonts w:hint="eastAsia" w:ascii="仿宋" w:hAnsi="Times New Roman" w:eastAsia="仿宋" w:cs="仿宋"/>
          <w:kern w:val="0"/>
          <w:sz w:val="32"/>
          <w:szCs w:val="32"/>
        </w:rPr>
        <w:t>万元，比上年</w:t>
      </w:r>
      <w:r>
        <w:rPr>
          <w:rFonts w:hint="eastAsia" w:ascii="仿宋" w:hAnsi="Times New Roman" w:eastAsia="仿宋" w:cs="仿宋"/>
          <w:color w:val="000000"/>
          <w:kern w:val="0"/>
          <w:sz w:val="32"/>
          <w:szCs w:val="32"/>
        </w:rPr>
        <w:t>减少</w:t>
      </w:r>
      <w:r>
        <w:rPr>
          <w:rFonts w:ascii="仿宋" w:hAnsi="Times New Roman" w:eastAsia="仿宋" w:cs="仿宋"/>
          <w:kern w:val="0"/>
          <w:sz w:val="32"/>
          <w:szCs w:val="32"/>
        </w:rPr>
        <w:t>177.53</w:t>
      </w:r>
      <w:r>
        <w:rPr>
          <w:rFonts w:hint="eastAsia" w:ascii="仿宋" w:hAnsi="Times New Roman" w:eastAsia="仿宋" w:cs="仿宋"/>
          <w:kern w:val="0"/>
          <w:sz w:val="32"/>
          <w:szCs w:val="32"/>
        </w:rPr>
        <w:t>万元，</w:t>
      </w:r>
      <w:r>
        <w:rPr>
          <w:rFonts w:hint="eastAsia" w:ascii="仿宋" w:hAnsi="Times New Roman" w:eastAsia="仿宋" w:cs="仿宋"/>
          <w:color w:val="000000"/>
          <w:kern w:val="0"/>
          <w:sz w:val="32"/>
          <w:szCs w:val="32"/>
        </w:rPr>
        <w:t>降低</w:t>
      </w:r>
      <w:r>
        <w:rPr>
          <w:rFonts w:ascii="仿宋" w:hAnsi="Times New Roman" w:eastAsia="仿宋" w:cs="仿宋"/>
          <w:kern w:val="0"/>
          <w:sz w:val="32"/>
          <w:szCs w:val="32"/>
        </w:rPr>
        <w:t>59.88%</w:t>
      </w:r>
      <w:r>
        <w:rPr>
          <w:rFonts w:hint="eastAsia" w:ascii="仿宋" w:hAnsi="Times New Roman" w:eastAsia="仿宋" w:cs="仿宋"/>
          <w:kern w:val="0"/>
          <w:sz w:val="32"/>
          <w:szCs w:val="32"/>
        </w:rPr>
        <w:t>，主要原因是2018年新建幼儿园设施及设备81.22万元，本年无大型设备支出；小学生减少40人，初中生减少33人，导致办公经费减少81.51万元；本年较2018年无大规模维修，减少劳务支出14.8万元。</w:t>
      </w:r>
    </w:p>
    <w:p>
      <w:pPr>
        <w:autoSpaceDE w:val="0"/>
        <w:autoSpaceDN w:val="0"/>
        <w:adjustRightInd w:val="0"/>
        <w:spacing w:line="600" w:lineRule="exact"/>
        <w:ind w:firstLine="480"/>
        <w:rPr>
          <w:rFonts w:ascii="Times New Roman" w:hAnsi="Times New Roman" w:eastAsia="仿宋" w:cs="Times New Roman"/>
          <w:kern w:val="0"/>
          <w:sz w:val="32"/>
          <w:szCs w:val="32"/>
        </w:rPr>
      </w:pPr>
      <w:r>
        <w:rPr>
          <w:rFonts w:hint="eastAsia" w:ascii="仿宋" w:hAnsi="Times New Roman" w:eastAsia="仿宋" w:cs="仿宋"/>
          <w:sz w:val="32"/>
          <w:szCs w:val="32"/>
        </w:rPr>
        <w:t>（二）政府采购情况</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ascii="仿宋" w:hAnsi="Times New Roman" w:eastAsia="仿宋" w:cs="仿宋"/>
          <w:kern w:val="0"/>
          <w:sz w:val="32"/>
          <w:szCs w:val="32"/>
        </w:rPr>
        <w:t>2019</w:t>
      </w:r>
      <w:r>
        <w:rPr>
          <w:rFonts w:hint="eastAsia" w:ascii="仿宋" w:hAnsi="Times New Roman" w:eastAsia="仿宋" w:cs="仿宋"/>
          <w:kern w:val="0"/>
          <w:sz w:val="32"/>
          <w:szCs w:val="32"/>
        </w:rPr>
        <w:t>年度政府采购支出总额</w:t>
      </w:r>
      <w:r>
        <w:rPr>
          <w:rFonts w:ascii="仿宋" w:hAnsi="Times New Roman" w:eastAsia="仿宋" w:cs="仿宋"/>
          <w:kern w:val="0"/>
          <w:sz w:val="32"/>
          <w:szCs w:val="32"/>
        </w:rPr>
        <w:t>0</w:t>
      </w:r>
      <w:r>
        <w:rPr>
          <w:rFonts w:hint="eastAsia" w:ascii="仿宋" w:hAnsi="Times New Roman" w:eastAsia="仿宋" w:cs="仿宋"/>
          <w:kern w:val="0"/>
          <w:sz w:val="32"/>
          <w:szCs w:val="32"/>
        </w:rPr>
        <w:t>万元，其中：政府采购货物支出</w:t>
      </w:r>
      <w:r>
        <w:rPr>
          <w:rFonts w:ascii="仿宋" w:hAnsi="Times New Roman" w:eastAsia="仿宋" w:cs="仿宋"/>
          <w:kern w:val="0"/>
          <w:sz w:val="32"/>
          <w:szCs w:val="32"/>
        </w:rPr>
        <w:t>0</w:t>
      </w:r>
      <w:r>
        <w:rPr>
          <w:rFonts w:hint="eastAsia" w:ascii="仿宋" w:hAnsi="Times New Roman" w:eastAsia="仿宋" w:cs="仿宋"/>
          <w:kern w:val="0"/>
          <w:sz w:val="32"/>
          <w:szCs w:val="32"/>
        </w:rPr>
        <w:t>万元，政府采购工程支出</w:t>
      </w:r>
      <w:r>
        <w:rPr>
          <w:rFonts w:ascii="仿宋" w:hAnsi="Times New Roman" w:eastAsia="仿宋" w:cs="仿宋"/>
          <w:kern w:val="0"/>
          <w:sz w:val="32"/>
          <w:szCs w:val="32"/>
        </w:rPr>
        <w:t>0</w:t>
      </w:r>
      <w:r>
        <w:rPr>
          <w:rFonts w:hint="eastAsia" w:ascii="仿宋" w:hAnsi="Times New Roman" w:eastAsia="仿宋" w:cs="仿宋"/>
          <w:kern w:val="0"/>
          <w:sz w:val="32"/>
          <w:szCs w:val="32"/>
        </w:rPr>
        <w:t>万元，政府采购服务</w:t>
      </w:r>
      <w:r>
        <w:rPr>
          <w:rFonts w:hint="eastAsia" w:ascii="仿宋" w:hAnsi="Times New Roman" w:eastAsia="仿宋" w:cs="仿宋"/>
          <w:kern w:val="0"/>
          <w:sz w:val="32"/>
          <w:szCs w:val="32"/>
          <w:lang w:val="zh-CN"/>
        </w:rPr>
        <w:t>支</w:t>
      </w:r>
      <w:r>
        <w:rPr>
          <w:rFonts w:hint="eastAsia" w:ascii="仿宋" w:hAnsi="Times New Roman" w:eastAsia="仿宋" w:cs="仿宋"/>
          <w:kern w:val="0"/>
          <w:sz w:val="32"/>
          <w:szCs w:val="32"/>
        </w:rPr>
        <w:t>出</w:t>
      </w:r>
      <w:r>
        <w:rPr>
          <w:rFonts w:ascii="仿宋" w:hAnsi="Times New Roman" w:eastAsia="仿宋" w:cs="仿宋"/>
          <w:kern w:val="0"/>
          <w:sz w:val="32"/>
          <w:szCs w:val="32"/>
        </w:rPr>
        <w:t>0</w:t>
      </w:r>
      <w:r>
        <w:rPr>
          <w:rFonts w:hint="eastAsia" w:ascii="仿宋" w:hAnsi="Times New Roman" w:eastAsia="仿宋" w:cs="仿宋"/>
          <w:kern w:val="0"/>
          <w:sz w:val="32"/>
          <w:szCs w:val="32"/>
        </w:rPr>
        <w:t>万元。</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授予中小企业合同金额</w:t>
      </w:r>
      <w:r>
        <w:rPr>
          <w:rFonts w:ascii="仿宋" w:hAnsi="Times New Roman" w:eastAsia="仿宋" w:cs="仿宋"/>
          <w:kern w:val="0"/>
          <w:sz w:val="32"/>
          <w:szCs w:val="32"/>
        </w:rPr>
        <w:t>0</w:t>
      </w:r>
      <w:r>
        <w:rPr>
          <w:rFonts w:hint="eastAsia" w:ascii="仿宋" w:hAnsi="Times New Roman" w:eastAsia="仿宋" w:cs="仿宋"/>
          <w:kern w:val="0"/>
          <w:sz w:val="32"/>
          <w:szCs w:val="32"/>
        </w:rPr>
        <w:t>万元，占政府采购支出总额的</w:t>
      </w:r>
      <w:r>
        <w:rPr>
          <w:rFonts w:ascii="仿宋" w:hAnsi="Times New Roman" w:eastAsia="仿宋" w:cs="仿宋"/>
          <w:kern w:val="0"/>
          <w:sz w:val="32"/>
          <w:szCs w:val="32"/>
        </w:rPr>
        <w:t>0%</w:t>
      </w:r>
      <w:r>
        <w:rPr>
          <w:rFonts w:hint="eastAsia" w:ascii="仿宋" w:hAnsi="Times New Roman" w:eastAsia="仿宋" w:cs="仿宋"/>
          <w:kern w:val="0"/>
          <w:sz w:val="32"/>
          <w:szCs w:val="32"/>
        </w:rPr>
        <w:t>，其中：授予小微企业合同金额</w:t>
      </w:r>
      <w:r>
        <w:rPr>
          <w:rFonts w:ascii="仿宋" w:hAnsi="Times New Roman" w:eastAsia="仿宋" w:cs="仿宋"/>
          <w:kern w:val="0"/>
          <w:sz w:val="32"/>
          <w:szCs w:val="32"/>
        </w:rPr>
        <w:t>0</w:t>
      </w:r>
      <w:r>
        <w:rPr>
          <w:rFonts w:hint="eastAsia" w:ascii="仿宋" w:hAnsi="Times New Roman" w:eastAsia="仿宋" w:cs="仿宋"/>
          <w:kern w:val="0"/>
          <w:sz w:val="32"/>
          <w:szCs w:val="32"/>
        </w:rPr>
        <w:t>万元，占政府采购支出总额的</w:t>
      </w:r>
      <w:r>
        <w:rPr>
          <w:rFonts w:ascii="仿宋" w:hAnsi="Times New Roman" w:eastAsia="仿宋" w:cs="仿宋"/>
          <w:kern w:val="0"/>
          <w:sz w:val="32"/>
          <w:szCs w:val="32"/>
        </w:rPr>
        <w:t>0%</w:t>
      </w:r>
      <w:r>
        <w:rPr>
          <w:rFonts w:hint="eastAsia" w:ascii="仿宋" w:hAnsi="Times New Roman" w:eastAsia="仿宋" w:cs="仿宋"/>
          <w:kern w:val="0"/>
          <w:sz w:val="32"/>
          <w:szCs w:val="32"/>
        </w:rPr>
        <w:t>。</w:t>
      </w:r>
    </w:p>
    <w:p>
      <w:pPr>
        <w:autoSpaceDE w:val="0"/>
        <w:autoSpaceDN w:val="0"/>
        <w:adjustRightInd w:val="0"/>
        <w:spacing w:line="600" w:lineRule="exact"/>
        <w:ind w:firstLine="480"/>
        <w:rPr>
          <w:rFonts w:ascii="Times New Roman" w:hAnsi="Times New Roman" w:eastAsia="仿宋" w:cs="Times New Roman"/>
          <w:kern w:val="0"/>
          <w:sz w:val="32"/>
          <w:szCs w:val="32"/>
        </w:rPr>
      </w:pPr>
      <w:r>
        <w:rPr>
          <w:rFonts w:hint="eastAsia" w:ascii="仿宋" w:hAnsi="Times New Roman" w:eastAsia="仿宋" w:cs="仿宋"/>
          <w:sz w:val="32"/>
          <w:szCs w:val="32"/>
        </w:rPr>
        <w:t>（三）国有资产占用情况说明</w:t>
      </w:r>
    </w:p>
    <w:p>
      <w:pPr>
        <w:shd w:val="clear" w:color="auto" w:fill="FFFFFF"/>
        <w:autoSpaceDE w:val="0"/>
        <w:autoSpaceDN w:val="0"/>
        <w:adjustRightInd w:val="0"/>
        <w:spacing w:before="100" w:line="600" w:lineRule="exact"/>
        <w:ind w:left="119" w:firstLine="640"/>
        <w:rPr>
          <w:rFonts w:ascii="仿宋" w:hAnsi="Times New Roman" w:eastAsia="仿宋" w:cs="仿宋"/>
          <w:kern w:val="0"/>
          <w:sz w:val="32"/>
          <w:szCs w:val="32"/>
        </w:rPr>
      </w:pPr>
      <w:r>
        <w:rPr>
          <w:rFonts w:hint="eastAsia" w:ascii="仿宋" w:hAnsi="Times New Roman" w:eastAsia="仿宋" w:cs="仿宋"/>
          <w:kern w:val="0"/>
          <w:sz w:val="32"/>
          <w:szCs w:val="32"/>
        </w:rPr>
        <w:t>截至</w:t>
      </w:r>
      <w:r>
        <w:rPr>
          <w:rFonts w:ascii="仿宋" w:hAnsi="Times New Roman" w:eastAsia="仿宋" w:cs="仿宋"/>
          <w:kern w:val="0"/>
          <w:sz w:val="32"/>
          <w:szCs w:val="32"/>
        </w:rPr>
        <w:t>2019</w:t>
      </w:r>
      <w:r>
        <w:rPr>
          <w:rFonts w:hint="eastAsia" w:ascii="仿宋" w:hAnsi="Times New Roman" w:eastAsia="仿宋" w:cs="仿宋"/>
          <w:kern w:val="0"/>
          <w:sz w:val="32"/>
          <w:szCs w:val="32"/>
        </w:rPr>
        <w:t>年</w:t>
      </w:r>
      <w:r>
        <w:rPr>
          <w:rFonts w:ascii="仿宋" w:hAnsi="Times New Roman" w:eastAsia="仿宋" w:cs="仿宋"/>
          <w:kern w:val="0"/>
          <w:sz w:val="32"/>
          <w:szCs w:val="32"/>
        </w:rPr>
        <w:t>12</w:t>
      </w:r>
      <w:r>
        <w:rPr>
          <w:rFonts w:hint="eastAsia" w:ascii="仿宋" w:hAnsi="Times New Roman" w:eastAsia="仿宋" w:cs="仿宋"/>
          <w:kern w:val="0"/>
          <w:sz w:val="32"/>
          <w:szCs w:val="32"/>
        </w:rPr>
        <w:t>月</w:t>
      </w:r>
      <w:r>
        <w:rPr>
          <w:rFonts w:ascii="仿宋" w:hAnsi="Times New Roman" w:eastAsia="仿宋" w:cs="仿宋"/>
          <w:kern w:val="0"/>
          <w:sz w:val="32"/>
          <w:szCs w:val="32"/>
        </w:rPr>
        <w:t>31</w:t>
      </w:r>
      <w:r>
        <w:rPr>
          <w:rFonts w:hint="eastAsia" w:ascii="仿宋" w:hAnsi="Times New Roman" w:eastAsia="仿宋" w:cs="仿宋"/>
          <w:kern w:val="0"/>
          <w:sz w:val="32"/>
          <w:szCs w:val="32"/>
        </w:rPr>
        <w:t>日，单位共有房屋</w:t>
      </w:r>
      <w:r>
        <w:rPr>
          <w:rFonts w:ascii="仿宋" w:hAnsi="Times New Roman" w:eastAsia="仿宋" w:cs="仿宋"/>
          <w:kern w:val="0"/>
          <w:sz w:val="32"/>
          <w:szCs w:val="32"/>
        </w:rPr>
        <w:t>32,062</w:t>
      </w:r>
      <w:r>
        <w:rPr>
          <w:rFonts w:hint="eastAsia" w:ascii="仿宋" w:hAnsi="Times New Roman" w:eastAsia="仿宋" w:cs="仿宋"/>
          <w:kern w:val="0"/>
          <w:sz w:val="32"/>
          <w:szCs w:val="32"/>
        </w:rPr>
        <w:t>（平方米），价值</w:t>
      </w:r>
      <w:r>
        <w:rPr>
          <w:rFonts w:ascii="仿宋" w:hAnsi="Times New Roman" w:eastAsia="仿宋" w:cs="仿宋"/>
          <w:kern w:val="0"/>
          <w:sz w:val="32"/>
          <w:szCs w:val="32"/>
        </w:rPr>
        <w:t>3,466.14</w:t>
      </w:r>
      <w:r>
        <w:rPr>
          <w:rFonts w:hint="eastAsia" w:ascii="仿宋" w:hAnsi="Times New Roman" w:eastAsia="仿宋" w:cs="仿宋"/>
          <w:kern w:val="0"/>
          <w:sz w:val="32"/>
          <w:szCs w:val="32"/>
        </w:rPr>
        <w:t>万元。车辆</w:t>
      </w:r>
      <w:r>
        <w:rPr>
          <w:rFonts w:ascii="仿宋" w:hAnsi="Times New Roman" w:eastAsia="仿宋" w:cs="仿宋"/>
          <w:kern w:val="0"/>
          <w:sz w:val="32"/>
          <w:szCs w:val="32"/>
        </w:rPr>
        <w:t>1</w:t>
      </w:r>
      <w:r>
        <w:rPr>
          <w:rFonts w:hint="eastAsia" w:ascii="仿宋" w:hAnsi="Times New Roman" w:eastAsia="仿宋" w:cs="仿宋"/>
          <w:kern w:val="0"/>
          <w:sz w:val="32"/>
          <w:szCs w:val="32"/>
        </w:rPr>
        <w:t>辆，价值</w:t>
      </w:r>
      <w:r>
        <w:rPr>
          <w:rFonts w:ascii="仿宋" w:hAnsi="Times New Roman" w:eastAsia="仿宋" w:cs="仿宋"/>
          <w:kern w:val="0"/>
          <w:sz w:val="32"/>
          <w:szCs w:val="32"/>
        </w:rPr>
        <w:t>13</w:t>
      </w:r>
      <w:r>
        <w:rPr>
          <w:rFonts w:hint="eastAsia" w:ascii="仿宋" w:hAnsi="Times New Roman" w:eastAsia="仿宋" w:cs="仿宋"/>
          <w:kern w:val="0"/>
          <w:sz w:val="32"/>
          <w:szCs w:val="32"/>
        </w:rPr>
        <w:t>万元，其中：副部（省）级及以上领导用车</w:t>
      </w:r>
      <w:r>
        <w:rPr>
          <w:rFonts w:ascii="仿宋" w:hAnsi="Times New Roman" w:eastAsia="仿宋" w:cs="仿宋"/>
          <w:kern w:val="0"/>
          <w:sz w:val="32"/>
          <w:szCs w:val="32"/>
        </w:rPr>
        <w:t>0</w:t>
      </w:r>
      <w:r>
        <w:rPr>
          <w:rFonts w:hint="eastAsia" w:ascii="仿宋" w:hAnsi="Times New Roman" w:eastAsia="仿宋" w:cs="仿宋"/>
          <w:kern w:val="0"/>
          <w:sz w:val="32"/>
          <w:szCs w:val="32"/>
        </w:rPr>
        <w:t>辆、主要领导干部用车</w:t>
      </w:r>
      <w:r>
        <w:rPr>
          <w:rFonts w:ascii="仿宋" w:hAnsi="Times New Roman" w:eastAsia="仿宋" w:cs="仿宋"/>
          <w:kern w:val="0"/>
          <w:sz w:val="32"/>
          <w:szCs w:val="32"/>
        </w:rPr>
        <w:t>0</w:t>
      </w:r>
      <w:r>
        <w:rPr>
          <w:rFonts w:hint="eastAsia" w:ascii="仿宋" w:hAnsi="Times New Roman" w:eastAsia="仿宋" w:cs="仿宋"/>
          <w:kern w:val="0"/>
          <w:sz w:val="32"/>
          <w:szCs w:val="32"/>
        </w:rPr>
        <w:t>辆、机要通信用车</w:t>
      </w:r>
      <w:r>
        <w:rPr>
          <w:rFonts w:ascii="仿宋" w:hAnsi="Times New Roman" w:eastAsia="仿宋" w:cs="仿宋"/>
          <w:kern w:val="0"/>
          <w:sz w:val="32"/>
          <w:szCs w:val="32"/>
        </w:rPr>
        <w:t>0</w:t>
      </w:r>
      <w:r>
        <w:rPr>
          <w:rFonts w:hint="eastAsia" w:ascii="仿宋" w:hAnsi="Times New Roman" w:eastAsia="仿宋" w:cs="仿宋"/>
          <w:kern w:val="0"/>
          <w:sz w:val="32"/>
          <w:szCs w:val="32"/>
        </w:rPr>
        <w:t>辆、应急保障用车</w:t>
      </w:r>
      <w:r>
        <w:rPr>
          <w:rFonts w:ascii="仿宋" w:hAnsi="Times New Roman" w:eastAsia="仿宋" w:cs="仿宋"/>
          <w:kern w:val="0"/>
          <w:sz w:val="32"/>
          <w:szCs w:val="32"/>
        </w:rPr>
        <w:t>0</w:t>
      </w:r>
      <w:r>
        <w:rPr>
          <w:rFonts w:hint="eastAsia" w:ascii="仿宋" w:hAnsi="Times New Roman" w:eastAsia="仿宋" w:cs="仿宋"/>
          <w:kern w:val="0"/>
          <w:sz w:val="32"/>
          <w:szCs w:val="32"/>
        </w:rPr>
        <w:t>辆、执法执勤用车</w:t>
      </w:r>
      <w:r>
        <w:rPr>
          <w:rFonts w:ascii="仿宋" w:hAnsi="Times New Roman" w:eastAsia="仿宋" w:cs="仿宋"/>
          <w:kern w:val="0"/>
          <w:sz w:val="32"/>
          <w:szCs w:val="32"/>
        </w:rPr>
        <w:t>0</w:t>
      </w:r>
      <w:r>
        <w:rPr>
          <w:rFonts w:hint="eastAsia" w:ascii="仿宋" w:hAnsi="Times New Roman" w:eastAsia="仿宋" w:cs="仿宋"/>
          <w:kern w:val="0"/>
          <w:sz w:val="32"/>
          <w:szCs w:val="32"/>
          <w:lang w:eastAsia="zh-CN"/>
        </w:rPr>
        <w:t>辆</w:t>
      </w:r>
      <w:r>
        <w:rPr>
          <w:rFonts w:hint="eastAsia" w:ascii="仿宋" w:hAnsi="Times New Roman" w:eastAsia="仿宋" w:cs="仿宋"/>
          <w:kern w:val="0"/>
          <w:sz w:val="32"/>
          <w:szCs w:val="32"/>
        </w:rPr>
        <w:t>、特种专业技术用车</w:t>
      </w:r>
      <w:r>
        <w:rPr>
          <w:rFonts w:ascii="仿宋" w:hAnsi="Times New Roman" w:eastAsia="仿宋" w:cs="仿宋"/>
          <w:kern w:val="0"/>
          <w:sz w:val="32"/>
          <w:szCs w:val="32"/>
        </w:rPr>
        <w:t>0</w:t>
      </w:r>
      <w:r>
        <w:rPr>
          <w:rFonts w:hint="eastAsia" w:ascii="仿宋" w:hAnsi="Times New Roman" w:eastAsia="仿宋" w:cs="仿宋"/>
          <w:kern w:val="0"/>
          <w:sz w:val="32"/>
          <w:szCs w:val="32"/>
        </w:rPr>
        <w:t>辆、离退休干部用车</w:t>
      </w:r>
      <w:r>
        <w:rPr>
          <w:rFonts w:ascii="仿宋" w:hAnsi="Times New Roman" w:eastAsia="仿宋" w:cs="仿宋"/>
          <w:kern w:val="0"/>
          <w:sz w:val="32"/>
          <w:szCs w:val="32"/>
        </w:rPr>
        <w:t>0</w:t>
      </w:r>
      <w:r>
        <w:rPr>
          <w:rFonts w:hint="eastAsia" w:ascii="仿宋" w:hAnsi="Times New Roman" w:eastAsia="仿宋" w:cs="仿宋"/>
          <w:kern w:val="0"/>
          <w:sz w:val="32"/>
          <w:szCs w:val="32"/>
        </w:rPr>
        <w:t>辆、其他用车</w:t>
      </w:r>
      <w:r>
        <w:rPr>
          <w:rFonts w:ascii="仿宋" w:hAnsi="Times New Roman" w:eastAsia="仿宋" w:cs="仿宋"/>
          <w:kern w:val="0"/>
          <w:sz w:val="32"/>
          <w:szCs w:val="32"/>
        </w:rPr>
        <w:t>1</w:t>
      </w:r>
      <w:r>
        <w:rPr>
          <w:rFonts w:hint="eastAsia" w:ascii="仿宋" w:hAnsi="Times New Roman" w:eastAsia="仿宋" w:cs="仿宋"/>
          <w:kern w:val="0"/>
          <w:sz w:val="32"/>
          <w:szCs w:val="32"/>
        </w:rPr>
        <w:t>辆，其他用车主要是：待报废不能使用车辆；单位价值50万元以上通用设备0台，单位价值100万元以上专用设备0台。</w:t>
      </w:r>
    </w:p>
    <w:p>
      <w:pPr>
        <w:shd w:val="clear" w:color="auto" w:fill="FFFFFF"/>
        <w:autoSpaceDE w:val="0"/>
        <w:autoSpaceDN w:val="0"/>
        <w:adjustRightInd w:val="0"/>
        <w:spacing w:before="100" w:line="600" w:lineRule="exact"/>
        <w:ind w:left="119" w:firstLine="640"/>
        <w:rPr>
          <w:rFonts w:ascii="仿宋" w:hAnsi="Times New Roman" w:eastAsia="仿宋" w:cs="仿宋"/>
          <w:kern w:val="0"/>
          <w:sz w:val="32"/>
          <w:szCs w:val="32"/>
        </w:rPr>
      </w:pPr>
    </w:p>
    <w:p>
      <w:pPr>
        <w:shd w:val="clear" w:color="auto" w:fill="FFFFFF"/>
        <w:autoSpaceDE w:val="0"/>
        <w:autoSpaceDN w:val="0"/>
        <w:adjustRightInd w:val="0"/>
        <w:spacing w:before="100" w:after="240" w:line="600" w:lineRule="exact"/>
        <w:ind w:firstLine="640"/>
        <w:jc w:val="left"/>
        <w:rPr>
          <w:rFonts w:ascii="Times New Roman" w:hAnsi="Times New Roman" w:eastAsia="黑体" w:cs="Times New Roman"/>
          <w:kern w:val="0"/>
          <w:sz w:val="32"/>
          <w:szCs w:val="32"/>
        </w:rPr>
      </w:pPr>
      <w:r>
        <w:rPr>
          <w:rFonts w:hint="eastAsia" w:ascii="黑体" w:hAnsi="Times New Roman" w:eastAsia="黑体" w:cs="黑体"/>
          <w:kern w:val="0"/>
          <w:sz w:val="32"/>
          <w:szCs w:val="32"/>
        </w:rPr>
        <w:t>十、预算绩效的情况说明</w:t>
      </w:r>
    </w:p>
    <w:p>
      <w:pPr>
        <w:autoSpaceDE w:val="0"/>
        <w:autoSpaceDN w:val="0"/>
        <w:adjustRightInd w:val="0"/>
        <w:spacing w:line="600" w:lineRule="exact"/>
        <w:ind w:firstLine="640"/>
        <w:rPr>
          <w:rFonts w:ascii="仿宋" w:hAnsi="Times New Roman" w:eastAsia="仿宋" w:cs="仿宋"/>
          <w:kern w:val="0"/>
          <w:sz w:val="32"/>
          <w:szCs w:val="32"/>
        </w:rPr>
      </w:pPr>
      <w:r>
        <w:rPr>
          <w:rFonts w:hint="eastAsia" w:ascii="仿宋" w:hAnsi="Times New Roman" w:eastAsia="仿宋" w:cs="仿宋"/>
          <w:kern w:val="0"/>
          <w:sz w:val="32"/>
          <w:szCs w:val="32"/>
        </w:rPr>
        <w:t>根据预算绩效管理要求，我单位</w:t>
      </w:r>
      <w:r>
        <w:rPr>
          <w:rFonts w:ascii="仿宋" w:hAnsi="Times New Roman" w:eastAsia="仿宋" w:cs="仿宋"/>
          <w:kern w:val="0"/>
          <w:sz w:val="32"/>
          <w:szCs w:val="32"/>
        </w:rPr>
        <w:t>2019</w:t>
      </w:r>
      <w:r>
        <w:rPr>
          <w:rFonts w:hint="eastAsia" w:ascii="仿宋" w:hAnsi="Times New Roman" w:eastAsia="仿宋" w:cs="仿宋"/>
          <w:kern w:val="0"/>
          <w:sz w:val="32"/>
          <w:szCs w:val="32"/>
        </w:rPr>
        <w:t>年度开展预算绩效评价项目1个，共涉及资金5万元。自述有关预算绩效管理和绩效自评开展情况。</w:t>
      </w:r>
    </w:p>
    <w:p>
      <w:pPr>
        <w:autoSpaceDE w:val="0"/>
        <w:autoSpaceDN w:val="0"/>
        <w:adjustRightInd w:val="0"/>
        <w:spacing w:line="600" w:lineRule="exact"/>
        <w:ind w:firstLine="640" w:firstLineChars="200"/>
        <w:rPr>
          <w:rFonts w:ascii="仿宋" w:hAnsi="Times New Roman" w:eastAsia="仿宋" w:cs="仿宋"/>
          <w:kern w:val="0"/>
          <w:sz w:val="32"/>
          <w:szCs w:val="32"/>
        </w:rPr>
      </w:pPr>
      <w:r>
        <w:rPr>
          <w:rFonts w:hint="eastAsia" w:ascii="仿宋" w:hAnsi="Times New Roman" w:eastAsia="仿宋" w:cs="仿宋"/>
          <w:kern w:val="0"/>
          <w:sz w:val="32"/>
          <w:szCs w:val="32"/>
        </w:rPr>
        <w:t>1、中央专项彩票公益金支持乡村少年宫项目运转补助资金项目绩效自评综述：根据年初设定的绩效目标，中央专项彩票公益金支持乡村少年宫项目运转补助资金项目绩效自评得分为100分。项目全年预算数为5万元，执行数为5万元，完成预算的100%。</w:t>
      </w:r>
      <w:r>
        <w:rPr>
          <w:rFonts w:hint="eastAsia" w:ascii="仿宋" w:hAnsi="Times New Roman" w:eastAsia="仿宋"/>
          <w:kern w:val="0"/>
          <w:sz w:val="32"/>
        </w:rPr>
        <w:t>预算绩效管理取得的成效</w:t>
      </w:r>
      <w:r>
        <w:rPr>
          <w:rFonts w:hint="eastAsia" w:ascii="仿宋" w:hAnsi="Times New Roman" w:eastAsia="仿宋" w:cs="仿宋"/>
          <w:kern w:val="0"/>
          <w:sz w:val="32"/>
          <w:szCs w:val="32"/>
        </w:rPr>
        <w:t>：一是数量方面：项目受益未成年人373人，项目受益少数民族学生数量192人，少年宫功能室数量9个，2019年购买葫芦丝数量100个，2019年新建橱窗数量4个，2019年购置乒乓球台数量2个；二是质量、时效、成本方面：项目验收合格率100%，器材质量合格率100%，项目周期1年，项目经费5万元；三是效益、满意度方面：学生文化素养和实践能力提升，学生满意度90%。发现的问题及原因：一是用于教育事业的彩票公益金支出的少年宫室外活动设施较少；二是从事少年宫培训教师专业能力较局限。下一步改进措施：一是适当增加室外用于学生活动的设施及用品；二是尽可能加强少年宫教师培训力度。具体项目自评情况附项目支出绩效自评表。</w:t>
      </w:r>
    </w:p>
    <w:p>
      <w:pPr>
        <w:autoSpaceDE w:val="0"/>
        <w:autoSpaceDN w:val="0"/>
        <w:adjustRightInd w:val="0"/>
        <w:spacing w:line="600" w:lineRule="exact"/>
        <w:ind w:firstLine="640" w:firstLineChars="200"/>
        <w:rPr>
          <w:rFonts w:ascii="仿宋" w:hAnsi="Times New Roman" w:eastAsia="仿宋" w:cs="仿宋"/>
          <w:kern w:val="0"/>
          <w:sz w:val="32"/>
          <w:szCs w:val="32"/>
        </w:rPr>
      </w:pPr>
    </w:p>
    <w:tbl>
      <w:tblPr>
        <w:tblStyle w:val="5"/>
        <w:tblW w:w="8664" w:type="dxa"/>
        <w:tblInd w:w="0" w:type="dxa"/>
        <w:tblLayout w:type="fixed"/>
        <w:tblCellMar>
          <w:top w:w="0" w:type="dxa"/>
          <w:left w:w="0" w:type="dxa"/>
          <w:bottom w:w="0" w:type="dxa"/>
          <w:right w:w="0" w:type="dxa"/>
        </w:tblCellMar>
      </w:tblPr>
      <w:tblGrid>
        <w:gridCol w:w="600"/>
        <w:gridCol w:w="678"/>
        <w:gridCol w:w="854"/>
        <w:gridCol w:w="1024"/>
        <w:gridCol w:w="783"/>
        <w:gridCol w:w="302"/>
        <w:gridCol w:w="745"/>
        <w:gridCol w:w="794"/>
        <w:gridCol w:w="298"/>
        <w:gridCol w:w="451"/>
        <w:gridCol w:w="549"/>
        <w:gridCol w:w="123"/>
        <w:gridCol w:w="759"/>
        <w:gridCol w:w="704"/>
      </w:tblGrid>
      <w:tr>
        <w:tblPrEx>
          <w:tblLayout w:type="fixed"/>
          <w:tblCellMar>
            <w:top w:w="0" w:type="dxa"/>
            <w:left w:w="0" w:type="dxa"/>
            <w:bottom w:w="0" w:type="dxa"/>
            <w:right w:w="0" w:type="dxa"/>
          </w:tblCellMar>
        </w:tblPrEx>
        <w:trPr>
          <w:trHeight w:val="408" w:hRule="atLeast"/>
        </w:trPr>
        <w:tc>
          <w:tcPr>
            <w:tcW w:w="8664" w:type="dxa"/>
            <w:gridSpan w:val="14"/>
            <w:tcBorders>
              <w:top w:val="nil"/>
              <w:left w:val="nil"/>
              <w:bottom w:val="nil"/>
              <w:right w:val="nil"/>
            </w:tcBorders>
            <w:shd w:val="clear" w:color="auto" w:fill="auto"/>
            <w:tcMar>
              <w:top w:w="12" w:type="dxa"/>
              <w:left w:w="12" w:type="dxa"/>
              <w:right w:w="12" w:type="dxa"/>
            </w:tcMar>
            <w:vAlign w:val="center"/>
          </w:tcPr>
          <w:p>
            <w:pPr>
              <w:widowControl/>
              <w:jc w:val="center"/>
              <w:textAlignment w:val="center"/>
              <w:rPr>
                <w:rFonts w:ascii="仿宋" w:hAnsi="仿宋" w:eastAsia="仿宋" w:cs="仿宋"/>
                <w:b/>
                <w:color w:val="000000"/>
                <w:sz w:val="32"/>
                <w:szCs w:val="32"/>
              </w:rPr>
            </w:pPr>
            <w:r>
              <w:rPr>
                <w:rFonts w:hint="eastAsia" w:ascii="仿宋" w:hAnsi="仿宋" w:eastAsia="仿宋" w:cs="仿宋"/>
                <w:b/>
                <w:color w:val="000000"/>
                <w:kern w:val="0"/>
                <w:sz w:val="32"/>
                <w:szCs w:val="32"/>
                <w:lang w:bidi="ar"/>
              </w:rPr>
              <w:t>项目支出绩效自评表</w:t>
            </w:r>
          </w:p>
        </w:tc>
      </w:tr>
      <w:tr>
        <w:tblPrEx>
          <w:tblLayout w:type="fixed"/>
          <w:tblCellMar>
            <w:top w:w="0" w:type="dxa"/>
            <w:left w:w="0" w:type="dxa"/>
            <w:bottom w:w="0" w:type="dxa"/>
            <w:right w:w="0" w:type="dxa"/>
          </w:tblCellMar>
        </w:tblPrEx>
        <w:trPr>
          <w:trHeight w:val="405" w:hRule="atLeast"/>
        </w:trPr>
        <w:tc>
          <w:tcPr>
            <w:tcW w:w="8664" w:type="dxa"/>
            <w:gridSpan w:val="14"/>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（2019年度）</w:t>
            </w:r>
          </w:p>
        </w:tc>
      </w:tr>
      <w:tr>
        <w:tblPrEx>
          <w:tblLayout w:type="fixed"/>
          <w:tblCellMar>
            <w:top w:w="0" w:type="dxa"/>
            <w:left w:w="0" w:type="dxa"/>
            <w:bottom w:w="0" w:type="dxa"/>
            <w:right w:w="0" w:type="dxa"/>
          </w:tblCellMar>
        </w:tblPrEx>
        <w:trPr>
          <w:trHeight w:val="319" w:hRule="atLeast"/>
        </w:trPr>
        <w:tc>
          <w:tcPr>
            <w:tcW w:w="12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项目名称</w:t>
            </w:r>
          </w:p>
        </w:tc>
        <w:tc>
          <w:tcPr>
            <w:tcW w:w="7386" w:type="dxa"/>
            <w:gridSpan w:val="1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中央专项彩票公益金支持乡村少年宫项目运转补助资金</w:t>
            </w:r>
          </w:p>
        </w:tc>
      </w:tr>
      <w:tr>
        <w:tblPrEx>
          <w:tblLayout w:type="fixed"/>
          <w:tblCellMar>
            <w:top w:w="0" w:type="dxa"/>
            <w:left w:w="0" w:type="dxa"/>
            <w:bottom w:w="0" w:type="dxa"/>
            <w:right w:w="0" w:type="dxa"/>
          </w:tblCellMar>
        </w:tblPrEx>
        <w:trPr>
          <w:trHeight w:val="319" w:hRule="atLeast"/>
        </w:trPr>
        <w:tc>
          <w:tcPr>
            <w:tcW w:w="12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主管部门</w:t>
            </w:r>
          </w:p>
        </w:tc>
        <w:tc>
          <w:tcPr>
            <w:tcW w:w="3708"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玛纳斯县教育局</w:t>
            </w: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实施单位</w:t>
            </w:r>
          </w:p>
        </w:tc>
        <w:tc>
          <w:tcPr>
            <w:tcW w:w="2586" w:type="dxa"/>
            <w:gridSpan w:val="5"/>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玛纳斯县包家店镇学校</w:t>
            </w:r>
          </w:p>
        </w:tc>
      </w:tr>
      <w:tr>
        <w:tblPrEx>
          <w:tblLayout w:type="fixed"/>
          <w:tblCellMar>
            <w:top w:w="0" w:type="dxa"/>
            <w:left w:w="0" w:type="dxa"/>
            <w:bottom w:w="0" w:type="dxa"/>
            <w:right w:w="0" w:type="dxa"/>
          </w:tblCellMar>
        </w:tblPrEx>
        <w:trPr>
          <w:trHeight w:val="319" w:hRule="atLeast"/>
        </w:trPr>
        <w:tc>
          <w:tcPr>
            <w:tcW w:w="127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项目资金       （万元）</w:t>
            </w:r>
          </w:p>
        </w:tc>
        <w:tc>
          <w:tcPr>
            <w:tcW w:w="18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年初预算数</w:t>
            </w:r>
          </w:p>
        </w:tc>
        <w:tc>
          <w:tcPr>
            <w:tcW w:w="104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全年预算数</w:t>
            </w: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全年执行数</w:t>
            </w: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分值</w:t>
            </w:r>
          </w:p>
        </w:tc>
        <w:tc>
          <w:tcPr>
            <w:tcW w:w="8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执行率</w:t>
            </w:r>
          </w:p>
        </w:tc>
        <w:tc>
          <w:tcPr>
            <w:tcW w:w="7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得分</w:t>
            </w:r>
          </w:p>
        </w:tc>
      </w:tr>
      <w:tr>
        <w:tblPrEx>
          <w:tblLayout w:type="fixed"/>
          <w:tblCellMar>
            <w:top w:w="0" w:type="dxa"/>
            <w:left w:w="0" w:type="dxa"/>
            <w:bottom w:w="0" w:type="dxa"/>
            <w:right w:w="0" w:type="dxa"/>
          </w:tblCellMar>
        </w:tblPrEx>
        <w:trPr>
          <w:trHeight w:val="319" w:hRule="atLeast"/>
        </w:trPr>
        <w:tc>
          <w:tcPr>
            <w:tcW w:w="127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8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年度资金总额</w:t>
            </w:r>
          </w:p>
        </w:tc>
        <w:tc>
          <w:tcPr>
            <w:tcW w:w="7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4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8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w:t>
            </w:r>
          </w:p>
        </w:tc>
      </w:tr>
      <w:tr>
        <w:tblPrEx>
          <w:tblLayout w:type="fixed"/>
          <w:tblCellMar>
            <w:top w:w="0" w:type="dxa"/>
            <w:left w:w="0" w:type="dxa"/>
            <w:bottom w:w="0" w:type="dxa"/>
            <w:right w:w="0" w:type="dxa"/>
          </w:tblCellMar>
        </w:tblPrEx>
        <w:trPr>
          <w:trHeight w:val="319" w:hRule="atLeast"/>
        </w:trPr>
        <w:tc>
          <w:tcPr>
            <w:tcW w:w="127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8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其中：当年财政拨款</w:t>
            </w:r>
          </w:p>
        </w:tc>
        <w:tc>
          <w:tcPr>
            <w:tcW w:w="7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4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8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w:t>
            </w:r>
          </w:p>
        </w:tc>
      </w:tr>
      <w:tr>
        <w:tblPrEx>
          <w:tblLayout w:type="fixed"/>
          <w:tblCellMar>
            <w:top w:w="0" w:type="dxa"/>
            <w:left w:w="0" w:type="dxa"/>
            <w:bottom w:w="0" w:type="dxa"/>
            <w:right w:w="0" w:type="dxa"/>
          </w:tblCellMar>
        </w:tblPrEx>
        <w:trPr>
          <w:trHeight w:val="319" w:hRule="atLeast"/>
        </w:trPr>
        <w:tc>
          <w:tcPr>
            <w:tcW w:w="127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8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 xml:space="preserve">      上年结转资金</w:t>
            </w:r>
          </w:p>
        </w:tc>
        <w:tc>
          <w:tcPr>
            <w:tcW w:w="7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4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8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w:t>
            </w:r>
          </w:p>
        </w:tc>
      </w:tr>
      <w:tr>
        <w:tblPrEx>
          <w:tblLayout w:type="fixed"/>
          <w:tblCellMar>
            <w:top w:w="0" w:type="dxa"/>
            <w:left w:w="0" w:type="dxa"/>
            <w:bottom w:w="0" w:type="dxa"/>
            <w:right w:w="0" w:type="dxa"/>
          </w:tblCellMar>
        </w:tblPrEx>
        <w:trPr>
          <w:trHeight w:val="319" w:hRule="atLeast"/>
        </w:trPr>
        <w:tc>
          <w:tcPr>
            <w:tcW w:w="1278"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878"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 xml:space="preserve">  其他资金</w:t>
            </w:r>
          </w:p>
        </w:tc>
        <w:tc>
          <w:tcPr>
            <w:tcW w:w="7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47"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9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000"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88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0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w:t>
            </w:r>
          </w:p>
        </w:tc>
      </w:tr>
      <w:tr>
        <w:tblPrEx>
          <w:tblLayout w:type="fixed"/>
          <w:tblCellMar>
            <w:top w:w="0" w:type="dxa"/>
            <w:left w:w="0" w:type="dxa"/>
            <w:bottom w:w="0" w:type="dxa"/>
            <w:right w:w="0" w:type="dxa"/>
          </w:tblCellMar>
        </w:tblPrEx>
        <w:trPr>
          <w:trHeight w:val="319" w:hRule="atLeast"/>
        </w:trPr>
        <w:tc>
          <w:tcPr>
            <w:tcW w:w="60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年度总体目标</w:t>
            </w:r>
          </w:p>
        </w:tc>
        <w:tc>
          <w:tcPr>
            <w:tcW w:w="4386" w:type="dxa"/>
            <w:gridSpan w:val="6"/>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预期目标</w:t>
            </w:r>
          </w:p>
        </w:tc>
        <w:tc>
          <w:tcPr>
            <w:tcW w:w="3678" w:type="dxa"/>
            <w:gridSpan w:val="7"/>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实际完成情况</w:t>
            </w:r>
          </w:p>
        </w:tc>
      </w:tr>
      <w:tr>
        <w:tblPrEx>
          <w:tblLayout w:type="fixed"/>
          <w:tblCellMar>
            <w:top w:w="0" w:type="dxa"/>
            <w:left w:w="0" w:type="dxa"/>
            <w:bottom w:w="0" w:type="dxa"/>
            <w:right w:w="0" w:type="dxa"/>
          </w:tblCellMar>
        </w:tblPrEx>
        <w:trPr>
          <w:trHeight w:val="921"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4386" w:type="dxa"/>
            <w:gridSpan w:val="6"/>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支付农村少年宫外聘教师工资及活动室设施款</w:t>
            </w:r>
          </w:p>
        </w:tc>
        <w:tc>
          <w:tcPr>
            <w:tcW w:w="3678" w:type="dxa"/>
            <w:gridSpan w:val="7"/>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已完成支付农村少年宫外聘教师工资及活动室设施款</w:t>
            </w:r>
          </w:p>
        </w:tc>
      </w:tr>
      <w:tr>
        <w:tblPrEx>
          <w:tblLayout w:type="fixed"/>
          <w:tblCellMar>
            <w:top w:w="0" w:type="dxa"/>
            <w:left w:w="0" w:type="dxa"/>
            <w:bottom w:w="0" w:type="dxa"/>
            <w:right w:w="0" w:type="dxa"/>
          </w:tblCellMar>
        </w:tblPrEx>
        <w:trPr>
          <w:trHeight w:val="319" w:hRule="atLeast"/>
        </w:trPr>
        <w:tc>
          <w:tcPr>
            <w:tcW w:w="60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绩              效    指    标</w:t>
            </w:r>
          </w:p>
        </w:tc>
        <w:tc>
          <w:tcPr>
            <w:tcW w:w="67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一级指标</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二级指标</w:t>
            </w:r>
          </w:p>
        </w:tc>
        <w:tc>
          <w:tcPr>
            <w:tcW w:w="2109" w:type="dxa"/>
            <w:gridSpan w:val="3"/>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三级指标</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年度</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实际</w:t>
            </w:r>
          </w:p>
        </w:tc>
        <w:tc>
          <w:tcPr>
            <w:tcW w:w="749"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分值</w:t>
            </w:r>
          </w:p>
        </w:tc>
        <w:tc>
          <w:tcPr>
            <w:tcW w:w="672"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得分</w:t>
            </w:r>
          </w:p>
        </w:tc>
        <w:tc>
          <w:tcPr>
            <w:tcW w:w="1463"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偏差原因分析及改进措施</w:t>
            </w:r>
          </w:p>
        </w:tc>
      </w:tr>
      <w:tr>
        <w:tblPrEx>
          <w:tblLayout w:type="fixed"/>
          <w:tblCellMar>
            <w:top w:w="0" w:type="dxa"/>
            <w:left w:w="0" w:type="dxa"/>
            <w:bottom w:w="0" w:type="dxa"/>
            <w:right w:w="0" w:type="dxa"/>
          </w:tblCellMar>
        </w:tblPrEx>
        <w:trPr>
          <w:trHeight w:val="319"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指标值</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完成值</w:t>
            </w:r>
          </w:p>
        </w:tc>
        <w:tc>
          <w:tcPr>
            <w:tcW w:w="749"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2"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463"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产出指标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（50分）</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数量指标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指标1：项目受益未成年人</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373</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373</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指标2：项目受益少数民族学生数量</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192</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192</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指标3：少年宫功能室数量</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指标4：2019年购买葫芦丝数量</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指标5：2019年新建橱窗数量</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指标6：2019年购置乒乓球台数量</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质量指标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指标1：项目验收合格率</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≧95%</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指标2：器材质量合格率</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时效指标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指标1：项目周期</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1年</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1年</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成本指标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指标1：项目经费</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5万元</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5万元</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效益指标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（30分）</w:t>
            </w: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经济效益指标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社会效益指标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生态效益指标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可持续影响指标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指标1：学生文化素养和实践能力</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提升</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提升</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80" w:hRule="atLeast"/>
        </w:trPr>
        <w:tc>
          <w:tcPr>
            <w:tcW w:w="60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c>
          <w:tcPr>
            <w:tcW w:w="67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满意度指标（10分）</w:t>
            </w:r>
          </w:p>
        </w:tc>
        <w:tc>
          <w:tcPr>
            <w:tcW w:w="85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服务对象满意度指标</w:t>
            </w:r>
          </w:p>
        </w:tc>
        <w:tc>
          <w:tcPr>
            <w:tcW w:w="2109" w:type="dxa"/>
            <w:gridSpan w:val="3"/>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指标1：学生满意度</w:t>
            </w:r>
          </w:p>
        </w:tc>
        <w:tc>
          <w:tcPr>
            <w:tcW w:w="745"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≧90%</w:t>
            </w:r>
          </w:p>
        </w:tc>
        <w:tc>
          <w:tcPr>
            <w:tcW w:w="794"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90%</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19" w:hRule="atLeast"/>
        </w:trPr>
        <w:tc>
          <w:tcPr>
            <w:tcW w:w="5780" w:type="dxa"/>
            <w:gridSpan w:val="8"/>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总分</w:t>
            </w:r>
          </w:p>
        </w:tc>
        <w:tc>
          <w:tcPr>
            <w:tcW w:w="749"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672"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1463"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ascii="仿宋" w:hAnsi="仿宋" w:eastAsia="仿宋" w:cs="仿宋"/>
                <w:color w:val="000000"/>
                <w:sz w:val="20"/>
                <w:szCs w:val="20"/>
              </w:rPr>
            </w:pPr>
          </w:p>
        </w:tc>
      </w:tr>
    </w:tbl>
    <w:p>
      <w:pPr>
        <w:autoSpaceDE w:val="0"/>
        <w:autoSpaceDN w:val="0"/>
        <w:adjustRightInd w:val="0"/>
        <w:spacing w:line="600" w:lineRule="exact"/>
        <w:rPr>
          <w:rFonts w:ascii="仿宋" w:hAnsi="Times New Roman" w:eastAsia="仿宋" w:cs="仿宋"/>
          <w:kern w:val="0"/>
          <w:sz w:val="32"/>
          <w:szCs w:val="32"/>
        </w:rPr>
      </w:pPr>
    </w:p>
    <w:p>
      <w:pPr>
        <w:autoSpaceDE w:val="0"/>
        <w:autoSpaceDN w:val="0"/>
        <w:adjustRightInd w:val="0"/>
        <w:spacing w:line="600" w:lineRule="exact"/>
        <w:rPr>
          <w:rFonts w:ascii="仿宋" w:hAnsi="Times New Roman" w:eastAsia="仿宋" w:cs="仿宋"/>
          <w:kern w:val="0"/>
          <w:sz w:val="32"/>
          <w:szCs w:val="32"/>
        </w:rPr>
      </w:pPr>
    </w:p>
    <w:p>
      <w:pPr>
        <w:autoSpaceDE w:val="0"/>
        <w:autoSpaceDN w:val="0"/>
        <w:adjustRightInd w:val="0"/>
        <w:spacing w:line="600" w:lineRule="exact"/>
        <w:rPr>
          <w:rFonts w:ascii="仿宋" w:hAnsi="Times New Roman" w:eastAsia="仿宋" w:cs="仿宋"/>
          <w:kern w:val="0"/>
          <w:sz w:val="32"/>
          <w:szCs w:val="32"/>
        </w:rPr>
      </w:pPr>
    </w:p>
    <w:p>
      <w:pPr>
        <w:shd w:val="clear" w:color="auto" w:fill="FFFFFF"/>
        <w:autoSpaceDE w:val="0"/>
        <w:autoSpaceDN w:val="0"/>
        <w:adjustRightInd w:val="0"/>
        <w:spacing w:before="100" w:after="240" w:line="600" w:lineRule="exact"/>
        <w:jc w:val="center"/>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第三部分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专业名词解释</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财政拨款收入：指同级财政当年拨付的资金。</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上级补助收入：指事业单位从主管部门和上级单位取得的非财政补助收入。</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事业收入：指事业单位开展专业业务活动及其辅助活动所取得的收入。</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经营收入：指事业单位在专业业务活动及其辅助活动之外开展非独立核算经营活动取得的收入。</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附属单位上缴收入：指事业单位附属的独立核算单位按有关规定上缴的收入。</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其他收入：指除上述</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财政拨款收入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事业收入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经营收入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附属单位上缴收入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等之外取得的收入。</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用事业基金弥补收支差额：指事业单位在当年的</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财政拨款收入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财政拨款结转和结余资金</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事业收入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事业单位经营收入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其他收入</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不足以安排当年支出的情况下，使用以前年度积累的事业基金（即事业单位当年收支相抵后按国家规定提取、用于弥补以后年度收支差额的基金）弥补本年度收支缺口的资金。</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基本支出：指为保障机构正常运转、完成日常工作任务而发生的人员支出和公用支出。</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项目支出：指在基本支出之外为完成特定行政任务和事业发展目标所发生的支出。</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经营支出：指事业单位在专业业务活动及其辅助活动之外开展非独立核算经营活动发生的支出。</w:t>
      </w:r>
    </w:p>
    <w:p>
      <w:pPr>
        <w:shd w:val="clear" w:color="auto" w:fill="FFFFFF"/>
        <w:autoSpaceDE w:val="0"/>
        <w:autoSpaceDN w:val="0"/>
        <w:adjustRightInd w:val="0"/>
        <w:spacing w:before="100" w:line="600" w:lineRule="exact"/>
        <w:ind w:firstLine="624" w:firstLineChars="195"/>
        <w:rPr>
          <w:rFonts w:ascii="Times New Roman" w:hAnsi="Times New Roman" w:eastAsia="仿宋" w:cs="Times New Roman"/>
          <w:kern w:val="0"/>
          <w:sz w:val="32"/>
          <w:szCs w:val="32"/>
        </w:rPr>
      </w:pPr>
      <w:bookmarkStart w:id="0" w:name="_GoBack"/>
      <w:bookmarkEnd w:id="0"/>
      <w:r>
        <w:rPr>
          <w:rFonts w:hint="eastAsia" w:ascii="仿宋" w:hAnsi="Times New Roman" w:eastAsia="仿宋" w:cs="仿宋"/>
          <w:kern w:val="0"/>
          <w:sz w:val="32"/>
          <w:szCs w:val="32"/>
        </w:rPr>
        <w:t>对附属单位补助支出：指事业单位发生的用非财政预算资金对附属单位的补助支出。</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三公</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hd w:val="clear" w:color="auto" w:fill="FFFFFF"/>
        <w:autoSpaceDE w:val="0"/>
        <w:autoSpaceDN w:val="0"/>
        <w:adjustRightInd w:val="0"/>
        <w:spacing w:before="100"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autoSpaceDE w:val="0"/>
        <w:autoSpaceDN w:val="0"/>
        <w:adjustRightInd w:val="0"/>
        <w:spacing w:before="100" w:after="240" w:line="600" w:lineRule="exact"/>
        <w:jc w:val="left"/>
        <w:rPr>
          <w:rFonts w:ascii="Times New Roman" w:hAnsi="Times New Roman" w:eastAsia="仿宋" w:cs="Times New Roman"/>
          <w:kern w:val="0"/>
          <w:sz w:val="32"/>
          <w:szCs w:val="32"/>
        </w:rPr>
      </w:pPr>
    </w:p>
    <w:p>
      <w:pPr>
        <w:shd w:val="clear" w:color="auto" w:fill="FFFFFF"/>
        <w:autoSpaceDE w:val="0"/>
        <w:autoSpaceDN w:val="0"/>
        <w:adjustRightInd w:val="0"/>
        <w:spacing w:before="100" w:after="240" w:line="600" w:lineRule="exact"/>
        <w:jc w:val="center"/>
        <w:rPr>
          <w:rFonts w:ascii="Times New Roman" w:hAnsi="Times New Roman" w:eastAsia="仿宋" w:cs="Times New Roman"/>
          <w:b/>
          <w:bCs/>
          <w:kern w:val="0"/>
          <w:sz w:val="32"/>
          <w:szCs w:val="32"/>
        </w:rPr>
      </w:pPr>
      <w:r>
        <w:rPr>
          <w:rFonts w:hint="eastAsia" w:ascii="仿宋" w:hAnsi="Times New Roman" w:eastAsia="仿宋" w:cs="仿宋"/>
          <w:b/>
          <w:bCs/>
          <w:kern w:val="0"/>
          <w:sz w:val="32"/>
          <w:szCs w:val="32"/>
        </w:rPr>
        <w:t>第四部分</w:t>
      </w:r>
      <w:r>
        <w:rPr>
          <w:rFonts w:ascii="仿宋" w:hAnsi="Times New Roman" w:eastAsia="仿宋" w:cs="仿宋"/>
          <w:b/>
          <w:bCs/>
          <w:kern w:val="0"/>
          <w:sz w:val="32"/>
          <w:szCs w:val="32"/>
        </w:rPr>
        <w:t xml:space="preserve"> </w:t>
      </w:r>
      <w:r>
        <w:rPr>
          <w:rFonts w:hint="eastAsia" w:ascii="仿宋" w:hAnsi="Times New Roman" w:eastAsia="仿宋" w:cs="仿宋"/>
          <w:b/>
          <w:bCs/>
          <w:kern w:val="0"/>
          <w:sz w:val="32"/>
          <w:szCs w:val="32"/>
        </w:rPr>
        <w:t>部门决算报表（见附表）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一、《收入支出决算总表》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二、《收入决算表》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三、《支出决算表》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四、《财政拨款收入支出决算总表》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五、《一般公共预算财政拨款支出决算表》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六、《一般公共预算财政拨款基本支出决算表》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七、《一般公共预算财政拨款</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三公</w:t>
      </w:r>
      <w:r>
        <w:rPr>
          <w:rFonts w:ascii="Times New Roman" w:hAnsi="Times New Roman" w:eastAsia="仿宋" w:cs="Times New Roman"/>
          <w:kern w:val="0"/>
          <w:sz w:val="32"/>
          <w:szCs w:val="32"/>
        </w:rPr>
        <w:t>”</w:t>
      </w:r>
      <w:r>
        <w:rPr>
          <w:rFonts w:hint="eastAsia" w:ascii="仿宋" w:hAnsi="Times New Roman" w:eastAsia="仿宋" w:cs="仿宋"/>
          <w:kern w:val="0"/>
          <w:sz w:val="32"/>
          <w:szCs w:val="32"/>
        </w:rPr>
        <w:t>经费支出决算表》</w:t>
      </w:r>
    </w:p>
    <w:p>
      <w:pPr>
        <w:autoSpaceDE w:val="0"/>
        <w:autoSpaceDN w:val="0"/>
        <w:adjustRightInd w:val="0"/>
        <w:spacing w:line="600" w:lineRule="exact"/>
        <w:ind w:firstLine="640"/>
        <w:rPr>
          <w:rFonts w:ascii="Times New Roman" w:hAnsi="Times New Roman" w:eastAsia="仿宋" w:cs="Times New Roman"/>
          <w:kern w:val="0"/>
          <w:sz w:val="32"/>
          <w:szCs w:val="32"/>
        </w:rPr>
      </w:pPr>
      <w:r>
        <w:rPr>
          <w:rFonts w:hint="eastAsia" w:ascii="仿宋" w:hAnsi="Times New Roman" w:eastAsia="仿宋" w:cs="仿宋"/>
          <w:kern w:val="0"/>
          <w:sz w:val="32"/>
          <w:szCs w:val="32"/>
        </w:rPr>
        <w:t>八、《政府性基金预算财政拨款收入支出决算表》</w:t>
      </w:r>
    </w:p>
    <w:p>
      <w:pPr>
        <w:autoSpaceDE w:val="0"/>
        <w:autoSpaceDN w:val="0"/>
        <w:adjustRightInd w:val="0"/>
        <w:jc w:val="left"/>
        <w:rPr>
          <w:rFonts w:hint="eastAsia" w:ascii="宋体" w:hAnsi="Times New Roman" w:eastAsia="宋体" w:cs="宋体"/>
          <w:kern w:val="0"/>
          <w:sz w:val="18"/>
          <w:szCs w:val="18"/>
          <w:lang w:val="zh-CN"/>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dit="forms" w:formatting="1"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14021"/>
    <w:rsid w:val="00040AC2"/>
    <w:rsid w:val="00097EC8"/>
    <w:rsid w:val="000C0140"/>
    <w:rsid w:val="0017329E"/>
    <w:rsid w:val="00230108"/>
    <w:rsid w:val="00450B92"/>
    <w:rsid w:val="004A635D"/>
    <w:rsid w:val="00522C53"/>
    <w:rsid w:val="00634C19"/>
    <w:rsid w:val="00720C88"/>
    <w:rsid w:val="007F2310"/>
    <w:rsid w:val="008E153D"/>
    <w:rsid w:val="009432AE"/>
    <w:rsid w:val="009921F4"/>
    <w:rsid w:val="00AC5392"/>
    <w:rsid w:val="00B14021"/>
    <w:rsid w:val="00B54B91"/>
    <w:rsid w:val="00C457DC"/>
    <w:rsid w:val="00C47DD2"/>
    <w:rsid w:val="00C813D6"/>
    <w:rsid w:val="00CB3FFD"/>
    <w:rsid w:val="00CB54BA"/>
    <w:rsid w:val="00D417C6"/>
    <w:rsid w:val="00DD5EE2"/>
    <w:rsid w:val="00E155FF"/>
    <w:rsid w:val="00F62D8C"/>
    <w:rsid w:val="05FA550D"/>
    <w:rsid w:val="0CEE7807"/>
    <w:rsid w:val="1A69532E"/>
    <w:rsid w:val="1BC23762"/>
    <w:rsid w:val="22051BB2"/>
    <w:rsid w:val="24D45E47"/>
    <w:rsid w:val="25964839"/>
    <w:rsid w:val="2BEB0D40"/>
    <w:rsid w:val="302F0680"/>
    <w:rsid w:val="39106653"/>
    <w:rsid w:val="4CF00E82"/>
    <w:rsid w:val="4E073A4B"/>
    <w:rsid w:val="56034DAA"/>
    <w:rsid w:val="5CC601D5"/>
    <w:rsid w:val="625B2A83"/>
    <w:rsid w:val="63C56880"/>
    <w:rsid w:val="66937921"/>
    <w:rsid w:val="6712063A"/>
    <w:rsid w:val="6B54764F"/>
    <w:rsid w:val="789B7304"/>
    <w:rsid w:val="79AF1A2E"/>
    <w:rsid w:val="7B58010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semiHidden/>
    <w:qFormat/>
    <w:uiPriority w:val="99"/>
    <w:rPr>
      <w:rFonts w:cstheme="minorBidi"/>
      <w:sz w:val="18"/>
      <w:szCs w:val="18"/>
    </w:rPr>
  </w:style>
  <w:style w:type="character" w:customStyle="1" w:styleId="7">
    <w:name w:val="页脚 字符"/>
    <w:basedOn w:val="4"/>
    <w:link w:val="2"/>
    <w:semiHidden/>
    <w:qFormat/>
    <w:uiPriority w:val="99"/>
    <w:rPr>
      <w:rFonts w:cstheme="minorBidi"/>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11ABF1-D121-4083-9D17-470D0164FED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1008</Words>
  <Characters>5746</Characters>
  <Lines>47</Lines>
  <Paragraphs>13</Paragraphs>
  <TotalTime>19</TotalTime>
  <ScaleCrop>false</ScaleCrop>
  <LinksUpToDate>false</LinksUpToDate>
  <CharactersWithSpaces>6741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2020-09-17T08:22:00Z</dcterms:created>
  <dc:creator>PC</dc:creator>
  <cp:lastModifiedBy>Administrator</cp:lastModifiedBy>
  <dcterms:modified xsi:type="dcterms:W3CDTF">2021-06-07T08:14:28Z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