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Times New Roman"/>
          <w:sz w:val="32"/>
        </w:rPr>
      </w:pPr>
      <w:r>
        <w:rPr>
          <w:rFonts w:hint="eastAsia" w:ascii="仿宋" w:eastAsia="仿宋"/>
          <w:sz w:val="32"/>
        </w:rPr>
        <w:t>附件1：</w:t>
      </w: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jc w:val="center"/>
        <w:rPr>
          <w:rFonts w:eastAsia="Times New Roman"/>
          <w:sz w:val="32"/>
        </w:rPr>
      </w:pPr>
      <w:r>
        <w:rPr>
          <w:rFonts w:hint="eastAsia" w:ascii="方正小标宋_GBK" w:eastAsia="方正小标宋_GBK"/>
          <w:sz w:val="44"/>
        </w:rPr>
        <w:t>新疆昌吉州玛纳斯县司法局</w:t>
      </w:r>
      <w:r>
        <w:rPr>
          <w:rFonts w:hint="eastAsia" w:asciiTheme="minorEastAsia" w:hAnsiTheme="minorEastAsia" w:eastAsiaTheme="minorEastAsia"/>
          <w:sz w:val="44"/>
        </w:rPr>
        <w:t>2019</w:t>
      </w:r>
      <w:r>
        <w:rPr>
          <w:rFonts w:hint="eastAsia" w:ascii="方正小标宋_GBK" w:eastAsia="方正小标宋_GBK"/>
          <w:sz w:val="44"/>
        </w:rPr>
        <w:t>年度部门决算公开说明</w:t>
      </w: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rPr>
          <w:rFonts w:eastAsia="Times New Roman"/>
          <w:sz w:val="32"/>
        </w:rPr>
      </w:pPr>
    </w:p>
    <w:p>
      <w:pPr>
        <w:spacing w:line="600" w:lineRule="exact"/>
        <w:jc w:val="center"/>
        <w:rPr>
          <w:rFonts w:eastAsia="Times New Roman"/>
          <w:b/>
          <w:bCs/>
          <w:kern w:val="0"/>
          <w:sz w:val="44"/>
          <w:szCs w:val="44"/>
        </w:rPr>
      </w:pPr>
      <w:r>
        <w:rPr>
          <w:rFonts w:hint="eastAsia" w:ascii="仿宋" w:eastAsia="仿宋"/>
          <w:b/>
          <w:bCs/>
          <w:kern w:val="0"/>
          <w:sz w:val="44"/>
          <w:szCs w:val="44"/>
        </w:rPr>
        <w:t>目  录</w:t>
      </w:r>
    </w:p>
    <w:p>
      <w:pPr>
        <w:spacing w:line="600" w:lineRule="exact"/>
        <w:rPr>
          <w:rFonts w:eastAsia="Times New Roman"/>
          <w:kern w:val="0"/>
          <w:sz w:val="32"/>
        </w:rPr>
      </w:pPr>
    </w:p>
    <w:p>
      <w:pPr>
        <w:spacing w:line="500" w:lineRule="exact"/>
        <w:rPr>
          <w:rFonts w:eastAsia="Times New Roman"/>
          <w:kern w:val="0"/>
          <w:sz w:val="32"/>
        </w:rPr>
      </w:pPr>
      <w:r>
        <w:rPr>
          <w:rFonts w:hint="eastAsia" w:ascii="仿宋" w:eastAsia="仿宋"/>
          <w:kern w:val="0"/>
          <w:sz w:val="32"/>
        </w:rPr>
        <w:t>第一部分 部门单位概况</w:t>
      </w:r>
    </w:p>
    <w:p>
      <w:pPr>
        <w:spacing w:line="500" w:lineRule="exact"/>
        <w:rPr>
          <w:rFonts w:eastAsia="Times New Roman"/>
          <w:kern w:val="0"/>
          <w:sz w:val="32"/>
        </w:rPr>
      </w:pPr>
      <w:r>
        <w:rPr>
          <w:rFonts w:hint="eastAsia" w:ascii="仿宋" w:eastAsia="仿宋"/>
          <w:kern w:val="0"/>
          <w:sz w:val="32"/>
        </w:rPr>
        <w:t>一、主要职能</w:t>
      </w:r>
    </w:p>
    <w:p>
      <w:pPr>
        <w:spacing w:line="500" w:lineRule="exact"/>
        <w:rPr>
          <w:rFonts w:eastAsia="Times New Roman"/>
          <w:kern w:val="0"/>
          <w:sz w:val="32"/>
        </w:rPr>
      </w:pPr>
      <w:r>
        <w:rPr>
          <w:rFonts w:hint="eastAsia" w:ascii="仿宋" w:eastAsia="仿宋"/>
          <w:kern w:val="0"/>
          <w:sz w:val="32"/>
        </w:rPr>
        <w:t>二、</w:t>
      </w:r>
      <w:r>
        <w:rPr>
          <w:rFonts w:hint="eastAsia" w:ascii="仿宋" w:eastAsia="仿宋"/>
          <w:sz w:val="32"/>
        </w:rPr>
        <w:t>机构设置及人员情况</w:t>
      </w:r>
    </w:p>
    <w:p>
      <w:pPr>
        <w:spacing w:line="500" w:lineRule="exact"/>
        <w:rPr>
          <w:rFonts w:eastAsia="Times New Roman"/>
          <w:kern w:val="0"/>
          <w:sz w:val="32"/>
        </w:rPr>
      </w:pPr>
      <w:r>
        <w:rPr>
          <w:rFonts w:hint="eastAsia" w:ascii="仿宋" w:eastAsia="仿宋"/>
          <w:kern w:val="0"/>
          <w:sz w:val="32"/>
        </w:rPr>
        <w:t>第二部分 部门决算情况说明</w:t>
      </w:r>
    </w:p>
    <w:p>
      <w:pPr>
        <w:spacing w:line="500" w:lineRule="exact"/>
        <w:rPr>
          <w:rFonts w:eastAsia="Times New Roman"/>
          <w:sz w:val="32"/>
        </w:rPr>
      </w:pPr>
      <w:r>
        <w:rPr>
          <w:rFonts w:hint="eastAsia" w:ascii="仿宋" w:eastAsia="仿宋"/>
          <w:sz w:val="32"/>
        </w:rPr>
        <w:t>一、收入支出决算总体情况说明</w:t>
      </w:r>
    </w:p>
    <w:p>
      <w:pPr>
        <w:spacing w:line="500" w:lineRule="exact"/>
        <w:rPr>
          <w:rFonts w:eastAsia="Times New Roman"/>
          <w:sz w:val="32"/>
        </w:rPr>
      </w:pPr>
      <w:r>
        <w:rPr>
          <w:rFonts w:hint="eastAsia" w:ascii="仿宋" w:eastAsia="仿宋"/>
          <w:sz w:val="32"/>
        </w:rPr>
        <w:t>二、收入决算情况说明</w:t>
      </w:r>
    </w:p>
    <w:p>
      <w:pPr>
        <w:spacing w:line="500" w:lineRule="exact"/>
        <w:rPr>
          <w:rFonts w:eastAsia="Times New Roman"/>
          <w:sz w:val="32"/>
        </w:rPr>
      </w:pPr>
      <w:r>
        <w:rPr>
          <w:rFonts w:hint="eastAsia" w:ascii="仿宋" w:eastAsia="仿宋"/>
          <w:sz w:val="32"/>
        </w:rPr>
        <w:t>三、支出决算情况说明、</w:t>
      </w:r>
    </w:p>
    <w:p>
      <w:pPr>
        <w:spacing w:line="500" w:lineRule="exact"/>
        <w:rPr>
          <w:rFonts w:eastAsia="Times New Roman"/>
          <w:sz w:val="32"/>
        </w:rPr>
      </w:pPr>
      <w:r>
        <w:rPr>
          <w:rFonts w:hint="eastAsia" w:ascii="仿宋" w:eastAsia="仿宋"/>
          <w:sz w:val="32"/>
        </w:rPr>
        <w:t>四、财政拨款收入支出决算总体情况说明</w:t>
      </w:r>
    </w:p>
    <w:p>
      <w:pPr>
        <w:spacing w:line="500" w:lineRule="exact"/>
        <w:rPr>
          <w:rFonts w:eastAsia="Times New Roman"/>
          <w:sz w:val="32"/>
        </w:rPr>
      </w:pPr>
      <w:r>
        <w:rPr>
          <w:rFonts w:hint="eastAsia" w:ascii="仿宋" w:eastAsia="仿宋"/>
          <w:sz w:val="32"/>
        </w:rPr>
        <w:t>五、一般公共预算财政拨款支出决算情况说明</w:t>
      </w:r>
    </w:p>
    <w:p>
      <w:pPr>
        <w:spacing w:line="500" w:lineRule="exact"/>
        <w:rPr>
          <w:rFonts w:eastAsia="Times New Roman"/>
          <w:sz w:val="32"/>
        </w:rPr>
      </w:pPr>
      <w:r>
        <w:rPr>
          <w:rFonts w:hint="eastAsia" w:ascii="仿宋" w:eastAsia="仿宋"/>
          <w:sz w:val="32"/>
        </w:rPr>
        <w:t>六、一般公共预算财政拨款基本支出决算情况说明</w:t>
      </w:r>
    </w:p>
    <w:p>
      <w:pPr>
        <w:spacing w:line="500" w:lineRule="exact"/>
        <w:rPr>
          <w:rFonts w:eastAsia="Times New Roman"/>
          <w:sz w:val="32"/>
        </w:rPr>
      </w:pPr>
      <w:r>
        <w:rPr>
          <w:rFonts w:hint="eastAsia" w:ascii="仿宋" w:eastAsia="仿宋"/>
          <w:sz w:val="32"/>
        </w:rPr>
        <w:t>七、一般公共预算财政拨款</w:t>
      </w:r>
      <w:r>
        <w:rPr>
          <w:rFonts w:eastAsia="Times New Roman"/>
          <w:sz w:val="32"/>
        </w:rPr>
        <w:t>“</w:t>
      </w:r>
      <w:r>
        <w:rPr>
          <w:rFonts w:hint="eastAsia" w:ascii="仿宋" w:eastAsia="仿宋"/>
          <w:sz w:val="32"/>
        </w:rPr>
        <w:t>三公</w:t>
      </w:r>
      <w:r>
        <w:rPr>
          <w:rFonts w:eastAsia="Times New Roman"/>
          <w:sz w:val="32"/>
        </w:rPr>
        <w:t>”</w:t>
      </w:r>
      <w:r>
        <w:rPr>
          <w:rFonts w:hint="eastAsia" w:ascii="仿宋" w:eastAsia="仿宋"/>
          <w:sz w:val="32"/>
        </w:rPr>
        <w:t>经费支出决算情况说明</w:t>
      </w:r>
    </w:p>
    <w:p>
      <w:pPr>
        <w:spacing w:line="500" w:lineRule="exact"/>
        <w:rPr>
          <w:rFonts w:eastAsia="Times New Roman"/>
          <w:sz w:val="32"/>
        </w:rPr>
      </w:pPr>
      <w:r>
        <w:rPr>
          <w:rFonts w:hint="eastAsia" w:ascii="仿宋" w:eastAsia="仿宋"/>
          <w:sz w:val="32"/>
        </w:rPr>
        <w:t>八、政府性基金预算收入支出决算情况说明</w:t>
      </w:r>
    </w:p>
    <w:p>
      <w:pPr>
        <w:spacing w:line="500" w:lineRule="exact"/>
        <w:rPr>
          <w:rFonts w:eastAsia="Times New Roman"/>
          <w:sz w:val="32"/>
        </w:rPr>
      </w:pPr>
      <w:r>
        <w:rPr>
          <w:rFonts w:hint="eastAsia" w:ascii="仿宋" w:eastAsia="仿宋"/>
          <w:sz w:val="32"/>
        </w:rPr>
        <w:t>九、其他重要事项的情况说明</w:t>
      </w:r>
    </w:p>
    <w:p>
      <w:pPr>
        <w:spacing w:line="500" w:lineRule="exact"/>
        <w:rPr>
          <w:rFonts w:eastAsia="Times New Roman"/>
          <w:sz w:val="32"/>
        </w:rPr>
      </w:pPr>
      <w:r>
        <w:rPr>
          <w:rFonts w:hint="eastAsia" w:ascii="仿宋" w:eastAsia="仿宋"/>
          <w:sz w:val="32"/>
        </w:rPr>
        <w:t>（一）机关运行经费支出情况</w:t>
      </w:r>
    </w:p>
    <w:p>
      <w:pPr>
        <w:spacing w:line="500" w:lineRule="exact"/>
        <w:rPr>
          <w:rFonts w:eastAsia="Times New Roman"/>
          <w:sz w:val="32"/>
        </w:rPr>
      </w:pPr>
      <w:r>
        <w:rPr>
          <w:rFonts w:hint="eastAsia" w:ascii="仿宋" w:eastAsia="仿宋"/>
          <w:sz w:val="32"/>
        </w:rPr>
        <w:t>（二）政府采购情况</w:t>
      </w:r>
    </w:p>
    <w:p>
      <w:pPr>
        <w:spacing w:line="500" w:lineRule="exact"/>
        <w:rPr>
          <w:rFonts w:eastAsia="Times New Roman"/>
          <w:sz w:val="32"/>
        </w:rPr>
      </w:pPr>
      <w:r>
        <w:rPr>
          <w:rFonts w:hint="eastAsia" w:ascii="仿宋" w:eastAsia="仿宋"/>
          <w:sz w:val="32"/>
        </w:rPr>
        <w:t>（三）国有资产占用情况说明</w:t>
      </w:r>
    </w:p>
    <w:p>
      <w:pPr>
        <w:spacing w:line="500" w:lineRule="exact"/>
        <w:rPr>
          <w:rFonts w:eastAsia="Times New Roman"/>
          <w:kern w:val="0"/>
          <w:sz w:val="32"/>
        </w:rPr>
      </w:pPr>
      <w:r>
        <w:rPr>
          <w:rFonts w:hint="eastAsia" w:ascii="仿宋" w:eastAsia="仿宋"/>
          <w:kern w:val="0"/>
          <w:sz w:val="32"/>
        </w:rPr>
        <w:t>第三部分 专业名词解释</w:t>
      </w:r>
    </w:p>
    <w:p>
      <w:pPr>
        <w:spacing w:line="500" w:lineRule="exact"/>
        <w:rPr>
          <w:rFonts w:eastAsia="Times New Roman"/>
          <w:kern w:val="0"/>
          <w:sz w:val="32"/>
        </w:rPr>
      </w:pPr>
      <w:r>
        <w:rPr>
          <w:rFonts w:hint="eastAsia" w:ascii="仿宋" w:eastAsia="仿宋"/>
          <w:kern w:val="0"/>
          <w:sz w:val="32"/>
        </w:rPr>
        <w:t>第四部分 部门决算报表（见附表）</w:t>
      </w:r>
    </w:p>
    <w:p>
      <w:pPr>
        <w:spacing w:line="500" w:lineRule="exact"/>
        <w:rPr>
          <w:rFonts w:eastAsia="Times New Roman"/>
          <w:sz w:val="32"/>
        </w:rPr>
      </w:pPr>
      <w:r>
        <w:rPr>
          <w:rFonts w:hint="eastAsia" w:ascii="仿宋" w:eastAsia="仿宋"/>
          <w:sz w:val="32"/>
        </w:rPr>
        <w:t>一、《收入支出决算总表》</w:t>
      </w:r>
    </w:p>
    <w:p>
      <w:pPr>
        <w:spacing w:line="500" w:lineRule="exact"/>
        <w:rPr>
          <w:rFonts w:eastAsia="Times New Roman"/>
          <w:sz w:val="32"/>
        </w:rPr>
      </w:pPr>
      <w:r>
        <w:rPr>
          <w:rFonts w:hint="eastAsia" w:ascii="仿宋" w:eastAsia="仿宋"/>
          <w:sz w:val="32"/>
        </w:rPr>
        <w:t>二、《收入决算表》</w:t>
      </w:r>
    </w:p>
    <w:p>
      <w:pPr>
        <w:spacing w:line="500" w:lineRule="exact"/>
        <w:rPr>
          <w:rFonts w:eastAsia="Times New Roman"/>
          <w:sz w:val="32"/>
        </w:rPr>
      </w:pPr>
      <w:r>
        <w:rPr>
          <w:rFonts w:hint="eastAsia" w:ascii="仿宋" w:eastAsia="仿宋"/>
          <w:sz w:val="32"/>
        </w:rPr>
        <w:t>三、《支出决算表》</w:t>
      </w:r>
    </w:p>
    <w:p>
      <w:pPr>
        <w:spacing w:line="500" w:lineRule="exact"/>
        <w:rPr>
          <w:rFonts w:eastAsia="Times New Roman"/>
          <w:sz w:val="32"/>
        </w:rPr>
      </w:pPr>
      <w:r>
        <w:rPr>
          <w:rFonts w:hint="eastAsia" w:ascii="仿宋" w:eastAsia="仿宋"/>
          <w:sz w:val="32"/>
        </w:rPr>
        <w:t>四、《财政拨款收入支出决算总表》</w:t>
      </w:r>
    </w:p>
    <w:p>
      <w:pPr>
        <w:spacing w:line="500" w:lineRule="exact"/>
        <w:rPr>
          <w:rFonts w:eastAsia="Times New Roman"/>
          <w:sz w:val="32"/>
        </w:rPr>
      </w:pPr>
      <w:r>
        <w:rPr>
          <w:rFonts w:hint="eastAsia" w:ascii="仿宋" w:eastAsia="仿宋"/>
          <w:sz w:val="32"/>
        </w:rPr>
        <w:t>五、《一般公共预算财政拨款支出决算表》</w:t>
      </w:r>
    </w:p>
    <w:p>
      <w:pPr>
        <w:spacing w:line="500" w:lineRule="exact"/>
        <w:rPr>
          <w:rFonts w:eastAsia="Times New Roman"/>
          <w:sz w:val="32"/>
        </w:rPr>
      </w:pPr>
      <w:r>
        <w:rPr>
          <w:rFonts w:hint="eastAsia" w:ascii="仿宋" w:eastAsia="仿宋"/>
          <w:sz w:val="32"/>
        </w:rPr>
        <w:t>六、《一般公共预算财政拨款基本支出决算表》</w:t>
      </w:r>
    </w:p>
    <w:p>
      <w:pPr>
        <w:spacing w:line="500" w:lineRule="exact"/>
        <w:rPr>
          <w:rFonts w:eastAsia="Times New Roman"/>
          <w:sz w:val="32"/>
        </w:rPr>
      </w:pPr>
      <w:r>
        <w:rPr>
          <w:rFonts w:hint="eastAsia" w:ascii="仿宋" w:eastAsia="仿宋"/>
          <w:sz w:val="32"/>
        </w:rPr>
        <w:t>七、《一般公共预算财政拨款</w:t>
      </w:r>
      <w:r>
        <w:rPr>
          <w:rFonts w:eastAsia="Times New Roman"/>
          <w:sz w:val="32"/>
        </w:rPr>
        <w:t>“</w:t>
      </w:r>
      <w:r>
        <w:rPr>
          <w:rFonts w:hint="eastAsia" w:ascii="仿宋" w:eastAsia="仿宋"/>
          <w:sz w:val="32"/>
        </w:rPr>
        <w:t>三公</w:t>
      </w:r>
      <w:r>
        <w:rPr>
          <w:rFonts w:eastAsia="Times New Roman"/>
          <w:sz w:val="32"/>
        </w:rPr>
        <w:t>”</w:t>
      </w:r>
      <w:r>
        <w:rPr>
          <w:rFonts w:hint="eastAsia" w:ascii="仿宋" w:eastAsia="仿宋"/>
          <w:sz w:val="32"/>
        </w:rPr>
        <w:t>经费支出决算表》</w:t>
      </w:r>
    </w:p>
    <w:p>
      <w:pPr>
        <w:spacing w:line="500" w:lineRule="exact"/>
        <w:rPr>
          <w:rFonts w:eastAsia="Times New Roman"/>
          <w:sz w:val="32"/>
        </w:rPr>
      </w:pPr>
      <w:r>
        <w:rPr>
          <w:rFonts w:hint="eastAsia" w:ascii="仿宋" w:eastAsia="仿宋"/>
          <w:sz w:val="32"/>
        </w:rPr>
        <w:t>八、《政府性基金预算财政拨款收入支出决算表》</w:t>
      </w:r>
    </w:p>
    <w:p>
      <w:pPr>
        <w:shd w:val="clear" w:color="auto" w:fill="FFFFFF"/>
        <w:spacing w:line="600" w:lineRule="exact"/>
        <w:jc w:val="center"/>
        <w:rPr>
          <w:rFonts w:eastAsia="Times New Roman"/>
          <w:kern w:val="0"/>
          <w:sz w:val="32"/>
        </w:rPr>
      </w:pPr>
      <w:r>
        <w:rPr>
          <w:rFonts w:hint="eastAsia" w:ascii="仿宋" w:eastAsia="仿宋"/>
          <w:sz w:val="32"/>
        </w:rPr>
        <w:t>第一部分 部门单位概况</w:t>
      </w:r>
    </w:p>
    <w:p>
      <w:pPr>
        <w:shd w:val="clear" w:color="auto" w:fill="FFFFFF"/>
        <w:spacing w:line="600" w:lineRule="exact"/>
        <w:ind w:firstLine="643"/>
        <w:rPr>
          <w:rFonts w:ascii="仿宋" w:eastAsia="仿宋"/>
          <w:kern w:val="0"/>
          <w:sz w:val="32"/>
        </w:rPr>
      </w:pPr>
      <w:r>
        <w:rPr>
          <w:rFonts w:hint="eastAsia" w:ascii="仿宋" w:eastAsia="仿宋"/>
          <w:kern w:val="0"/>
          <w:sz w:val="32"/>
        </w:rPr>
        <w:t>一、主要职能</w:t>
      </w:r>
    </w:p>
    <w:p>
      <w:pPr>
        <w:widowControl w:val="0"/>
        <w:adjustRightInd w:val="0"/>
        <w:snapToGrid w:val="0"/>
        <w:spacing w:line="500" w:lineRule="exact"/>
        <w:ind w:firstLine="515" w:firstLineChars="161"/>
        <w:rPr>
          <w:rFonts w:ascii="仿宋_GB2312" w:eastAsia="仿宋_GB2312" w:cs="宋体"/>
          <w:bCs/>
          <w:kern w:val="0"/>
          <w:sz w:val="32"/>
          <w:szCs w:val="32"/>
        </w:rPr>
      </w:pPr>
      <w:r>
        <w:rPr>
          <w:rFonts w:hint="eastAsia" w:ascii="仿宋_GB2312" w:eastAsia="仿宋_GB2312" w:cs="宋体"/>
          <w:bCs/>
          <w:kern w:val="0"/>
          <w:sz w:val="32"/>
          <w:szCs w:val="32"/>
        </w:rPr>
        <w:t>（一）承担全面依法治县重大问题的政策研究；协调有关方面提出全面依法治县中长期规划建议；负责有关重大决策部署督察工作。</w:t>
      </w:r>
    </w:p>
    <w:p>
      <w:pPr>
        <w:widowControl w:val="0"/>
        <w:adjustRightInd w:val="0"/>
        <w:snapToGrid w:val="0"/>
        <w:spacing w:line="500" w:lineRule="exact"/>
        <w:ind w:firstLine="515" w:firstLineChars="161"/>
        <w:rPr>
          <w:rFonts w:ascii="仿宋_GB2312" w:eastAsia="仿宋_GB2312" w:cs="宋体"/>
          <w:bCs/>
          <w:kern w:val="0"/>
          <w:sz w:val="32"/>
          <w:szCs w:val="32"/>
        </w:rPr>
      </w:pPr>
      <w:r>
        <w:rPr>
          <w:rFonts w:hint="eastAsia" w:ascii="仿宋_GB2312" w:eastAsia="仿宋_GB2312" w:cs="宋体"/>
          <w:bCs/>
          <w:kern w:val="0"/>
          <w:sz w:val="32"/>
          <w:szCs w:val="32"/>
        </w:rPr>
        <w:t>（二）负责行政规范性文件起草、修改、合法性审核、备案审查和清理工作。</w:t>
      </w:r>
    </w:p>
    <w:p>
      <w:pPr>
        <w:widowControl w:val="0"/>
        <w:adjustRightInd w:val="0"/>
        <w:snapToGrid w:val="0"/>
        <w:spacing w:line="500" w:lineRule="exact"/>
        <w:ind w:firstLine="515" w:firstLineChars="161"/>
        <w:rPr>
          <w:rFonts w:ascii="仿宋_GB2312" w:eastAsia="仿宋_GB2312" w:cs="宋体"/>
          <w:bCs/>
          <w:kern w:val="0"/>
          <w:sz w:val="32"/>
          <w:szCs w:val="32"/>
        </w:rPr>
      </w:pPr>
      <w:r>
        <w:rPr>
          <w:rFonts w:hint="eastAsia" w:ascii="仿宋_GB2312" w:eastAsia="仿宋_GB2312" w:cs="宋体"/>
          <w:bCs/>
          <w:kern w:val="0"/>
          <w:sz w:val="32"/>
          <w:szCs w:val="32"/>
        </w:rPr>
        <w:t>（三）承担统筹推进法治政府建设的责任。指导、监督各部门、各乡镇人民政府依法行政工作；负责行政执法的监督管理、综合协调工作；承担推进行政执法体制改革有关工作；推进严格规范公正文明执法；指导、监督全县行政复议和行政应诉工作；负责行政复议、行政应诉和行政赔偿案件办理工作。</w:t>
      </w:r>
    </w:p>
    <w:p>
      <w:pPr>
        <w:widowControl w:val="0"/>
        <w:adjustRightInd w:val="0"/>
        <w:snapToGrid w:val="0"/>
        <w:spacing w:line="500" w:lineRule="exact"/>
        <w:ind w:firstLine="515" w:firstLineChars="161"/>
        <w:rPr>
          <w:rFonts w:ascii="仿宋_GB2312" w:eastAsia="仿宋_GB2312" w:cs="宋体"/>
          <w:bCs/>
          <w:kern w:val="0"/>
          <w:sz w:val="32"/>
          <w:szCs w:val="32"/>
        </w:rPr>
      </w:pPr>
      <w:r>
        <w:rPr>
          <w:rFonts w:hint="eastAsia" w:ascii="仿宋_GB2312" w:eastAsia="仿宋_GB2312" w:cs="宋体"/>
          <w:bCs/>
          <w:kern w:val="0"/>
          <w:sz w:val="32"/>
          <w:szCs w:val="32"/>
        </w:rPr>
        <w:t>（四）承担统筹规划法治社会建设的责任。负责拟订法治宣传教育规划，组织实施普法宣传工作，组织对外法治宣传；负责促进和谐预防犯罪宣传教育工作；推动人民参与和促进法治建设；指导依法治理和法治创建工作；负责人民调解员选任管理工作；指导、监督人民调解、行政调解、人民陪审员选任工作，推进司法所建设。</w:t>
      </w:r>
    </w:p>
    <w:p>
      <w:pPr>
        <w:widowControl w:val="0"/>
        <w:adjustRightInd w:val="0"/>
        <w:snapToGrid w:val="0"/>
        <w:spacing w:line="500" w:lineRule="exact"/>
        <w:ind w:firstLine="515" w:firstLineChars="161"/>
        <w:rPr>
          <w:rFonts w:ascii="仿宋_GB2312" w:eastAsia="仿宋_GB2312" w:cs="宋体"/>
          <w:bCs/>
          <w:kern w:val="0"/>
          <w:sz w:val="32"/>
          <w:szCs w:val="32"/>
        </w:rPr>
      </w:pPr>
      <w:r>
        <w:rPr>
          <w:rFonts w:hint="eastAsia" w:ascii="仿宋_GB2312" w:eastAsia="仿宋_GB2312" w:cs="宋体"/>
          <w:bCs/>
          <w:kern w:val="0"/>
          <w:sz w:val="32"/>
          <w:szCs w:val="32"/>
        </w:rPr>
        <w:t>（五）负责社区工作。指导刑满释放人员帮教安置工作。</w:t>
      </w:r>
    </w:p>
    <w:p>
      <w:pPr>
        <w:widowControl w:val="0"/>
        <w:adjustRightInd w:val="0"/>
        <w:snapToGrid w:val="0"/>
        <w:spacing w:line="500" w:lineRule="exact"/>
        <w:ind w:firstLine="515" w:firstLineChars="161"/>
        <w:rPr>
          <w:rFonts w:ascii="仿宋_GB2312" w:eastAsia="仿宋_GB2312" w:cs="宋体"/>
          <w:bCs/>
          <w:kern w:val="0"/>
          <w:sz w:val="32"/>
          <w:szCs w:val="32"/>
        </w:rPr>
      </w:pPr>
      <w:r>
        <w:rPr>
          <w:rFonts w:hint="eastAsia" w:ascii="仿宋_GB2312" w:eastAsia="仿宋_GB2312" w:cs="宋体"/>
          <w:bCs/>
          <w:kern w:val="0"/>
          <w:sz w:val="32"/>
          <w:szCs w:val="32"/>
        </w:rPr>
        <w:t>（六）负责拟订公共法律服务体系建设规划并指导实施，统筹和布局城乡、区域法律服务资源；指导、监督律师、法律援助、公证、基层法律服务管理工作；指导法律顾问工作。</w:t>
      </w:r>
    </w:p>
    <w:p>
      <w:pPr>
        <w:widowControl w:val="0"/>
        <w:adjustRightInd w:val="0"/>
        <w:snapToGrid w:val="0"/>
        <w:spacing w:line="500" w:lineRule="exact"/>
        <w:ind w:firstLine="515" w:firstLineChars="161"/>
        <w:rPr>
          <w:rFonts w:ascii="仿宋_GB2312" w:eastAsia="仿宋_GB2312" w:cs="宋体"/>
          <w:bCs/>
          <w:color w:val="000000"/>
          <w:kern w:val="0"/>
          <w:sz w:val="32"/>
          <w:szCs w:val="32"/>
        </w:rPr>
      </w:pPr>
      <w:r>
        <w:rPr>
          <w:rFonts w:hint="eastAsia" w:ascii="仿宋_GB2312" w:eastAsia="仿宋_GB2312" w:cs="宋体"/>
          <w:bCs/>
          <w:kern w:val="0"/>
          <w:sz w:val="32"/>
          <w:szCs w:val="32"/>
        </w:rPr>
        <w:t>（七）规划、协调、指导法治人才队伍建设相关工作，指导、监督本系统队伍建设；负责本系统警务管理和警务督察工作；负责本系统警车管理，指导、监督本系统财务、装</w:t>
      </w:r>
      <w:r>
        <w:rPr>
          <w:rFonts w:hint="eastAsia" w:ascii="仿宋_GB2312" w:eastAsia="仿宋_GB2312" w:cs="宋体"/>
          <w:bCs/>
          <w:color w:val="000000"/>
          <w:kern w:val="0"/>
          <w:sz w:val="32"/>
          <w:szCs w:val="32"/>
        </w:rPr>
        <w:t>备、设施、场所等保障工作。</w:t>
      </w:r>
    </w:p>
    <w:p>
      <w:pPr>
        <w:widowControl w:val="0"/>
        <w:adjustRightInd w:val="0"/>
        <w:snapToGrid w:val="0"/>
        <w:spacing w:line="500" w:lineRule="exact"/>
        <w:ind w:firstLine="515" w:firstLineChars="161"/>
        <w:rPr>
          <w:rFonts w:ascii="仿宋_GB2312" w:eastAsia="仿宋_GB2312" w:cs="宋体"/>
          <w:bCs/>
          <w:color w:val="000000"/>
          <w:kern w:val="0"/>
          <w:sz w:val="32"/>
          <w:szCs w:val="32"/>
        </w:rPr>
      </w:pPr>
      <w:r>
        <w:rPr>
          <w:rFonts w:hint="eastAsia" w:ascii="仿宋_GB2312" w:eastAsia="仿宋_GB2312" w:cs="宋体"/>
          <w:bCs/>
          <w:color w:val="000000"/>
          <w:kern w:val="0"/>
          <w:sz w:val="32"/>
          <w:szCs w:val="32"/>
        </w:rPr>
        <w:t>（八）完成县党委、县人民政府和自治州司法局交办的其他任务。</w:t>
      </w:r>
    </w:p>
    <w:p>
      <w:pPr>
        <w:shd w:val="clear" w:color="auto" w:fill="FFFFFF"/>
        <w:spacing w:before="100" w:beforeLines="0" w:after="240" w:afterLines="0" w:line="600" w:lineRule="exact"/>
        <w:ind w:firstLine="643"/>
        <w:rPr>
          <w:rFonts w:hint="default" w:eastAsia="Times New Roman"/>
          <w:b w:val="0"/>
          <w:bCs/>
          <w:kern w:val="0"/>
          <w:sz w:val="32"/>
        </w:rPr>
      </w:pPr>
      <w:r>
        <w:rPr>
          <w:rFonts w:hint="eastAsia" w:ascii="仿宋" w:hAnsi="仿宋" w:eastAsia="仿宋"/>
          <w:b w:val="0"/>
          <w:bCs/>
          <w:kern w:val="0"/>
          <w:sz w:val="32"/>
        </w:rPr>
        <w:t>二、机构设置及人员情况</w:t>
      </w:r>
    </w:p>
    <w:p>
      <w:pPr>
        <w:adjustRightInd w:val="0"/>
        <w:snapToGrid w:val="0"/>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玛纳斯县</w:t>
      </w:r>
      <w:r>
        <w:rPr>
          <w:rFonts w:hint="eastAsia" w:ascii="仿宋_GB2312" w:hAnsi="宋体" w:eastAsia="仿宋_GB2312" w:cs="宋体"/>
          <w:kern w:val="0"/>
          <w:sz w:val="32"/>
          <w:szCs w:val="32"/>
        </w:rPr>
        <w:t>司法</w:t>
      </w:r>
      <w:r>
        <w:rPr>
          <w:rFonts w:hint="eastAsia" w:ascii="仿宋_GB2312" w:hAnsi="宋体" w:eastAsia="仿宋_GB2312" w:cs="宋体"/>
          <w:kern w:val="0"/>
          <w:sz w:val="32"/>
          <w:szCs w:val="32"/>
          <w:lang w:eastAsia="zh-CN"/>
        </w:rPr>
        <w:t>局无下属预算单位，</w:t>
      </w:r>
      <w:r>
        <w:rPr>
          <w:rFonts w:hint="eastAsia" w:ascii="仿宋_GB2312" w:hAnsi="宋体" w:eastAsia="仿宋_GB2312" w:cs="宋体"/>
          <w:kern w:val="0"/>
          <w:sz w:val="32"/>
          <w:szCs w:val="32"/>
        </w:rPr>
        <w:t>本级</w:t>
      </w:r>
      <w:r>
        <w:rPr>
          <w:rFonts w:hint="eastAsia" w:ascii="仿宋_GB2312" w:hAnsi="黑体" w:eastAsia="仿宋_GB2312" w:cs="宋体"/>
          <w:bCs/>
          <w:kern w:val="0"/>
          <w:sz w:val="32"/>
          <w:szCs w:val="32"/>
        </w:rPr>
        <w:t>下设 5个科室，分别是：</w:t>
      </w:r>
      <w:r>
        <w:rPr>
          <w:rFonts w:hint="eastAsia" w:ascii="仿宋_GB2312" w:hAnsi="宋体" w:eastAsia="仿宋_GB2312" w:cs="宋体"/>
          <w:kern w:val="0"/>
          <w:sz w:val="32"/>
          <w:szCs w:val="32"/>
        </w:rPr>
        <w:t>办公室、法治宣传办公室、社区和教育办公室、基层与公共法律服务管理办公室、行政执法监督室。</w:t>
      </w:r>
    </w:p>
    <w:p>
      <w:pPr>
        <w:widowControl/>
        <w:spacing w:line="560" w:lineRule="exact"/>
        <w:ind w:firstLine="640"/>
        <w:jc w:val="left"/>
        <w:rPr>
          <w:rFonts w:hint="eastAsia" w:ascii="仿宋_GB2312" w:hAnsi="宋体" w:eastAsia="仿宋_GB2312" w:cs="宋体"/>
          <w:b w:val="0"/>
          <w:bCs w:val="0"/>
          <w:color w:val="000000" w:themeColor="text1"/>
          <w:kern w:val="0"/>
          <w:sz w:val="32"/>
          <w:szCs w:val="32"/>
          <w:highlight w:val="none"/>
          <w14:textFill>
            <w14:solidFill>
              <w14:schemeClr w14:val="tx1"/>
            </w14:solidFill>
          </w14:textFill>
        </w:rPr>
      </w:pPr>
      <w:r>
        <w:rPr>
          <w:rFonts w:hint="eastAsia" w:ascii="仿宋_GB2312" w:hAnsi="宋体" w:eastAsia="仿宋_GB2312" w:cs="宋体"/>
          <w:b w:val="0"/>
          <w:bCs w:val="0"/>
          <w:color w:val="000000" w:themeColor="text1"/>
          <w:kern w:val="0"/>
          <w:sz w:val="32"/>
          <w:szCs w:val="32"/>
          <w:highlight w:val="none"/>
          <w:lang w:eastAsia="zh-CN"/>
          <w14:textFill>
            <w14:solidFill>
              <w14:schemeClr w14:val="tx1"/>
            </w14:solidFill>
          </w14:textFill>
        </w:rPr>
        <w:t>玛纳斯</w:t>
      </w:r>
      <w:r>
        <w:rPr>
          <w:rFonts w:hint="eastAsia" w:ascii="仿宋_GB2312" w:eastAsia="仿宋_GB2312"/>
          <w:b w:val="0"/>
          <w:bCs w:val="0"/>
          <w:color w:val="000000" w:themeColor="text1"/>
          <w:sz w:val="32"/>
          <w:szCs w:val="32"/>
          <w:highlight w:val="none"/>
          <w14:textFill>
            <w14:solidFill>
              <w14:schemeClr w14:val="tx1"/>
            </w14:solidFill>
          </w14:textFill>
        </w:rPr>
        <w:t>县司法局编制人数21人，</w:t>
      </w:r>
      <w:r>
        <w:rPr>
          <w:rFonts w:hint="eastAsia" w:ascii="仿宋_GB2312" w:hAnsi="宋体" w:eastAsia="仿宋_GB2312" w:cs="宋体"/>
          <w:b w:val="0"/>
          <w:bCs w:val="0"/>
          <w:color w:val="000000" w:themeColor="text1"/>
          <w:kern w:val="0"/>
          <w:sz w:val="32"/>
          <w:szCs w:val="32"/>
          <w:highlight w:val="none"/>
          <w14:textFill>
            <w14:solidFill>
              <w14:schemeClr w14:val="tx1"/>
            </w14:solidFill>
          </w14:textFill>
        </w:rPr>
        <w:t>实有人数2</w:t>
      </w:r>
      <w:bookmarkStart w:id="0" w:name="_GoBack"/>
      <w:bookmarkEnd w:id="0"/>
      <w:r>
        <w:rPr>
          <w:rFonts w:hint="eastAsia" w:ascii="仿宋_GB2312" w:hAnsi="宋体" w:eastAsia="仿宋_GB2312" w:cs="宋体"/>
          <w:b w:val="0"/>
          <w:bCs w:val="0"/>
          <w:color w:val="000000" w:themeColor="text1"/>
          <w:kern w:val="0"/>
          <w:sz w:val="32"/>
          <w:szCs w:val="32"/>
          <w:highlight w:val="none"/>
          <w14:textFill>
            <w14:solidFill>
              <w14:schemeClr w14:val="tx1"/>
            </w14:solidFill>
          </w14:textFill>
        </w:rPr>
        <w:t>3人，其中：在职11人，减少2人； 退休17人，增加2人；离休0人，增加0人。</w:t>
      </w:r>
    </w:p>
    <w:p>
      <w:pPr>
        <w:shd w:val="clear" w:color="auto" w:fill="FFFFFF"/>
        <w:spacing w:before="100" w:beforeLines="0" w:afterLines="0" w:line="600" w:lineRule="exact"/>
        <w:ind w:firstLine="640"/>
        <w:rPr>
          <w:rFonts w:hint="default" w:eastAsia="Times New Roman"/>
          <w:kern w:val="0"/>
          <w:sz w:val="32"/>
        </w:rPr>
      </w:pPr>
      <w:r>
        <w:rPr>
          <w:rFonts w:hint="eastAsia" w:ascii="仿宋" w:hAnsi="仿宋" w:eastAsia="仿宋"/>
          <w:kern w:val="0"/>
          <w:sz w:val="32"/>
        </w:rPr>
        <w:t>从部门决算单位构成看，新疆昌吉州玛纳斯县</w:t>
      </w:r>
      <w:r>
        <w:rPr>
          <w:rFonts w:hint="eastAsia" w:ascii="仿宋" w:hAnsi="仿宋" w:eastAsia="仿宋"/>
          <w:kern w:val="0"/>
          <w:sz w:val="32"/>
          <w:lang w:eastAsia="zh-CN"/>
        </w:rPr>
        <w:t>司法局</w:t>
      </w:r>
      <w:r>
        <w:rPr>
          <w:rFonts w:hint="eastAsia" w:ascii="仿宋" w:hAnsi="仿宋" w:eastAsia="仿宋"/>
          <w:kern w:val="0"/>
          <w:sz w:val="32"/>
        </w:rPr>
        <w:t>部门决算包括：新疆昌吉州玛纳斯县</w:t>
      </w:r>
      <w:r>
        <w:rPr>
          <w:rFonts w:hint="eastAsia" w:ascii="仿宋" w:hAnsi="仿宋" w:eastAsia="仿宋"/>
          <w:kern w:val="0"/>
          <w:sz w:val="32"/>
          <w:lang w:eastAsia="zh-CN"/>
        </w:rPr>
        <w:t>司法局部门</w:t>
      </w:r>
      <w:r>
        <w:rPr>
          <w:rFonts w:hint="eastAsia" w:ascii="仿宋" w:hAnsi="仿宋" w:eastAsia="仿宋"/>
          <w:kern w:val="0"/>
          <w:sz w:val="32"/>
        </w:rPr>
        <w:t>决算。</w:t>
      </w:r>
    </w:p>
    <w:p>
      <w:pPr>
        <w:shd w:val="clear" w:color="auto" w:fill="FFFFFF"/>
        <w:spacing w:line="600" w:lineRule="exact"/>
        <w:rPr>
          <w:rFonts w:eastAsia="Times New Roman"/>
          <w:b/>
          <w:bCs/>
          <w:kern w:val="0"/>
          <w:sz w:val="32"/>
        </w:rPr>
      </w:pPr>
    </w:p>
    <w:p>
      <w:pPr>
        <w:shd w:val="clear" w:color="auto" w:fill="FFFFFF"/>
        <w:spacing w:line="600" w:lineRule="exact"/>
        <w:jc w:val="center"/>
        <w:rPr>
          <w:rFonts w:eastAsia="Times New Roman"/>
          <w:kern w:val="0"/>
          <w:sz w:val="32"/>
        </w:rPr>
      </w:pPr>
      <w:r>
        <w:rPr>
          <w:rFonts w:hint="eastAsia" w:ascii="仿宋" w:eastAsia="仿宋"/>
          <w:kern w:val="0"/>
          <w:sz w:val="32"/>
        </w:rPr>
        <w:t>第二部分 部门决算情况说明</w:t>
      </w:r>
    </w:p>
    <w:p>
      <w:pPr>
        <w:shd w:val="clear" w:color="auto" w:fill="FFFFFF"/>
        <w:spacing w:line="600" w:lineRule="exact"/>
        <w:ind w:firstLine="643"/>
        <w:rPr>
          <w:rFonts w:eastAsia="Times New Roman"/>
          <w:kern w:val="0"/>
          <w:sz w:val="32"/>
        </w:rPr>
      </w:pPr>
      <w:r>
        <w:rPr>
          <w:rFonts w:hint="eastAsia" w:ascii="仿宋" w:eastAsia="仿宋"/>
          <w:kern w:val="0"/>
          <w:sz w:val="32"/>
        </w:rPr>
        <w:t>一、收入支出决算总体情况说明</w:t>
      </w:r>
    </w:p>
    <w:p>
      <w:pPr>
        <w:spacing w:line="600" w:lineRule="exact"/>
        <w:ind w:firstLine="640"/>
        <w:rPr>
          <w:rFonts w:eastAsia="Times New Roman"/>
          <w:kern w:val="0"/>
          <w:sz w:val="32"/>
        </w:rPr>
      </w:pPr>
      <w:r>
        <w:rPr>
          <w:rFonts w:hint="eastAsia" w:ascii="仿宋" w:eastAsia="仿宋"/>
          <w:kern w:val="0"/>
          <w:sz w:val="32"/>
        </w:rPr>
        <w:t xml:space="preserve">  2019年度本年收入504.15万元，与上年相比，</w:t>
      </w:r>
      <w:r>
        <w:rPr>
          <w:rFonts w:hint="eastAsia" w:ascii="仿宋" w:eastAsia="仿宋"/>
          <w:color w:val="000000"/>
          <w:kern w:val="0"/>
          <w:sz w:val="32"/>
        </w:rPr>
        <w:t>增加</w:t>
      </w:r>
      <w:r>
        <w:rPr>
          <w:rFonts w:hint="eastAsia" w:ascii="仿宋" w:eastAsia="仿宋"/>
          <w:kern w:val="0"/>
          <w:sz w:val="32"/>
        </w:rPr>
        <w:t>91.94万元，</w:t>
      </w:r>
      <w:r>
        <w:rPr>
          <w:rFonts w:hint="eastAsia" w:ascii="仿宋" w:eastAsia="仿宋"/>
          <w:color w:val="000000"/>
          <w:kern w:val="0"/>
          <w:sz w:val="32"/>
        </w:rPr>
        <w:t>增长</w:t>
      </w:r>
      <w:r>
        <w:rPr>
          <w:rFonts w:hint="eastAsia" w:ascii="仿宋" w:eastAsia="仿宋"/>
          <w:kern w:val="0"/>
          <w:sz w:val="32"/>
        </w:rPr>
        <w:t>22.3%，主要原因是：</w:t>
      </w:r>
      <w:r>
        <w:rPr>
          <w:rFonts w:hint="eastAsia" w:ascii="仿宋" w:eastAsia="仿宋"/>
          <w:kern w:val="0"/>
          <w:sz w:val="32"/>
          <w:highlight w:val="yellow"/>
        </w:rPr>
        <w:t xml:space="preserve">增加调入人员工资、考核工资等，项目资金2040699其他司法支出增加 </w:t>
      </w:r>
      <w:r>
        <w:rPr>
          <w:rFonts w:hint="eastAsia" w:ascii="仿宋" w:eastAsia="仿宋"/>
          <w:kern w:val="0"/>
          <w:sz w:val="32"/>
        </w:rPr>
        <w:t>。本年</w:t>
      </w:r>
      <w:r>
        <w:rPr>
          <w:rFonts w:hint="eastAsia" w:ascii="仿宋" w:eastAsia="仿宋"/>
          <w:kern w:val="0"/>
          <w:sz w:val="32"/>
          <w:highlight w:val="white"/>
        </w:rPr>
        <w:t>支出504.15万元，与上年相比，</w:t>
      </w:r>
      <w:r>
        <w:rPr>
          <w:rFonts w:hint="eastAsia" w:ascii="仿宋" w:eastAsia="仿宋"/>
          <w:color w:val="000000"/>
          <w:kern w:val="0"/>
          <w:sz w:val="32"/>
        </w:rPr>
        <w:t>增加</w:t>
      </w:r>
      <w:r>
        <w:rPr>
          <w:rFonts w:hint="eastAsia" w:ascii="仿宋" w:eastAsia="仿宋"/>
          <w:kern w:val="0"/>
          <w:sz w:val="32"/>
          <w:highlight w:val="white"/>
        </w:rPr>
        <w:t>40.8万元，</w:t>
      </w:r>
      <w:r>
        <w:rPr>
          <w:rFonts w:hint="eastAsia" w:ascii="仿宋" w:eastAsia="仿宋"/>
          <w:color w:val="000000"/>
          <w:kern w:val="0"/>
          <w:sz w:val="32"/>
        </w:rPr>
        <w:t>增长</w:t>
      </w:r>
      <w:r>
        <w:rPr>
          <w:rFonts w:hint="eastAsia" w:ascii="仿宋" w:eastAsia="仿宋"/>
          <w:kern w:val="0"/>
          <w:sz w:val="32"/>
          <w:highlight w:val="white"/>
        </w:rPr>
        <w:t>8.81%，</w:t>
      </w:r>
      <w:r>
        <w:rPr>
          <w:rFonts w:hint="eastAsia" w:ascii="仿宋" w:eastAsia="仿宋"/>
          <w:kern w:val="0"/>
          <w:sz w:val="32"/>
        </w:rPr>
        <w:t>主要原因是：</w:t>
      </w:r>
      <w:r>
        <w:rPr>
          <w:rFonts w:hint="eastAsia" w:ascii="仿宋" w:eastAsia="仿宋"/>
          <w:kern w:val="0"/>
          <w:sz w:val="32"/>
          <w:highlight w:val="yellow"/>
        </w:rPr>
        <w:t xml:space="preserve">增加调入人员工资、考核工资等，项目资金2040699其他司法支出增加。 </w:t>
      </w:r>
    </w:p>
    <w:p>
      <w:pPr>
        <w:shd w:val="clear" w:color="auto" w:fill="FFFFFF"/>
        <w:spacing w:line="600" w:lineRule="exact"/>
        <w:ind w:firstLine="643"/>
        <w:jc w:val="left"/>
        <w:rPr>
          <w:rFonts w:eastAsia="Times New Roman"/>
          <w:kern w:val="0"/>
          <w:sz w:val="32"/>
        </w:rPr>
      </w:pPr>
      <w:r>
        <w:rPr>
          <w:rFonts w:hint="eastAsia" w:ascii="仿宋" w:eastAsia="仿宋"/>
          <w:kern w:val="0"/>
          <w:sz w:val="32"/>
        </w:rPr>
        <w:t>二、收入决算情况说明</w:t>
      </w:r>
    </w:p>
    <w:p>
      <w:pPr>
        <w:shd w:val="clear" w:color="auto" w:fill="FFFFFF"/>
        <w:spacing w:line="600" w:lineRule="exact"/>
        <w:ind w:firstLine="640"/>
        <w:rPr>
          <w:rFonts w:eastAsia="Times New Roman"/>
          <w:kern w:val="0"/>
          <w:sz w:val="32"/>
        </w:rPr>
      </w:pPr>
      <w:r>
        <w:rPr>
          <w:rFonts w:hint="eastAsia" w:ascii="仿宋" w:eastAsia="仿宋"/>
          <w:kern w:val="0"/>
          <w:sz w:val="32"/>
        </w:rPr>
        <w:t>2019年度本年收入504.15万元，其中：财政拨款收入504.15万元，</w:t>
      </w:r>
      <w:r>
        <w:rPr>
          <w:rFonts w:hint="eastAsia" w:ascii="仿宋" w:eastAsia="仿宋"/>
          <w:kern w:val="0"/>
          <w:sz w:val="32"/>
          <w:highlight w:val="white"/>
        </w:rPr>
        <w:t>占100%；</w:t>
      </w:r>
      <w:r>
        <w:rPr>
          <w:rFonts w:hint="eastAsia" w:ascii="仿宋" w:eastAsia="仿宋"/>
          <w:kern w:val="0"/>
          <w:sz w:val="32"/>
        </w:rPr>
        <w:t>上级补助收入0万元，占0%；事业收入0万元，占0%；经营收入0万元，占0%；附属单位上缴收入0万元，占0%；其他收入0万元，占0%。</w:t>
      </w:r>
    </w:p>
    <w:p>
      <w:pPr>
        <w:shd w:val="clear" w:color="auto" w:fill="FFFFFF"/>
        <w:spacing w:line="600" w:lineRule="exact"/>
        <w:ind w:firstLine="643"/>
        <w:jc w:val="left"/>
        <w:rPr>
          <w:rFonts w:eastAsia="Times New Roman"/>
          <w:kern w:val="0"/>
          <w:sz w:val="32"/>
        </w:rPr>
      </w:pPr>
      <w:r>
        <w:rPr>
          <w:rFonts w:hint="eastAsia" w:ascii="仿宋" w:eastAsia="仿宋"/>
          <w:kern w:val="0"/>
          <w:sz w:val="32"/>
        </w:rPr>
        <w:t>三、支出决算情况说明</w:t>
      </w:r>
    </w:p>
    <w:p>
      <w:pPr>
        <w:shd w:val="clear" w:color="auto" w:fill="FFFFFF"/>
        <w:spacing w:line="600" w:lineRule="exact"/>
        <w:ind w:firstLine="640"/>
        <w:rPr>
          <w:rFonts w:eastAsia="Times New Roman"/>
          <w:kern w:val="0"/>
          <w:sz w:val="32"/>
          <w:highlight w:val="white"/>
        </w:rPr>
      </w:pPr>
      <w:r>
        <w:rPr>
          <w:rFonts w:hint="eastAsia" w:ascii="仿宋" w:eastAsia="仿宋"/>
          <w:kern w:val="0"/>
          <w:sz w:val="32"/>
        </w:rPr>
        <w:t>2019年度本年支出504.15万元，其中，基本支出483.55万元，占95.91%；项目支出20.6万元</w:t>
      </w:r>
      <w:r>
        <w:rPr>
          <w:rFonts w:eastAsia="Times New Roman"/>
          <w:kern w:val="0"/>
          <w:sz w:val="32"/>
        </w:rPr>
        <w:t>,</w:t>
      </w:r>
      <w:r>
        <w:rPr>
          <w:rFonts w:hint="eastAsia" w:ascii="仿宋" w:eastAsia="仿宋"/>
          <w:kern w:val="0"/>
          <w:sz w:val="32"/>
        </w:rPr>
        <w:t>占4.09%；上缴上级支出0万元，占0%；经营支出0万元，占0%；对附属单位补助支出0万元，占0%</w:t>
      </w:r>
      <w:r>
        <w:rPr>
          <w:rFonts w:hint="eastAsia" w:ascii="仿宋" w:eastAsia="仿宋"/>
          <w:kern w:val="0"/>
          <w:sz w:val="32"/>
          <w:highlight w:val="white"/>
        </w:rPr>
        <w:t>。</w:t>
      </w:r>
    </w:p>
    <w:p>
      <w:pPr>
        <w:shd w:val="clear" w:color="auto" w:fill="FFFFFF"/>
        <w:spacing w:line="600" w:lineRule="exact"/>
        <w:ind w:firstLine="643"/>
        <w:jc w:val="left"/>
        <w:rPr>
          <w:rFonts w:eastAsia="Times New Roman"/>
          <w:kern w:val="0"/>
          <w:sz w:val="32"/>
        </w:rPr>
      </w:pPr>
      <w:r>
        <w:rPr>
          <w:rFonts w:hint="eastAsia" w:ascii="仿宋" w:eastAsia="仿宋"/>
          <w:kern w:val="0"/>
          <w:sz w:val="32"/>
        </w:rPr>
        <w:t>四、财政拨款收入支出决算总体情况说明</w:t>
      </w:r>
    </w:p>
    <w:p>
      <w:pPr>
        <w:shd w:val="clear" w:color="auto" w:fill="FFFFFF"/>
        <w:spacing w:line="600" w:lineRule="exact"/>
        <w:ind w:firstLine="640"/>
        <w:rPr>
          <w:rFonts w:eastAsia="Times New Roman"/>
          <w:kern w:val="0"/>
          <w:sz w:val="32"/>
        </w:rPr>
      </w:pPr>
      <w:r>
        <w:rPr>
          <w:rFonts w:hint="eastAsia" w:ascii="仿宋" w:eastAsia="仿宋"/>
          <w:kern w:val="0"/>
          <w:sz w:val="32"/>
        </w:rPr>
        <w:t>2019年度财政拨款收入504.15万元，与上年相比，</w:t>
      </w:r>
      <w:r>
        <w:rPr>
          <w:rFonts w:hint="eastAsia" w:ascii="仿宋" w:eastAsia="仿宋"/>
          <w:color w:val="000000"/>
          <w:kern w:val="0"/>
          <w:sz w:val="32"/>
        </w:rPr>
        <w:t>增加</w:t>
      </w:r>
      <w:r>
        <w:rPr>
          <w:rFonts w:hint="eastAsia" w:ascii="仿宋" w:eastAsia="仿宋"/>
          <w:kern w:val="0"/>
          <w:sz w:val="32"/>
        </w:rPr>
        <w:t>102.45万元，</w:t>
      </w:r>
      <w:r>
        <w:rPr>
          <w:rFonts w:hint="eastAsia" w:ascii="仿宋" w:eastAsia="仿宋"/>
          <w:color w:val="000000"/>
          <w:kern w:val="0"/>
          <w:sz w:val="32"/>
        </w:rPr>
        <w:t>增长</w:t>
      </w:r>
      <w:r>
        <w:rPr>
          <w:rFonts w:hint="eastAsia" w:ascii="仿宋" w:eastAsia="仿宋"/>
          <w:kern w:val="0"/>
          <w:sz w:val="32"/>
        </w:rPr>
        <w:t>25.51%，</w:t>
      </w:r>
      <w:r>
        <w:rPr>
          <w:rFonts w:hint="eastAsia" w:ascii="仿宋" w:eastAsia="仿宋"/>
          <w:kern w:val="0"/>
          <w:sz w:val="32"/>
          <w:highlight w:val="white"/>
        </w:rPr>
        <w:t>主要原因是：</w:t>
      </w:r>
      <w:r>
        <w:rPr>
          <w:rFonts w:hint="eastAsia" w:ascii="仿宋" w:eastAsia="仿宋"/>
          <w:kern w:val="0"/>
          <w:sz w:val="32"/>
          <w:highlight w:val="yellow"/>
        </w:rPr>
        <w:t>增加调入人员工资、考核工资等，项目资金2040699其他司法支出增加</w:t>
      </w:r>
      <w:r>
        <w:rPr>
          <w:rFonts w:hint="eastAsia" w:ascii="仿宋" w:eastAsia="仿宋"/>
          <w:kern w:val="0"/>
          <w:sz w:val="32"/>
          <w:highlight w:val="white"/>
        </w:rPr>
        <w:t>。财政拨款支出504.15万元，与上年相比，</w:t>
      </w:r>
      <w:r>
        <w:rPr>
          <w:rFonts w:hint="eastAsia" w:ascii="仿宋" w:eastAsia="仿宋"/>
          <w:color w:val="000000"/>
          <w:kern w:val="0"/>
          <w:sz w:val="32"/>
          <w:highlight w:val="white"/>
        </w:rPr>
        <w:t>增加</w:t>
      </w:r>
      <w:r>
        <w:rPr>
          <w:rFonts w:hint="eastAsia" w:ascii="仿宋" w:eastAsia="仿宋"/>
          <w:kern w:val="0"/>
          <w:sz w:val="32"/>
          <w:highlight w:val="white"/>
        </w:rPr>
        <w:t>54.06万元，</w:t>
      </w:r>
      <w:r>
        <w:rPr>
          <w:rFonts w:hint="eastAsia" w:ascii="仿宋" w:eastAsia="仿宋"/>
          <w:color w:val="000000"/>
          <w:kern w:val="0"/>
          <w:sz w:val="32"/>
          <w:highlight w:val="white"/>
        </w:rPr>
        <w:t>增长</w:t>
      </w:r>
      <w:r>
        <w:rPr>
          <w:rFonts w:hint="eastAsia" w:ascii="仿宋" w:eastAsia="仿宋"/>
          <w:kern w:val="0"/>
          <w:sz w:val="32"/>
          <w:highlight w:val="white"/>
        </w:rPr>
        <w:t>12.01%。主要原因是：</w:t>
      </w:r>
      <w:r>
        <w:rPr>
          <w:rFonts w:hint="eastAsia" w:ascii="仿宋" w:eastAsia="仿宋"/>
          <w:kern w:val="0"/>
          <w:sz w:val="32"/>
          <w:highlight w:val="yellow"/>
        </w:rPr>
        <w:t>调增加入人员工资、考核工资等，项目资金2040699其他司法支出增加</w:t>
      </w:r>
      <w:r>
        <w:rPr>
          <w:rFonts w:hint="eastAsia" w:ascii="仿宋" w:eastAsia="仿宋"/>
          <w:kern w:val="0"/>
          <w:sz w:val="32"/>
        </w:rPr>
        <w:t>。</w:t>
      </w:r>
    </w:p>
    <w:p>
      <w:pPr>
        <w:shd w:val="clear" w:color="auto" w:fill="FFFFFF"/>
        <w:spacing w:line="600" w:lineRule="exact"/>
        <w:ind w:firstLine="640"/>
        <w:jc w:val="left"/>
        <w:rPr>
          <w:rFonts w:eastAsia="Times New Roman"/>
          <w:kern w:val="0"/>
          <w:sz w:val="32"/>
        </w:rPr>
      </w:pPr>
      <w:r>
        <w:rPr>
          <w:rFonts w:hint="eastAsia" w:ascii="仿宋" w:eastAsia="仿宋"/>
          <w:kern w:val="0"/>
          <w:sz w:val="32"/>
        </w:rPr>
        <w:t>与年初预算数相比情况:</w:t>
      </w:r>
      <w:r>
        <w:rPr>
          <w:rFonts w:hint="eastAsia" w:ascii="仿宋" w:eastAsia="仿宋"/>
          <w:kern w:val="0"/>
          <w:sz w:val="32"/>
          <w:lang w:val="zh-CN"/>
        </w:rPr>
        <w:t>财政拨款收入年初预算数</w:t>
      </w:r>
      <w:r>
        <w:rPr>
          <w:rFonts w:hint="eastAsia" w:ascii="仿宋" w:eastAsia="仿宋"/>
          <w:kern w:val="0"/>
          <w:sz w:val="32"/>
        </w:rPr>
        <w:t>357.72</w:t>
      </w:r>
      <w:r>
        <w:rPr>
          <w:rFonts w:hint="eastAsia" w:ascii="仿宋" w:eastAsia="仿宋"/>
          <w:kern w:val="0"/>
          <w:sz w:val="32"/>
          <w:lang w:val="zh-CN"/>
        </w:rPr>
        <w:t>万元</w:t>
      </w:r>
      <w:r>
        <w:rPr>
          <w:rFonts w:eastAsia="Times New Roman"/>
          <w:kern w:val="0"/>
          <w:sz w:val="32"/>
        </w:rPr>
        <w:t>,</w:t>
      </w:r>
      <w:r>
        <w:rPr>
          <w:rFonts w:hint="eastAsia" w:ascii="仿宋" w:eastAsia="仿宋"/>
          <w:kern w:val="0"/>
          <w:sz w:val="32"/>
        </w:rPr>
        <w:t>决算数504.15万元，预决算差异率40.93%。</w:t>
      </w:r>
      <w:r>
        <w:rPr>
          <w:rFonts w:hint="eastAsia" w:ascii="仿宋" w:eastAsia="仿宋"/>
          <w:kern w:val="0"/>
          <w:sz w:val="32"/>
          <w:highlight w:val="white"/>
        </w:rPr>
        <w:t>主要原因是：</w:t>
      </w:r>
      <w:r>
        <w:rPr>
          <w:rFonts w:hint="eastAsia" w:ascii="仿宋" w:eastAsia="仿宋"/>
          <w:kern w:val="0"/>
          <w:sz w:val="32"/>
          <w:highlight w:val="yellow"/>
        </w:rPr>
        <w:t>本年新增调入人员工资、考核工资等，项目资金2040699其他司法支出增加</w:t>
      </w:r>
      <w:r>
        <w:rPr>
          <w:rFonts w:hint="eastAsia" w:ascii="仿宋" w:eastAsia="仿宋"/>
          <w:kern w:val="0"/>
          <w:sz w:val="32"/>
          <w:highlight w:val="white"/>
        </w:rPr>
        <w:t>。</w:t>
      </w:r>
      <w:r>
        <w:rPr>
          <w:rFonts w:hint="eastAsia" w:ascii="仿宋" w:eastAsia="仿宋"/>
          <w:kern w:val="0"/>
          <w:sz w:val="32"/>
          <w:lang w:val="zh-CN"/>
        </w:rPr>
        <w:t>财政拨款支出年初预算数</w:t>
      </w:r>
      <w:r>
        <w:rPr>
          <w:rFonts w:hint="eastAsia" w:ascii="仿宋" w:eastAsia="仿宋"/>
          <w:kern w:val="0"/>
          <w:sz w:val="32"/>
        </w:rPr>
        <w:t>357.72</w:t>
      </w:r>
      <w:r>
        <w:rPr>
          <w:rFonts w:hint="eastAsia" w:ascii="仿宋" w:eastAsia="仿宋"/>
          <w:kern w:val="0"/>
          <w:sz w:val="32"/>
          <w:lang w:val="zh-CN"/>
        </w:rPr>
        <w:t>万元</w:t>
      </w:r>
      <w:r>
        <w:rPr>
          <w:rFonts w:hint="eastAsia" w:ascii="仿宋" w:eastAsia="仿宋"/>
          <w:kern w:val="0"/>
          <w:sz w:val="32"/>
        </w:rPr>
        <w:t>，决算数504.15万元，预决算差异率40.93%。</w:t>
      </w:r>
      <w:r>
        <w:rPr>
          <w:rFonts w:hint="eastAsia" w:ascii="仿宋" w:eastAsia="仿宋"/>
          <w:kern w:val="0"/>
          <w:sz w:val="32"/>
          <w:highlight w:val="white"/>
        </w:rPr>
        <w:t>主要原因是：</w:t>
      </w:r>
      <w:r>
        <w:rPr>
          <w:rFonts w:hint="eastAsia" w:ascii="仿宋" w:eastAsia="仿宋"/>
          <w:kern w:val="0"/>
          <w:sz w:val="32"/>
          <w:highlight w:val="yellow"/>
        </w:rPr>
        <w:t>本年新增调入人员工资、考核工资等，项目资金2040699其他司法支出增加</w:t>
      </w:r>
      <w:r>
        <w:rPr>
          <w:rFonts w:hint="eastAsia" w:ascii="仿宋" w:eastAsia="仿宋"/>
          <w:kern w:val="0"/>
          <w:sz w:val="32"/>
          <w:highlight w:val="white"/>
        </w:rPr>
        <w:t>。</w:t>
      </w:r>
    </w:p>
    <w:p>
      <w:pPr>
        <w:shd w:val="clear" w:color="auto" w:fill="FFFFFF"/>
        <w:spacing w:line="600" w:lineRule="exact"/>
        <w:ind w:firstLine="643"/>
        <w:jc w:val="left"/>
        <w:rPr>
          <w:rFonts w:eastAsia="Times New Roman"/>
          <w:kern w:val="0"/>
          <w:sz w:val="32"/>
        </w:rPr>
      </w:pPr>
      <w:r>
        <w:rPr>
          <w:rFonts w:hint="eastAsia" w:ascii="仿宋" w:eastAsia="仿宋"/>
          <w:kern w:val="0"/>
          <w:sz w:val="32"/>
        </w:rPr>
        <w:t>五、一般公共预算财政拨款支出决算情况说明</w:t>
      </w:r>
    </w:p>
    <w:p>
      <w:pPr>
        <w:spacing w:line="600" w:lineRule="exact"/>
        <w:ind w:firstLine="640"/>
        <w:rPr>
          <w:rFonts w:ascii="仿宋" w:eastAsia="仿宋"/>
          <w:kern w:val="0"/>
          <w:sz w:val="32"/>
        </w:rPr>
      </w:pPr>
      <w:r>
        <w:rPr>
          <w:rFonts w:hint="eastAsia" w:ascii="仿宋" w:eastAsia="仿宋"/>
          <w:kern w:val="0"/>
          <w:sz w:val="32"/>
        </w:rPr>
        <w:t>2019年度一般公共预算财政拨款支出504.15万元，按功能分类科目项级科目公开，其中：</w:t>
      </w:r>
    </w:p>
    <w:p>
      <w:pPr>
        <w:spacing w:line="600" w:lineRule="exact"/>
        <w:ind w:firstLine="640"/>
        <w:rPr>
          <w:rFonts w:ascii="仿宋" w:eastAsia="仿宋"/>
          <w:kern w:val="0"/>
          <w:sz w:val="32"/>
        </w:rPr>
      </w:pPr>
      <w:r>
        <w:rPr>
          <w:rFonts w:hint="eastAsia" w:ascii="仿宋" w:eastAsia="仿宋"/>
          <w:kern w:val="0"/>
          <w:sz w:val="32"/>
        </w:rPr>
        <w:t>2040601行政运行304.93万元；</w:t>
      </w:r>
    </w:p>
    <w:p>
      <w:pPr>
        <w:spacing w:line="600" w:lineRule="exact"/>
        <w:ind w:firstLine="640"/>
        <w:rPr>
          <w:rFonts w:ascii="仿宋" w:eastAsia="仿宋"/>
          <w:kern w:val="0"/>
          <w:sz w:val="32"/>
        </w:rPr>
      </w:pPr>
      <w:r>
        <w:rPr>
          <w:rFonts w:hint="eastAsia" w:ascii="仿宋" w:eastAsia="仿宋"/>
          <w:kern w:val="0"/>
          <w:sz w:val="32"/>
        </w:rPr>
        <w:t>2040604基层司法业务5.00万元；</w:t>
      </w:r>
    </w:p>
    <w:p>
      <w:pPr>
        <w:spacing w:line="600" w:lineRule="exact"/>
        <w:ind w:firstLine="640"/>
        <w:rPr>
          <w:rFonts w:ascii="仿宋" w:eastAsia="仿宋"/>
          <w:kern w:val="0"/>
          <w:sz w:val="32"/>
        </w:rPr>
      </w:pPr>
      <w:r>
        <w:rPr>
          <w:rFonts w:hint="eastAsia" w:ascii="仿宋" w:eastAsia="仿宋"/>
          <w:kern w:val="0"/>
          <w:sz w:val="32"/>
        </w:rPr>
        <w:t>2040605普法宣传8.60万元；</w:t>
      </w:r>
    </w:p>
    <w:p>
      <w:pPr>
        <w:spacing w:line="600" w:lineRule="exact"/>
        <w:ind w:firstLine="640"/>
        <w:rPr>
          <w:rFonts w:ascii="仿宋" w:eastAsia="仿宋"/>
          <w:kern w:val="0"/>
          <w:sz w:val="32"/>
        </w:rPr>
      </w:pPr>
      <w:r>
        <w:rPr>
          <w:rFonts w:hint="eastAsia" w:ascii="仿宋" w:eastAsia="仿宋"/>
          <w:kern w:val="0"/>
          <w:sz w:val="32"/>
        </w:rPr>
        <w:t>2040610社区矫正7.00万元；</w:t>
      </w:r>
    </w:p>
    <w:p>
      <w:pPr>
        <w:spacing w:line="600" w:lineRule="exact"/>
        <w:ind w:firstLine="640"/>
        <w:rPr>
          <w:rFonts w:ascii="仿宋" w:eastAsia="仿宋"/>
          <w:kern w:val="0"/>
          <w:sz w:val="32"/>
        </w:rPr>
      </w:pPr>
      <w:r>
        <w:rPr>
          <w:rFonts w:hint="eastAsia" w:ascii="仿宋" w:eastAsia="仿宋"/>
          <w:kern w:val="0"/>
          <w:sz w:val="32"/>
        </w:rPr>
        <w:t>2040650事业运行31.48万元；</w:t>
      </w:r>
    </w:p>
    <w:p>
      <w:pPr>
        <w:spacing w:line="600" w:lineRule="exact"/>
        <w:ind w:firstLine="640"/>
        <w:rPr>
          <w:rFonts w:ascii="仿宋" w:eastAsia="仿宋"/>
          <w:kern w:val="0"/>
          <w:sz w:val="32"/>
        </w:rPr>
      </w:pPr>
      <w:r>
        <w:rPr>
          <w:rFonts w:hint="eastAsia" w:ascii="仿宋" w:eastAsia="仿宋"/>
          <w:kern w:val="0"/>
          <w:sz w:val="32"/>
        </w:rPr>
        <w:t>2040699其他司法支出124.00万元；</w:t>
      </w:r>
    </w:p>
    <w:p>
      <w:pPr>
        <w:spacing w:line="600" w:lineRule="exact"/>
        <w:ind w:firstLine="640"/>
        <w:rPr>
          <w:rFonts w:eastAsia="Times New Roman"/>
          <w:sz w:val="32"/>
        </w:rPr>
      </w:pPr>
      <w:r>
        <w:rPr>
          <w:rFonts w:hint="eastAsia" w:ascii="仿宋" w:eastAsia="仿宋"/>
          <w:kern w:val="0"/>
          <w:sz w:val="32"/>
        </w:rPr>
        <w:t>2080505机关事业单位基本养老保险缴费支出23.14万元。</w:t>
      </w:r>
    </w:p>
    <w:p>
      <w:pPr>
        <w:spacing w:line="600" w:lineRule="exact"/>
        <w:ind w:firstLine="643"/>
        <w:rPr>
          <w:rFonts w:eastAsia="Times New Roman"/>
          <w:kern w:val="0"/>
          <w:sz w:val="32"/>
        </w:rPr>
      </w:pPr>
      <w:r>
        <w:rPr>
          <w:rFonts w:hint="eastAsia" w:ascii="仿宋" w:eastAsia="仿宋"/>
          <w:kern w:val="0"/>
          <w:sz w:val="32"/>
        </w:rPr>
        <w:t>六、一般公共预算财政拨款基本支出决算情况说明</w:t>
      </w:r>
    </w:p>
    <w:p>
      <w:pPr>
        <w:spacing w:line="600" w:lineRule="exact"/>
        <w:ind w:firstLine="640"/>
        <w:rPr>
          <w:rFonts w:eastAsia="Times New Roman"/>
          <w:kern w:val="0"/>
          <w:sz w:val="32"/>
        </w:rPr>
      </w:pPr>
      <w:r>
        <w:rPr>
          <w:rFonts w:hint="eastAsia" w:ascii="仿宋" w:eastAsia="仿宋"/>
          <w:kern w:val="0"/>
          <w:sz w:val="32"/>
        </w:rPr>
        <w:t>2019年度一般公共预算财政拨款基本支出483.55万元，其中：</w:t>
      </w:r>
    </w:p>
    <w:p>
      <w:pPr>
        <w:spacing w:line="600" w:lineRule="exact"/>
        <w:ind w:firstLine="640"/>
        <w:rPr>
          <w:rFonts w:eastAsia="Times New Roman"/>
          <w:kern w:val="0"/>
          <w:sz w:val="32"/>
        </w:rPr>
      </w:pPr>
      <w:r>
        <w:rPr>
          <w:rFonts w:hint="eastAsia" w:ascii="仿宋" w:eastAsia="仿宋"/>
          <w:kern w:val="0"/>
          <w:sz w:val="32"/>
        </w:rPr>
        <w:t>人员经费334.64万元，包括：</w:t>
      </w:r>
      <w:r>
        <w:rPr>
          <w:rFonts w:hint="eastAsia" w:ascii="仿宋" w:eastAsia="仿宋"/>
          <w:color w:val="000000"/>
          <w:kern w:val="0"/>
          <w:sz w:val="32"/>
        </w:rPr>
        <w:t>基本工资、津贴补贴、奖金、伙食补助费、绩效工资、机关事业单位基本养老保险缴费、职业年金缴费、职工基本医疗保险缴费、公务员医疗补助缴费、其他社会保障缴费、住房公积金、其他工资福利支出、生活补助、其他对个人和家庭的补助。</w:t>
      </w:r>
    </w:p>
    <w:p>
      <w:pPr>
        <w:spacing w:line="600" w:lineRule="exact"/>
        <w:ind w:firstLine="640"/>
        <w:rPr>
          <w:rFonts w:eastAsia="仿宋"/>
          <w:kern w:val="0"/>
          <w:sz w:val="32"/>
        </w:rPr>
      </w:pPr>
      <w:r>
        <w:rPr>
          <w:rFonts w:hint="eastAsia" w:ascii="仿宋" w:eastAsia="仿宋"/>
          <w:kern w:val="0"/>
          <w:sz w:val="32"/>
        </w:rPr>
        <w:t>公用经费148.91万元，包括：</w:t>
      </w:r>
      <w:r>
        <w:rPr>
          <w:rFonts w:hint="eastAsia" w:ascii="仿宋" w:eastAsia="仿宋"/>
          <w:color w:val="000000"/>
          <w:kern w:val="0"/>
          <w:sz w:val="32"/>
        </w:rPr>
        <w:t>办公费、印刷费、咨询费、手续费、水费、邮电费、取暖费、差旅费、维修（护）费、租赁费、培训费、专用材料费、被装购置费、劳务费、工会经费、福利费、公务用车运行维护费、其他交通费用、其他商品和服务支出、办公设备购置。</w:t>
      </w:r>
    </w:p>
    <w:p>
      <w:pPr>
        <w:spacing w:line="600" w:lineRule="exact"/>
        <w:ind w:firstLine="643"/>
        <w:rPr>
          <w:rFonts w:eastAsia="Times New Roman"/>
          <w:sz w:val="32"/>
        </w:rPr>
      </w:pPr>
      <w:r>
        <w:rPr>
          <w:rFonts w:hint="eastAsia" w:ascii="仿宋" w:eastAsia="仿宋"/>
          <w:kern w:val="0"/>
          <w:sz w:val="32"/>
        </w:rPr>
        <w:t>七、一般公共预算财政拨款</w:t>
      </w:r>
      <w:r>
        <w:rPr>
          <w:rFonts w:eastAsia="Times New Roman"/>
          <w:kern w:val="0"/>
          <w:sz w:val="32"/>
        </w:rPr>
        <w:t>“</w:t>
      </w:r>
      <w:r>
        <w:rPr>
          <w:rFonts w:hint="eastAsia" w:ascii="仿宋" w:eastAsia="仿宋"/>
          <w:kern w:val="0"/>
          <w:sz w:val="32"/>
        </w:rPr>
        <w:t>三公</w:t>
      </w:r>
      <w:r>
        <w:rPr>
          <w:rFonts w:eastAsia="Times New Roman"/>
          <w:kern w:val="0"/>
          <w:sz w:val="32"/>
        </w:rPr>
        <w:t>”</w:t>
      </w:r>
      <w:r>
        <w:rPr>
          <w:rFonts w:hint="eastAsia" w:ascii="仿宋" w:eastAsia="仿宋"/>
          <w:kern w:val="0"/>
          <w:sz w:val="32"/>
        </w:rPr>
        <w:t>经费支出决算情况说明</w:t>
      </w:r>
    </w:p>
    <w:p>
      <w:pPr>
        <w:shd w:val="clear" w:color="auto" w:fill="FFFFFF"/>
        <w:spacing w:line="600" w:lineRule="exact"/>
        <w:ind w:firstLine="640"/>
        <w:rPr>
          <w:rFonts w:eastAsia="Times New Roman"/>
          <w:kern w:val="0"/>
          <w:sz w:val="32"/>
        </w:rPr>
      </w:pPr>
      <w:r>
        <w:rPr>
          <w:rFonts w:hint="eastAsia" w:ascii="仿宋" w:eastAsia="仿宋"/>
          <w:kern w:val="0"/>
          <w:sz w:val="32"/>
        </w:rPr>
        <w:t>2019年度一般公共预算</w:t>
      </w:r>
      <w:r>
        <w:rPr>
          <w:rFonts w:eastAsia="Times New Roman"/>
          <w:kern w:val="0"/>
          <w:sz w:val="32"/>
        </w:rPr>
        <w:t>“</w:t>
      </w:r>
      <w:r>
        <w:rPr>
          <w:rFonts w:hint="eastAsia" w:ascii="仿宋" w:eastAsia="仿宋"/>
          <w:kern w:val="0"/>
          <w:sz w:val="32"/>
        </w:rPr>
        <w:t>三公</w:t>
      </w:r>
      <w:r>
        <w:rPr>
          <w:rFonts w:eastAsia="Times New Roman"/>
          <w:kern w:val="0"/>
          <w:sz w:val="32"/>
        </w:rPr>
        <w:t>”</w:t>
      </w:r>
      <w:r>
        <w:rPr>
          <w:rFonts w:hint="eastAsia" w:ascii="仿宋" w:eastAsia="仿宋"/>
          <w:kern w:val="0"/>
          <w:sz w:val="32"/>
        </w:rPr>
        <w:t>经费支出决算2.45万元，比上年减少1.82万元，降低42.56%。</w:t>
      </w:r>
      <w:r>
        <w:rPr>
          <w:rFonts w:hint="eastAsia" w:ascii="仿宋" w:eastAsia="仿宋"/>
          <w:kern w:val="0"/>
          <w:sz w:val="32"/>
          <w:highlight w:val="white"/>
        </w:rPr>
        <w:t>主要原因是</w:t>
      </w:r>
      <w:r>
        <w:rPr>
          <w:rFonts w:hint="eastAsia" w:ascii="仿宋" w:eastAsia="仿宋"/>
          <w:kern w:val="0"/>
          <w:sz w:val="32"/>
          <w:highlight w:val="yellow"/>
        </w:rPr>
        <w:t xml:space="preserve">压缩公务车辆使用次数，实行办公室派车单，降低维护费用 </w:t>
      </w:r>
      <w:r>
        <w:rPr>
          <w:rFonts w:hint="eastAsia" w:ascii="仿宋" w:eastAsia="仿宋"/>
          <w:kern w:val="0"/>
          <w:sz w:val="32"/>
        </w:rPr>
        <w:t>。其中，因公出国（境）费支出0万元，占0%，比上年增加0万元，增长0%，主要原因是2019年度我单位无因公出国经费支出，与上年相比无变化；公务用车购置及运行维护费支出2.45万元，占100%，比上年增加0.01万元，增长0.31%，</w:t>
      </w:r>
      <w:r>
        <w:rPr>
          <w:rFonts w:hint="eastAsia" w:ascii="仿宋" w:eastAsia="仿宋"/>
          <w:kern w:val="0"/>
          <w:sz w:val="32"/>
          <w:highlight w:val="white"/>
        </w:rPr>
        <w:t>主要原因是</w:t>
      </w:r>
      <w:r>
        <w:rPr>
          <w:rFonts w:hint="eastAsia" w:ascii="仿宋" w:eastAsia="仿宋"/>
          <w:kern w:val="0"/>
          <w:sz w:val="32"/>
          <w:highlight w:val="yellow"/>
        </w:rPr>
        <w:t xml:space="preserve">本年没有新购置公务用车 </w:t>
      </w:r>
      <w:r>
        <w:rPr>
          <w:rFonts w:hint="eastAsia" w:ascii="仿宋" w:eastAsia="仿宋"/>
          <w:kern w:val="0"/>
          <w:sz w:val="32"/>
          <w:highlight w:val="white"/>
        </w:rPr>
        <w:t>；</w:t>
      </w:r>
      <w:r>
        <w:rPr>
          <w:rFonts w:hint="eastAsia" w:ascii="仿宋" w:eastAsia="仿宋"/>
          <w:kern w:val="0"/>
          <w:sz w:val="32"/>
        </w:rPr>
        <w:t>公务接待费支出0万元，占0%，比上年减少1.83万元，降低100</w:t>
      </w:r>
      <w:r>
        <w:rPr>
          <w:rFonts w:hint="eastAsia" w:ascii="仿宋" w:eastAsia="仿宋"/>
          <w:kern w:val="0"/>
          <w:sz w:val="32"/>
          <w:highlight w:val="white"/>
        </w:rPr>
        <w:t>%，主要原因是公务接待都是食堂便餐，没有进行专门公务接待。</w:t>
      </w:r>
      <w:r>
        <w:rPr>
          <w:rFonts w:hint="eastAsia" w:ascii="仿宋" w:eastAsia="仿宋"/>
          <w:kern w:val="0"/>
          <w:sz w:val="32"/>
        </w:rPr>
        <w:t>具体情况如下：</w:t>
      </w:r>
    </w:p>
    <w:p>
      <w:pPr>
        <w:shd w:val="clear" w:color="auto" w:fill="FFFFFF"/>
        <w:spacing w:line="600" w:lineRule="exact"/>
        <w:ind w:firstLine="640"/>
        <w:rPr>
          <w:rFonts w:eastAsia="Times New Roman"/>
          <w:kern w:val="0"/>
          <w:sz w:val="32"/>
        </w:rPr>
      </w:pPr>
      <w:r>
        <w:rPr>
          <w:rFonts w:hint="eastAsia" w:ascii="仿宋" w:eastAsia="仿宋"/>
          <w:kern w:val="0"/>
          <w:sz w:val="32"/>
        </w:rPr>
        <w:t xml:space="preserve"> 因公出国（境）费支出0万元，开支内容包括：2019年度我单位无因公出国经费支出。单位全年安排的因公出国（境）团组0个，因公出国（境）0人次。</w:t>
      </w:r>
    </w:p>
    <w:p>
      <w:pPr>
        <w:shd w:val="clear" w:color="auto" w:fill="FFFFFF"/>
        <w:spacing w:line="600" w:lineRule="exact"/>
        <w:ind w:firstLine="640"/>
        <w:rPr>
          <w:rFonts w:eastAsia="Times New Roman"/>
          <w:kern w:val="0"/>
          <w:sz w:val="32"/>
        </w:rPr>
      </w:pPr>
      <w:r>
        <w:rPr>
          <w:rFonts w:hint="eastAsia" w:ascii="仿宋" w:eastAsia="仿宋"/>
          <w:kern w:val="0"/>
          <w:sz w:val="32"/>
        </w:rPr>
        <w:t xml:space="preserve"> 公务用车购置及运行维护费2.45万元，其中，公务用车购置费0万元，公务用车运行维护费2.45</w:t>
      </w:r>
      <w:r>
        <w:rPr>
          <w:rFonts w:hint="eastAsia" w:ascii="仿宋" w:eastAsia="仿宋"/>
          <w:kern w:val="0"/>
          <w:sz w:val="32"/>
          <w:highlight w:val="white"/>
        </w:rPr>
        <w:t>万元。公务用车运行维护费开支内容包括公务燃油费、过路费、公务维修费。</w:t>
      </w:r>
      <w:r>
        <w:rPr>
          <w:rFonts w:hint="eastAsia" w:ascii="仿宋" w:eastAsia="仿宋"/>
          <w:kern w:val="0"/>
          <w:sz w:val="32"/>
        </w:rPr>
        <w:t xml:space="preserve"> 公务用车购置数0辆，公务用车保有量12辆。</w:t>
      </w:r>
    </w:p>
    <w:p>
      <w:pPr>
        <w:shd w:val="clear" w:color="auto" w:fill="FFFFFF"/>
        <w:spacing w:line="600" w:lineRule="exact"/>
        <w:ind w:firstLine="640"/>
        <w:rPr>
          <w:rFonts w:eastAsia="Times New Roman"/>
          <w:kern w:val="0"/>
          <w:sz w:val="32"/>
        </w:rPr>
      </w:pPr>
      <w:r>
        <w:rPr>
          <w:rFonts w:hint="eastAsia" w:ascii="仿宋" w:eastAsia="仿宋"/>
          <w:kern w:val="0"/>
          <w:sz w:val="32"/>
        </w:rPr>
        <w:t xml:space="preserve"> 公务接待费0</w:t>
      </w:r>
      <w:r>
        <w:rPr>
          <w:rFonts w:hint="eastAsia" w:ascii="仿宋" w:eastAsia="仿宋"/>
          <w:kern w:val="0"/>
          <w:sz w:val="32"/>
          <w:highlight w:val="white"/>
        </w:rPr>
        <w:t>万元。开支内容包括食堂公务便餐。</w:t>
      </w:r>
      <w:r>
        <w:rPr>
          <w:rFonts w:hint="eastAsia" w:ascii="仿宋" w:eastAsia="仿宋"/>
          <w:kern w:val="0"/>
          <w:sz w:val="32"/>
        </w:rPr>
        <w:t>单位全年安排的国内公务接待0批次，0人次。</w:t>
      </w:r>
    </w:p>
    <w:p>
      <w:pPr>
        <w:shd w:val="clear" w:color="auto" w:fill="FFFFFF"/>
        <w:spacing w:line="600" w:lineRule="exact"/>
        <w:ind w:firstLine="640"/>
        <w:jc w:val="left"/>
        <w:rPr>
          <w:rFonts w:eastAsia="Times New Roman"/>
          <w:kern w:val="0"/>
          <w:sz w:val="32"/>
          <w:highlight w:val="white"/>
        </w:rPr>
      </w:pPr>
      <w:r>
        <w:rPr>
          <w:rFonts w:hint="eastAsia" w:ascii="仿宋" w:eastAsia="仿宋"/>
          <w:kern w:val="0"/>
          <w:sz w:val="32"/>
        </w:rPr>
        <w:t>与年初预算数相比情况: 一般公共预算</w:t>
      </w:r>
      <w:r>
        <w:rPr>
          <w:rFonts w:eastAsia="Times New Roman"/>
          <w:kern w:val="0"/>
          <w:sz w:val="32"/>
        </w:rPr>
        <w:t>“</w:t>
      </w:r>
      <w:r>
        <w:rPr>
          <w:rFonts w:hint="eastAsia" w:ascii="仿宋" w:eastAsia="仿宋"/>
          <w:kern w:val="0"/>
          <w:sz w:val="32"/>
        </w:rPr>
        <w:t>三公</w:t>
      </w:r>
      <w:r>
        <w:rPr>
          <w:rFonts w:eastAsia="Times New Roman"/>
          <w:kern w:val="0"/>
          <w:sz w:val="32"/>
        </w:rPr>
        <w:t>”</w:t>
      </w:r>
      <w:r>
        <w:rPr>
          <w:rFonts w:hint="eastAsia" w:ascii="仿宋" w:eastAsia="仿宋"/>
          <w:kern w:val="0"/>
          <w:sz w:val="32"/>
        </w:rPr>
        <w:t>经费支出年初预算数6万元，决算数2.45万元，预决算差异率-59.11</w:t>
      </w:r>
      <w:r>
        <w:rPr>
          <w:rFonts w:hint="eastAsia" w:ascii="仿宋" w:eastAsia="仿宋"/>
          <w:kern w:val="0"/>
          <w:sz w:val="32"/>
          <w:highlight w:val="white"/>
        </w:rPr>
        <w:t>%，主要原因是：公务接待今年没有，公务车运行费用减少。</w:t>
      </w:r>
      <w:r>
        <w:rPr>
          <w:rFonts w:hint="eastAsia" w:ascii="仿宋" w:eastAsia="仿宋"/>
          <w:kern w:val="0"/>
          <w:sz w:val="32"/>
        </w:rPr>
        <w:t>其中：因公出国（境）费预算数0万元，决算数0万元，预决算差异率0%，主要原因是：2019年度我单位无因公出国经费支出，与预算数相比无差异；公务用车购置费预算数0万元，决算数0万元，预决算差异率0%，</w:t>
      </w:r>
      <w:r>
        <w:rPr>
          <w:rFonts w:hint="eastAsia" w:ascii="仿宋" w:eastAsia="仿宋"/>
          <w:kern w:val="0"/>
          <w:sz w:val="32"/>
          <w:highlight w:val="white"/>
        </w:rPr>
        <w:t>主要原因是：本年没有购置新车；</w:t>
      </w:r>
      <w:r>
        <w:rPr>
          <w:rFonts w:hint="eastAsia" w:ascii="仿宋" w:eastAsia="仿宋"/>
          <w:kern w:val="0"/>
          <w:sz w:val="32"/>
        </w:rPr>
        <w:t>公务用车运行费预算数4万元，决算数2.45万元，预决算差异率-38.66%，</w:t>
      </w:r>
      <w:r>
        <w:rPr>
          <w:rFonts w:hint="eastAsia" w:ascii="仿宋" w:eastAsia="仿宋"/>
          <w:kern w:val="0"/>
          <w:sz w:val="32"/>
          <w:highlight w:val="white"/>
        </w:rPr>
        <w:t>主要原因是：公务接待今年没有，公务车运行费用减少；</w:t>
      </w:r>
      <w:r>
        <w:rPr>
          <w:rFonts w:hint="eastAsia" w:ascii="仿宋" w:eastAsia="仿宋"/>
          <w:kern w:val="0"/>
          <w:sz w:val="32"/>
        </w:rPr>
        <w:t>公务接待费预算数2万元，决算数0万元，预决算差异率-100%，</w:t>
      </w:r>
      <w:r>
        <w:rPr>
          <w:rFonts w:hint="eastAsia" w:ascii="仿宋" w:eastAsia="仿宋"/>
          <w:kern w:val="0"/>
          <w:sz w:val="32"/>
          <w:highlight w:val="white"/>
        </w:rPr>
        <w:t>主要原因是：公务接待都是食堂便餐，没有进行专门公务接待。</w:t>
      </w:r>
    </w:p>
    <w:p>
      <w:pPr>
        <w:spacing w:line="600" w:lineRule="exact"/>
        <w:ind w:firstLine="640"/>
        <w:rPr>
          <w:rFonts w:eastAsia="Times New Roman"/>
          <w:sz w:val="32"/>
        </w:rPr>
      </w:pPr>
      <w:r>
        <w:rPr>
          <w:rFonts w:hint="eastAsia" w:ascii="黑体" w:eastAsia="黑体"/>
          <w:kern w:val="0"/>
          <w:sz w:val="32"/>
        </w:rPr>
        <w:t>八、政府性基金预算收入支出决算情况说明</w:t>
      </w:r>
    </w:p>
    <w:p>
      <w:pPr>
        <w:spacing w:line="600" w:lineRule="exact"/>
        <w:ind w:firstLine="640"/>
        <w:rPr>
          <w:rFonts w:eastAsia="Times New Roman"/>
          <w:kern w:val="0"/>
          <w:sz w:val="32"/>
        </w:rPr>
      </w:pPr>
      <w:r>
        <w:rPr>
          <w:rFonts w:hint="eastAsia" w:ascii="仿宋" w:eastAsia="仿宋"/>
          <w:kern w:val="0"/>
          <w:sz w:val="32"/>
        </w:rPr>
        <w:t>我单位本年度无政府性基金预算财政拨款收入支出，政府性基金预算财政拨款收入支出决算表为空表。</w:t>
      </w:r>
    </w:p>
    <w:p>
      <w:pPr>
        <w:spacing w:line="600" w:lineRule="exact"/>
        <w:ind w:firstLine="640"/>
        <w:rPr>
          <w:rFonts w:eastAsia="Times New Roman"/>
          <w:sz w:val="32"/>
        </w:rPr>
      </w:pPr>
      <w:r>
        <w:rPr>
          <w:rFonts w:hint="eastAsia" w:ascii="黑体" w:eastAsia="黑体"/>
          <w:kern w:val="0"/>
          <w:sz w:val="32"/>
        </w:rPr>
        <w:t>九、其他重要事项的情况说明</w:t>
      </w:r>
    </w:p>
    <w:p>
      <w:pPr>
        <w:spacing w:line="600" w:lineRule="exact"/>
        <w:ind w:firstLine="640"/>
        <w:rPr>
          <w:rFonts w:eastAsia="Times New Roman"/>
          <w:sz w:val="32"/>
          <w:highlight w:val="white"/>
        </w:rPr>
      </w:pPr>
      <w:r>
        <w:rPr>
          <w:rFonts w:hint="eastAsia" w:ascii="仿宋" w:eastAsia="仿宋"/>
          <w:sz w:val="32"/>
        </w:rPr>
        <w:t>（一）机关运行经费支出情况</w:t>
      </w:r>
    </w:p>
    <w:p>
      <w:pPr>
        <w:shd w:val="clear" w:color="auto" w:fill="FFFFFF"/>
        <w:spacing w:line="600" w:lineRule="exact"/>
        <w:ind w:firstLine="640"/>
        <w:rPr>
          <w:rFonts w:ascii="仿宋" w:eastAsia="仿宋"/>
          <w:kern w:val="0"/>
          <w:sz w:val="32"/>
          <w:highlight w:val="yellow"/>
        </w:rPr>
      </w:pPr>
      <w:r>
        <w:rPr>
          <w:rFonts w:hint="eastAsia" w:ascii="仿宋" w:eastAsia="仿宋"/>
          <w:kern w:val="0"/>
          <w:sz w:val="32"/>
        </w:rPr>
        <w:t xml:space="preserve"> 2019年度新疆昌吉州玛纳斯县司法局（行政单位和参照公务员法管理事业单位）机关运行经费支出148.91万元，比上年</w:t>
      </w:r>
      <w:r>
        <w:rPr>
          <w:rFonts w:hint="eastAsia" w:ascii="仿宋" w:eastAsia="仿宋"/>
          <w:color w:val="000000"/>
          <w:kern w:val="0"/>
          <w:sz w:val="32"/>
        </w:rPr>
        <w:t>增加</w:t>
      </w:r>
      <w:r>
        <w:rPr>
          <w:rFonts w:hint="eastAsia" w:ascii="仿宋" w:eastAsia="仿宋"/>
          <w:kern w:val="0"/>
          <w:sz w:val="32"/>
        </w:rPr>
        <w:t>111.64万元，</w:t>
      </w:r>
      <w:r>
        <w:rPr>
          <w:rFonts w:hint="eastAsia" w:ascii="仿宋" w:eastAsia="仿宋"/>
          <w:color w:val="000000"/>
          <w:kern w:val="0"/>
          <w:sz w:val="32"/>
        </w:rPr>
        <w:t>增长</w:t>
      </w:r>
      <w:r>
        <w:rPr>
          <w:rFonts w:hint="eastAsia" w:ascii="仿宋" w:eastAsia="仿宋"/>
          <w:kern w:val="0"/>
          <w:sz w:val="32"/>
        </w:rPr>
        <w:t>299.55%，</w:t>
      </w:r>
      <w:r>
        <w:rPr>
          <w:rFonts w:hint="eastAsia" w:ascii="仿宋" w:eastAsia="仿宋"/>
          <w:kern w:val="0"/>
          <w:sz w:val="32"/>
          <w:highlight w:val="white"/>
        </w:rPr>
        <w:t>主要原因是</w:t>
      </w:r>
      <w:r>
        <w:rPr>
          <w:rFonts w:hint="eastAsia" w:ascii="仿宋" w:eastAsia="仿宋"/>
          <w:kern w:val="0"/>
          <w:sz w:val="32"/>
          <w:highlight w:val="yellow"/>
        </w:rPr>
        <w:t>新增调入人员工资、本年考核工资等，项目资金2040699其他司法支出增加部分经费。</w:t>
      </w:r>
    </w:p>
    <w:p>
      <w:pPr>
        <w:shd w:val="clear" w:color="auto" w:fill="FFFFFF"/>
        <w:spacing w:line="600" w:lineRule="exact"/>
        <w:ind w:firstLine="640"/>
        <w:rPr>
          <w:rFonts w:ascii="仿宋" w:eastAsia="仿宋"/>
          <w:kern w:val="0"/>
          <w:sz w:val="32"/>
          <w:highlight w:val="white"/>
        </w:rPr>
      </w:pPr>
      <w:r>
        <w:rPr>
          <w:rFonts w:hint="eastAsia" w:ascii="仿宋" w:eastAsia="仿宋"/>
          <w:kern w:val="0"/>
          <w:sz w:val="32"/>
          <w:highlight w:val="white"/>
        </w:rPr>
        <w:t>（二）政府采购情况</w:t>
      </w:r>
    </w:p>
    <w:p>
      <w:pPr>
        <w:shd w:val="clear" w:color="auto" w:fill="FFFFFF"/>
        <w:spacing w:line="600" w:lineRule="exact"/>
        <w:ind w:firstLine="640"/>
        <w:rPr>
          <w:rFonts w:eastAsia="Times New Roman"/>
          <w:kern w:val="0"/>
          <w:sz w:val="32"/>
        </w:rPr>
      </w:pPr>
      <w:r>
        <w:rPr>
          <w:rFonts w:hint="eastAsia" w:ascii="仿宋" w:eastAsia="仿宋"/>
          <w:kern w:val="0"/>
          <w:sz w:val="32"/>
          <w:highlight w:val="white"/>
        </w:rPr>
        <w:t>2019年度</w:t>
      </w:r>
      <w:r>
        <w:rPr>
          <w:rFonts w:hint="eastAsia" w:ascii="仿宋" w:eastAsia="仿宋"/>
          <w:kern w:val="0"/>
          <w:sz w:val="32"/>
        </w:rPr>
        <w:t>政府采购支出总额22.01万元，其中：政府采购货物支出22.01万元，政府采购工程支出0万元，政府采购服务</w:t>
      </w:r>
      <w:r>
        <w:rPr>
          <w:rFonts w:hint="eastAsia" w:ascii="仿宋" w:eastAsia="仿宋"/>
          <w:kern w:val="0"/>
          <w:sz w:val="32"/>
          <w:lang w:val="zh-CN"/>
        </w:rPr>
        <w:t>支</w:t>
      </w:r>
      <w:r>
        <w:rPr>
          <w:rFonts w:hint="eastAsia" w:ascii="仿宋" w:eastAsia="仿宋"/>
          <w:kern w:val="0"/>
          <w:sz w:val="32"/>
        </w:rPr>
        <w:t>出0万元。</w:t>
      </w:r>
    </w:p>
    <w:p>
      <w:pPr>
        <w:spacing w:line="600" w:lineRule="exact"/>
        <w:ind w:firstLine="640"/>
        <w:rPr>
          <w:rFonts w:eastAsia="Times New Roman"/>
          <w:kern w:val="0"/>
          <w:sz w:val="32"/>
        </w:rPr>
      </w:pPr>
      <w:r>
        <w:rPr>
          <w:rFonts w:hint="eastAsia" w:ascii="仿宋" w:eastAsia="仿宋"/>
          <w:kern w:val="0"/>
          <w:sz w:val="32"/>
        </w:rPr>
        <w:t>授予中小企业合同金额22.01万元，占政府采购支出总额的100%，其中：授予小微企业合同金额22.01万元，占政府采购支出总额的100%。</w:t>
      </w:r>
    </w:p>
    <w:p>
      <w:pPr>
        <w:spacing w:line="600" w:lineRule="exact"/>
        <w:ind w:firstLine="480"/>
        <w:rPr>
          <w:rFonts w:eastAsia="Times New Roman"/>
          <w:kern w:val="0"/>
          <w:sz w:val="32"/>
        </w:rPr>
      </w:pPr>
      <w:r>
        <w:rPr>
          <w:rFonts w:hint="eastAsia" w:ascii="仿宋" w:eastAsia="仿宋"/>
          <w:sz w:val="32"/>
        </w:rPr>
        <w:t>（三）国有资产占用情况说明</w:t>
      </w:r>
    </w:p>
    <w:p>
      <w:pPr>
        <w:shd w:val="clear" w:color="auto" w:fill="FFFFFF"/>
        <w:spacing w:line="600" w:lineRule="exact"/>
        <w:ind w:left="119" w:firstLine="640"/>
        <w:rPr>
          <w:rFonts w:eastAsia="Times New Roman"/>
          <w:kern w:val="0"/>
          <w:sz w:val="32"/>
          <w:highlight w:val="white"/>
        </w:rPr>
      </w:pPr>
      <w:r>
        <w:rPr>
          <w:rFonts w:hint="eastAsia" w:ascii="仿宋" w:eastAsia="仿宋"/>
          <w:kern w:val="0"/>
          <w:sz w:val="32"/>
        </w:rPr>
        <w:t>截至2019年12月31日，单位共有房屋0平方米，价值</w:t>
      </w:r>
      <w:r>
        <w:rPr>
          <w:rFonts w:hint="eastAsia" w:ascii="仿宋" w:eastAsia="仿宋"/>
          <w:kern w:val="0"/>
          <w:sz w:val="32"/>
          <w:highlight w:val="white"/>
        </w:rPr>
        <w:t>0万元。车辆</w:t>
      </w:r>
      <w:r>
        <w:rPr>
          <w:rFonts w:hint="eastAsia" w:ascii="仿宋" w:eastAsia="仿宋"/>
          <w:kern w:val="0"/>
          <w:sz w:val="32"/>
        </w:rPr>
        <w:t>12辆，价值</w:t>
      </w:r>
      <w:r>
        <w:rPr>
          <w:rFonts w:hint="eastAsia" w:ascii="仿宋" w:eastAsia="仿宋"/>
          <w:kern w:val="0"/>
          <w:sz w:val="32"/>
          <w:highlight w:val="white"/>
        </w:rPr>
        <w:t>104.98万元，其中：</w:t>
      </w:r>
      <w:r>
        <w:rPr>
          <w:rFonts w:hint="eastAsia" w:ascii="仿宋" w:eastAsia="仿宋"/>
          <w:kern w:val="0"/>
          <w:sz w:val="32"/>
        </w:rPr>
        <w:t>副部（省）级及以上领导用车0辆、主要领导干部用车1辆、机要通信用车0辆、应急保障用车0辆、执法执勤用车11、特种专业技术用车0辆、离退休干部用车0辆、其他用车0辆，其他用车主要是：</w:t>
      </w:r>
      <w:r>
        <w:rPr>
          <w:rFonts w:hint="eastAsia" w:ascii="仿宋" w:eastAsia="仿宋"/>
          <w:kern w:val="0"/>
          <w:sz w:val="32"/>
          <w:highlight w:val="yellow"/>
        </w:rPr>
        <w:t>没有其他用车辆</w:t>
      </w:r>
      <w:r>
        <w:rPr>
          <w:rFonts w:hint="eastAsia" w:ascii="仿宋" w:eastAsia="仿宋"/>
          <w:kern w:val="0"/>
          <w:sz w:val="32"/>
          <w:highlight w:val="white"/>
        </w:rPr>
        <w:t>；</w:t>
      </w:r>
      <w:r>
        <w:rPr>
          <w:rFonts w:hint="eastAsia" w:ascii="仿宋" w:eastAsia="仿宋"/>
          <w:kern w:val="0"/>
          <w:sz w:val="32"/>
        </w:rPr>
        <w:t>单位价值50万元以上通用设备0台，单位价值100万元以上专用设备0台。</w:t>
      </w:r>
    </w:p>
    <w:p>
      <w:pPr>
        <w:shd w:val="clear" w:color="auto" w:fill="FFFFFF"/>
        <w:spacing w:line="600" w:lineRule="exact"/>
        <w:ind w:firstLine="640"/>
        <w:jc w:val="left"/>
        <w:rPr>
          <w:rFonts w:eastAsia="Times New Roman"/>
          <w:kern w:val="0"/>
          <w:sz w:val="32"/>
        </w:rPr>
      </w:pPr>
      <w:r>
        <w:rPr>
          <w:rFonts w:hint="eastAsia" w:ascii="黑体" w:eastAsia="黑体"/>
          <w:kern w:val="0"/>
          <w:sz w:val="32"/>
        </w:rPr>
        <w:t>十、预算绩效的情况说明</w:t>
      </w:r>
    </w:p>
    <w:p>
      <w:pPr>
        <w:spacing w:line="600" w:lineRule="exact"/>
        <w:ind w:firstLine="640"/>
        <w:rPr>
          <w:rFonts w:ascii="仿宋" w:eastAsia="仿宋"/>
          <w:kern w:val="0"/>
          <w:sz w:val="32"/>
        </w:rPr>
      </w:pPr>
      <w:r>
        <w:rPr>
          <w:rFonts w:hint="eastAsia" w:ascii="仿宋" w:eastAsia="仿宋"/>
          <w:kern w:val="0"/>
          <w:sz w:val="32"/>
        </w:rPr>
        <w:t>根据预算绩效管理要求，我单位2019年度开展预算绩效评价项目5个，共涉及资金144.6万元。自述有关预算绩效管理和绩效自评开展情况。</w:t>
      </w:r>
    </w:p>
    <w:p>
      <w:pPr>
        <w:numPr>
          <w:ilvl w:val="0"/>
          <w:numId w:val="0"/>
        </w:numPr>
        <w:spacing w:line="600" w:lineRule="exact"/>
        <w:ind w:firstLine="640" w:firstLineChars="200"/>
        <w:jc w:val="left"/>
        <w:rPr>
          <w:rFonts w:ascii="仿宋" w:eastAsia="仿宋"/>
          <w:kern w:val="0"/>
          <w:sz w:val="32"/>
          <w:highlight w:val="yellow"/>
        </w:rPr>
      </w:pPr>
      <w:r>
        <w:rPr>
          <w:rFonts w:hint="eastAsia" w:ascii="仿宋" w:eastAsia="仿宋" w:cs="Arial"/>
          <w:kern w:val="0"/>
          <w:sz w:val="32"/>
          <w:highlight w:val="yellow"/>
          <w:lang w:val="en-US" w:eastAsia="zh-CN"/>
        </w:rPr>
        <w:t>1</w:t>
      </w:r>
      <w:r>
        <w:rPr>
          <w:rFonts w:hint="eastAsia" w:ascii="仿宋" w:eastAsia="仿宋" w:cs="Arial"/>
          <w:kern w:val="0"/>
          <w:sz w:val="32"/>
          <w:highlight w:val="yellow"/>
        </w:rPr>
        <w:t>.办案经费和业务装备</w:t>
      </w:r>
      <w:r>
        <w:rPr>
          <w:rFonts w:hint="eastAsia" w:ascii="仿宋" w:eastAsia="仿宋"/>
          <w:kern w:val="0"/>
          <w:sz w:val="32"/>
          <w:highlight w:val="yellow"/>
        </w:rPr>
        <w:t>项目绩效自评综述：根据年初设定的绩效目标，</w:t>
      </w:r>
      <w:r>
        <w:rPr>
          <w:rFonts w:hint="eastAsia" w:ascii="仿宋" w:eastAsia="仿宋" w:cs="Arial"/>
          <w:kern w:val="0"/>
          <w:sz w:val="32"/>
          <w:highlight w:val="yellow"/>
        </w:rPr>
        <w:t>办案经费和业务装备</w:t>
      </w:r>
      <w:r>
        <w:rPr>
          <w:rFonts w:hint="eastAsia" w:ascii="仿宋" w:eastAsia="仿宋"/>
          <w:kern w:val="0"/>
          <w:sz w:val="32"/>
          <w:highlight w:val="yellow"/>
        </w:rPr>
        <w:t>项目绩效自评得分为100分。项目全年预算数为117万元，执行数为117万元，完成预算的100%。</w:t>
      </w:r>
    </w:p>
    <w:p>
      <w:pPr>
        <w:spacing w:line="600" w:lineRule="exact"/>
        <w:jc w:val="left"/>
        <w:rPr>
          <w:rFonts w:ascii="仿宋" w:eastAsia="仿宋"/>
          <w:kern w:val="0"/>
          <w:sz w:val="32"/>
          <w:highlight w:val="yellow"/>
        </w:rPr>
      </w:pPr>
    </w:p>
    <w:tbl>
      <w:tblPr>
        <w:tblStyle w:val="8"/>
        <w:tblW w:w="11490" w:type="dxa"/>
        <w:tblInd w:w="0" w:type="dxa"/>
        <w:tblLayout w:type="fixed"/>
        <w:tblCellMar>
          <w:top w:w="0" w:type="dxa"/>
          <w:left w:w="108" w:type="dxa"/>
          <w:bottom w:w="0" w:type="dxa"/>
          <w:right w:w="108" w:type="dxa"/>
        </w:tblCellMar>
      </w:tblPr>
      <w:tblGrid>
        <w:gridCol w:w="535"/>
        <w:gridCol w:w="728"/>
        <w:gridCol w:w="1085"/>
        <w:gridCol w:w="1289"/>
        <w:gridCol w:w="1153"/>
        <w:gridCol w:w="236"/>
        <w:gridCol w:w="1115"/>
        <w:gridCol w:w="1141"/>
        <w:gridCol w:w="236"/>
        <w:gridCol w:w="660"/>
        <w:gridCol w:w="288"/>
        <w:gridCol w:w="729"/>
        <w:gridCol w:w="236"/>
        <w:gridCol w:w="2059"/>
      </w:tblGrid>
      <w:tr>
        <w:tblPrEx>
          <w:tblLayout w:type="fixed"/>
          <w:tblCellMar>
            <w:top w:w="0" w:type="dxa"/>
            <w:left w:w="108" w:type="dxa"/>
            <w:bottom w:w="0" w:type="dxa"/>
            <w:right w:w="108" w:type="dxa"/>
          </w:tblCellMar>
        </w:tblPrEx>
        <w:trPr>
          <w:trHeight w:val="274" w:hRule="atLeast"/>
        </w:trPr>
        <w:tc>
          <w:tcPr>
            <w:tcW w:w="535" w:type="dxa"/>
            <w:tcBorders>
              <w:top w:val="nil"/>
              <w:left w:val="nil"/>
              <w:bottom w:val="nil"/>
              <w:right w:val="nil"/>
            </w:tcBorders>
            <w:noWrap/>
            <w:vAlign w:val="center"/>
          </w:tcPr>
          <w:p>
            <w:pPr>
              <w:rPr>
                <w:rFonts w:ascii="宋体" w:cs="Arial"/>
                <w:color w:val="000000"/>
                <w:sz w:val="20"/>
              </w:rPr>
            </w:pPr>
          </w:p>
        </w:tc>
        <w:tc>
          <w:tcPr>
            <w:tcW w:w="728" w:type="dxa"/>
            <w:tcBorders>
              <w:top w:val="nil"/>
              <w:left w:val="nil"/>
              <w:bottom w:val="nil"/>
              <w:right w:val="nil"/>
            </w:tcBorders>
            <w:noWrap/>
            <w:vAlign w:val="center"/>
          </w:tcPr>
          <w:p>
            <w:pPr>
              <w:rPr>
                <w:sz w:val="24"/>
              </w:rPr>
            </w:pPr>
          </w:p>
        </w:tc>
        <w:tc>
          <w:tcPr>
            <w:tcW w:w="1085" w:type="dxa"/>
            <w:tcBorders>
              <w:top w:val="nil"/>
              <w:left w:val="nil"/>
              <w:bottom w:val="nil"/>
              <w:right w:val="nil"/>
            </w:tcBorders>
            <w:noWrap/>
            <w:vAlign w:val="center"/>
          </w:tcPr>
          <w:p>
            <w:pPr>
              <w:rPr>
                <w:sz w:val="24"/>
              </w:rPr>
            </w:pPr>
          </w:p>
        </w:tc>
        <w:tc>
          <w:tcPr>
            <w:tcW w:w="1289" w:type="dxa"/>
            <w:tcBorders>
              <w:top w:val="nil"/>
              <w:left w:val="nil"/>
              <w:bottom w:val="nil"/>
              <w:right w:val="nil"/>
            </w:tcBorders>
            <w:noWrap/>
            <w:vAlign w:val="center"/>
          </w:tcPr>
          <w:p>
            <w:pPr>
              <w:rPr>
                <w:sz w:val="24"/>
              </w:rPr>
            </w:pPr>
          </w:p>
        </w:tc>
        <w:tc>
          <w:tcPr>
            <w:tcW w:w="1153" w:type="dxa"/>
            <w:tcBorders>
              <w:top w:val="nil"/>
              <w:left w:val="nil"/>
              <w:bottom w:val="nil"/>
              <w:right w:val="nil"/>
            </w:tcBorders>
            <w:noWrap/>
            <w:vAlign w:val="center"/>
          </w:tcPr>
          <w:p>
            <w:pPr>
              <w:rPr>
                <w:sz w:val="24"/>
              </w:rPr>
            </w:pPr>
          </w:p>
        </w:tc>
        <w:tc>
          <w:tcPr>
            <w:tcW w:w="236" w:type="dxa"/>
            <w:tcBorders>
              <w:top w:val="nil"/>
              <w:left w:val="nil"/>
              <w:bottom w:val="nil"/>
              <w:right w:val="nil"/>
            </w:tcBorders>
            <w:noWrap/>
            <w:vAlign w:val="center"/>
          </w:tcPr>
          <w:p>
            <w:pPr>
              <w:rPr>
                <w:sz w:val="24"/>
              </w:rPr>
            </w:pPr>
          </w:p>
        </w:tc>
        <w:tc>
          <w:tcPr>
            <w:tcW w:w="1115" w:type="dxa"/>
            <w:tcBorders>
              <w:top w:val="nil"/>
              <w:left w:val="nil"/>
              <w:bottom w:val="nil"/>
              <w:right w:val="nil"/>
            </w:tcBorders>
            <w:noWrap/>
            <w:vAlign w:val="center"/>
          </w:tcPr>
          <w:p>
            <w:pPr>
              <w:rPr>
                <w:sz w:val="24"/>
              </w:rPr>
            </w:pPr>
          </w:p>
        </w:tc>
        <w:tc>
          <w:tcPr>
            <w:tcW w:w="1141" w:type="dxa"/>
            <w:tcBorders>
              <w:top w:val="nil"/>
              <w:left w:val="nil"/>
              <w:bottom w:val="nil"/>
              <w:right w:val="nil"/>
            </w:tcBorders>
            <w:noWrap/>
            <w:vAlign w:val="center"/>
          </w:tcPr>
          <w:p>
            <w:pPr>
              <w:rPr>
                <w:sz w:val="24"/>
              </w:rPr>
            </w:pPr>
          </w:p>
        </w:tc>
        <w:tc>
          <w:tcPr>
            <w:tcW w:w="236" w:type="dxa"/>
            <w:tcBorders>
              <w:top w:val="nil"/>
              <w:left w:val="nil"/>
              <w:bottom w:val="nil"/>
              <w:right w:val="nil"/>
            </w:tcBorders>
            <w:noWrap/>
            <w:vAlign w:val="center"/>
          </w:tcPr>
          <w:p>
            <w:pPr>
              <w:rPr>
                <w:sz w:val="24"/>
              </w:rPr>
            </w:pPr>
          </w:p>
        </w:tc>
        <w:tc>
          <w:tcPr>
            <w:tcW w:w="660" w:type="dxa"/>
            <w:tcBorders>
              <w:top w:val="nil"/>
              <w:left w:val="nil"/>
              <w:bottom w:val="nil"/>
              <w:right w:val="nil"/>
            </w:tcBorders>
            <w:noWrap/>
            <w:vAlign w:val="center"/>
          </w:tcPr>
          <w:p>
            <w:pPr>
              <w:rPr>
                <w:sz w:val="24"/>
              </w:rPr>
            </w:pPr>
          </w:p>
        </w:tc>
        <w:tc>
          <w:tcPr>
            <w:tcW w:w="288" w:type="dxa"/>
            <w:tcBorders>
              <w:top w:val="nil"/>
              <w:left w:val="nil"/>
              <w:bottom w:val="nil"/>
              <w:right w:val="nil"/>
            </w:tcBorders>
            <w:noWrap/>
            <w:vAlign w:val="center"/>
          </w:tcPr>
          <w:p>
            <w:pPr>
              <w:rPr>
                <w:sz w:val="24"/>
              </w:rPr>
            </w:pPr>
          </w:p>
        </w:tc>
        <w:tc>
          <w:tcPr>
            <w:tcW w:w="729" w:type="dxa"/>
            <w:tcBorders>
              <w:top w:val="nil"/>
              <w:left w:val="nil"/>
              <w:bottom w:val="nil"/>
              <w:right w:val="nil"/>
            </w:tcBorders>
            <w:noWrap/>
            <w:vAlign w:val="center"/>
          </w:tcPr>
          <w:p>
            <w:pPr>
              <w:rPr>
                <w:sz w:val="24"/>
              </w:rPr>
            </w:pPr>
          </w:p>
        </w:tc>
        <w:tc>
          <w:tcPr>
            <w:tcW w:w="236" w:type="dxa"/>
            <w:tcBorders>
              <w:top w:val="nil"/>
              <w:left w:val="nil"/>
              <w:bottom w:val="nil"/>
              <w:right w:val="nil"/>
            </w:tcBorders>
            <w:noWrap/>
            <w:vAlign w:val="center"/>
          </w:tcPr>
          <w:p>
            <w:pPr>
              <w:rPr>
                <w:sz w:val="24"/>
              </w:rPr>
            </w:pPr>
          </w:p>
        </w:tc>
        <w:tc>
          <w:tcPr>
            <w:tcW w:w="2059" w:type="dxa"/>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trHeight w:val="412" w:hRule="atLeast"/>
        </w:trPr>
        <w:tc>
          <w:tcPr>
            <w:tcW w:w="11490" w:type="dxa"/>
            <w:gridSpan w:val="14"/>
            <w:tcBorders>
              <w:top w:val="nil"/>
              <w:left w:val="nil"/>
              <w:bottom w:val="nil"/>
              <w:right w:val="nil"/>
            </w:tcBorders>
            <w:noWrap/>
            <w:vAlign w:val="center"/>
          </w:tcPr>
          <w:p>
            <w:pPr>
              <w:jc w:val="center"/>
              <w:rPr>
                <w:rFonts w:ascii="宋体" w:cs="Arial"/>
                <w:b/>
                <w:color w:val="000000"/>
                <w:sz w:val="32"/>
              </w:rPr>
            </w:pPr>
            <w:r>
              <w:rPr>
                <w:rFonts w:hint="eastAsia" w:ascii="宋体" w:cs="Arial"/>
                <w:b/>
                <w:color w:val="000000"/>
                <w:sz w:val="32"/>
              </w:rPr>
              <w:t>办案经费和业务装备经费绩效自评表</w:t>
            </w:r>
          </w:p>
        </w:tc>
      </w:tr>
      <w:tr>
        <w:tblPrEx>
          <w:tblLayout w:type="fixed"/>
          <w:tblCellMar>
            <w:top w:w="0" w:type="dxa"/>
            <w:left w:w="108" w:type="dxa"/>
            <w:bottom w:w="0" w:type="dxa"/>
            <w:right w:w="108" w:type="dxa"/>
          </w:tblCellMar>
        </w:tblPrEx>
        <w:trPr>
          <w:trHeight w:val="405" w:hRule="atLeast"/>
        </w:trPr>
        <w:tc>
          <w:tcPr>
            <w:tcW w:w="11490" w:type="dxa"/>
            <w:gridSpan w:val="14"/>
            <w:tcBorders>
              <w:top w:val="nil"/>
              <w:left w:val="nil"/>
              <w:bottom w:val="nil"/>
              <w:right w:val="nil"/>
            </w:tcBorders>
            <w:noWrap/>
            <w:vAlign w:val="center"/>
          </w:tcPr>
          <w:p>
            <w:pPr>
              <w:jc w:val="center"/>
              <w:rPr>
                <w:rFonts w:ascii="宋体" w:cs="Arial"/>
                <w:color w:val="000000"/>
                <w:sz w:val="20"/>
              </w:rPr>
            </w:pPr>
            <w:r>
              <w:rPr>
                <w:rFonts w:hint="eastAsia" w:ascii="宋体" w:cs="Arial"/>
                <w:color w:val="000000"/>
                <w:sz w:val="20"/>
              </w:rPr>
              <w:t>（2019年度）</w:t>
            </w:r>
          </w:p>
        </w:tc>
      </w:tr>
      <w:tr>
        <w:tblPrEx>
          <w:tblLayout w:type="fixed"/>
          <w:tblCellMar>
            <w:top w:w="0" w:type="dxa"/>
            <w:left w:w="108" w:type="dxa"/>
            <w:bottom w:w="0" w:type="dxa"/>
            <w:right w:w="108" w:type="dxa"/>
          </w:tblCellMar>
        </w:tblPrEx>
        <w:trPr>
          <w:trHeight w:val="337" w:hRule="atLeast"/>
        </w:trPr>
        <w:tc>
          <w:tcPr>
            <w:tcW w:w="126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项目名称</w:t>
            </w:r>
          </w:p>
        </w:tc>
        <w:tc>
          <w:tcPr>
            <w:tcW w:w="10227" w:type="dxa"/>
            <w:gridSpan w:val="1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上级转移支付资金（办案经费和业务装备经费）</w:t>
            </w:r>
          </w:p>
        </w:tc>
      </w:tr>
      <w:tr>
        <w:tblPrEx>
          <w:tblLayout w:type="fixed"/>
          <w:tblCellMar>
            <w:top w:w="0" w:type="dxa"/>
            <w:left w:w="108" w:type="dxa"/>
            <w:bottom w:w="0" w:type="dxa"/>
            <w:right w:w="108" w:type="dxa"/>
          </w:tblCellMar>
        </w:tblPrEx>
        <w:trPr>
          <w:trHeight w:val="337" w:hRule="atLeast"/>
        </w:trPr>
        <w:tc>
          <w:tcPr>
            <w:tcW w:w="126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主管部门</w:t>
            </w:r>
          </w:p>
        </w:tc>
        <w:tc>
          <w:tcPr>
            <w:tcW w:w="4878"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玛纳斯县人民政府</w:t>
            </w:r>
          </w:p>
        </w:tc>
        <w:tc>
          <w:tcPr>
            <w:tcW w:w="137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实施单位</w:t>
            </w:r>
          </w:p>
        </w:tc>
        <w:tc>
          <w:tcPr>
            <w:tcW w:w="3972"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玛纳斯县司法局</w:t>
            </w:r>
          </w:p>
        </w:tc>
      </w:tr>
      <w:tr>
        <w:tblPrEx>
          <w:tblLayout w:type="fixed"/>
          <w:tblCellMar>
            <w:top w:w="0" w:type="dxa"/>
            <w:left w:w="108" w:type="dxa"/>
            <w:bottom w:w="0" w:type="dxa"/>
            <w:right w:w="108" w:type="dxa"/>
          </w:tblCellMar>
        </w:tblPrEx>
        <w:trPr>
          <w:trHeight w:val="337" w:hRule="atLeast"/>
        </w:trPr>
        <w:tc>
          <w:tcPr>
            <w:tcW w:w="1263" w:type="dxa"/>
            <w:gridSpan w:val="2"/>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项目资金       （万元）</w:t>
            </w:r>
          </w:p>
        </w:tc>
        <w:tc>
          <w:tcPr>
            <w:tcW w:w="237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153"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年初预算数</w:t>
            </w:r>
          </w:p>
        </w:tc>
        <w:tc>
          <w:tcPr>
            <w:tcW w:w="135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全年预算数</w:t>
            </w:r>
          </w:p>
        </w:tc>
        <w:tc>
          <w:tcPr>
            <w:tcW w:w="137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全年执行数</w:t>
            </w:r>
          </w:p>
        </w:tc>
        <w:tc>
          <w:tcPr>
            <w:tcW w:w="94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96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执行率</w:t>
            </w:r>
          </w:p>
        </w:tc>
        <w:tc>
          <w:tcPr>
            <w:tcW w:w="20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r>
      <w:tr>
        <w:tblPrEx>
          <w:tblLayout w:type="fixed"/>
          <w:tblCellMar>
            <w:top w:w="0" w:type="dxa"/>
            <w:left w:w="108" w:type="dxa"/>
            <w:bottom w:w="0" w:type="dxa"/>
            <w:right w:w="108" w:type="dxa"/>
          </w:tblCellMar>
        </w:tblPrEx>
        <w:trPr>
          <w:trHeight w:val="337" w:hRule="atLeast"/>
        </w:trPr>
        <w:tc>
          <w:tcPr>
            <w:tcW w:w="1263" w:type="dxa"/>
            <w:gridSpan w:val="2"/>
            <w:vMerge w:val="continue"/>
            <w:tcBorders>
              <w:top w:val="nil"/>
              <w:left w:val="single" w:color="auto" w:sz="6" w:space="0"/>
              <w:bottom w:val="nil"/>
              <w:right w:val="single" w:color="auto" w:sz="6" w:space="0"/>
            </w:tcBorders>
            <w:noWrap/>
            <w:vAlign w:val="center"/>
          </w:tcPr>
          <w:p/>
        </w:tc>
        <w:tc>
          <w:tcPr>
            <w:tcW w:w="2374"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年度资金总额</w:t>
            </w:r>
          </w:p>
        </w:tc>
        <w:tc>
          <w:tcPr>
            <w:tcW w:w="1153"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35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117</w:t>
            </w:r>
          </w:p>
        </w:tc>
        <w:tc>
          <w:tcPr>
            <w:tcW w:w="137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117</w:t>
            </w:r>
          </w:p>
        </w:tc>
        <w:tc>
          <w:tcPr>
            <w:tcW w:w="94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96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20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r>
      <w:tr>
        <w:tblPrEx>
          <w:tblLayout w:type="fixed"/>
          <w:tblCellMar>
            <w:top w:w="0" w:type="dxa"/>
            <w:left w:w="108" w:type="dxa"/>
            <w:bottom w:w="0" w:type="dxa"/>
            <w:right w:w="108" w:type="dxa"/>
          </w:tblCellMar>
        </w:tblPrEx>
        <w:trPr>
          <w:trHeight w:val="337" w:hRule="atLeast"/>
        </w:trPr>
        <w:tc>
          <w:tcPr>
            <w:tcW w:w="1263" w:type="dxa"/>
            <w:gridSpan w:val="2"/>
            <w:vMerge w:val="continue"/>
            <w:tcBorders>
              <w:top w:val="nil"/>
              <w:left w:val="single" w:color="auto" w:sz="6" w:space="0"/>
              <w:bottom w:val="nil"/>
              <w:right w:val="single" w:color="auto" w:sz="6" w:space="0"/>
            </w:tcBorders>
            <w:noWrap/>
            <w:vAlign w:val="center"/>
          </w:tcPr>
          <w:p/>
        </w:tc>
        <w:tc>
          <w:tcPr>
            <w:tcW w:w="237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其中：当年财政拨款</w:t>
            </w:r>
          </w:p>
        </w:tc>
        <w:tc>
          <w:tcPr>
            <w:tcW w:w="1153"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35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117</w:t>
            </w:r>
          </w:p>
        </w:tc>
        <w:tc>
          <w:tcPr>
            <w:tcW w:w="137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117</w:t>
            </w:r>
          </w:p>
        </w:tc>
        <w:tc>
          <w:tcPr>
            <w:tcW w:w="94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96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20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r>
      <w:tr>
        <w:tblPrEx>
          <w:tblLayout w:type="fixed"/>
          <w:tblCellMar>
            <w:top w:w="0" w:type="dxa"/>
            <w:left w:w="108" w:type="dxa"/>
            <w:bottom w:w="0" w:type="dxa"/>
            <w:right w:w="108" w:type="dxa"/>
          </w:tblCellMar>
        </w:tblPrEx>
        <w:trPr>
          <w:trHeight w:val="337" w:hRule="atLeast"/>
        </w:trPr>
        <w:tc>
          <w:tcPr>
            <w:tcW w:w="1263" w:type="dxa"/>
            <w:gridSpan w:val="2"/>
            <w:vMerge w:val="continue"/>
            <w:tcBorders>
              <w:top w:val="nil"/>
              <w:left w:val="single" w:color="auto" w:sz="6" w:space="0"/>
              <w:bottom w:val="nil"/>
              <w:right w:val="single" w:color="auto" w:sz="6" w:space="0"/>
            </w:tcBorders>
            <w:noWrap/>
            <w:vAlign w:val="center"/>
          </w:tcPr>
          <w:p/>
        </w:tc>
        <w:tc>
          <w:tcPr>
            <w:tcW w:w="237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上年结转资金</w:t>
            </w:r>
          </w:p>
        </w:tc>
        <w:tc>
          <w:tcPr>
            <w:tcW w:w="1153"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35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37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4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96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20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r>
      <w:tr>
        <w:tblPrEx>
          <w:tblLayout w:type="fixed"/>
          <w:tblCellMar>
            <w:top w:w="0" w:type="dxa"/>
            <w:left w:w="108" w:type="dxa"/>
            <w:bottom w:w="0" w:type="dxa"/>
            <w:right w:w="108" w:type="dxa"/>
          </w:tblCellMar>
        </w:tblPrEx>
        <w:trPr>
          <w:trHeight w:val="337" w:hRule="atLeast"/>
        </w:trPr>
        <w:tc>
          <w:tcPr>
            <w:tcW w:w="1263" w:type="dxa"/>
            <w:gridSpan w:val="2"/>
            <w:vMerge w:val="continue"/>
            <w:tcBorders>
              <w:top w:val="nil"/>
              <w:left w:val="single" w:color="auto" w:sz="6" w:space="0"/>
              <w:bottom w:val="single" w:color="auto" w:sz="6" w:space="0"/>
              <w:right w:val="single" w:color="auto" w:sz="6" w:space="0"/>
            </w:tcBorders>
            <w:noWrap/>
            <w:vAlign w:val="center"/>
          </w:tcPr>
          <w:p/>
        </w:tc>
        <w:tc>
          <w:tcPr>
            <w:tcW w:w="237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其他资金</w:t>
            </w:r>
          </w:p>
        </w:tc>
        <w:tc>
          <w:tcPr>
            <w:tcW w:w="1153"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35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37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4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96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205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r>
      <w:tr>
        <w:tblPrEx>
          <w:tblLayout w:type="fixed"/>
          <w:tblCellMar>
            <w:top w:w="0" w:type="dxa"/>
            <w:left w:w="108" w:type="dxa"/>
            <w:bottom w:w="0" w:type="dxa"/>
            <w:right w:w="108" w:type="dxa"/>
          </w:tblCellMar>
        </w:tblPrEx>
        <w:trPr>
          <w:trHeight w:val="337" w:hRule="atLeast"/>
        </w:trPr>
        <w:tc>
          <w:tcPr>
            <w:tcW w:w="535"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年度总体目标</w:t>
            </w:r>
          </w:p>
        </w:tc>
        <w:tc>
          <w:tcPr>
            <w:tcW w:w="5606"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预期目标</w:t>
            </w:r>
          </w:p>
        </w:tc>
        <w:tc>
          <w:tcPr>
            <w:tcW w:w="5349" w:type="dxa"/>
            <w:gridSpan w:val="7"/>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实际完成情况</w:t>
            </w:r>
          </w:p>
        </w:tc>
      </w:tr>
      <w:tr>
        <w:tblPrEx>
          <w:tblLayout w:type="fixed"/>
          <w:tblCellMar>
            <w:top w:w="0" w:type="dxa"/>
            <w:left w:w="108" w:type="dxa"/>
            <w:bottom w:w="0" w:type="dxa"/>
            <w:right w:w="108" w:type="dxa"/>
          </w:tblCellMar>
        </w:tblPrEx>
        <w:trPr>
          <w:trHeight w:val="1901" w:hRule="atLeast"/>
        </w:trPr>
        <w:tc>
          <w:tcPr>
            <w:tcW w:w="535" w:type="dxa"/>
            <w:vMerge w:val="continue"/>
            <w:tcBorders>
              <w:top w:val="single" w:color="auto" w:sz="6" w:space="0"/>
              <w:left w:val="single" w:color="auto" w:sz="6" w:space="0"/>
              <w:bottom w:val="single" w:color="auto" w:sz="6" w:space="0"/>
              <w:right w:val="single" w:color="auto" w:sz="6" w:space="0"/>
            </w:tcBorders>
            <w:noWrap/>
            <w:vAlign w:val="center"/>
          </w:tcPr>
          <w:p/>
        </w:tc>
        <w:tc>
          <w:tcPr>
            <w:tcW w:w="5606"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紧紧围绕統构建社会主义和谐社会的目标要求，建立以调解为主的人民调解，司法调解、行政调解手段相互街接、配合联动的“大调解工作机制提高人民请解组织的社会公信力，提升人民调解组织的地位和调解工作效能，特别是调动人民调解员的积概性主动性、创造性。及时解决民间纠纷，预防和减少展间纠纷的发生，防上民间纠纷转化为刑事集件或非正常死亡事件。减少和预防犯罪的发生</w:t>
            </w:r>
          </w:p>
        </w:tc>
        <w:tc>
          <w:tcPr>
            <w:tcW w:w="5349" w:type="dxa"/>
            <w:gridSpan w:val="7"/>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紧紧围绕統构建社会主义和谐社会的目标要求，建立以调解为主的人民调解，司法调解、行政调解手段相互街接、配合联动的“大调解工作机制提高人民请解组织的社会公信力，提升人民调解组织的地位和调解工作效能，特别是调动人民调解员的积概性主动性、创造性。及时解决民间纠纷，预防和减少展间纠纷的发生，防上民间纠纷转化为刑事集件或非正常死亡事件。减少和预防犯罪的发生，目前项目正在进行。</w:t>
            </w:r>
          </w:p>
        </w:tc>
      </w:tr>
      <w:tr>
        <w:tblPrEx>
          <w:tblLayout w:type="fixed"/>
          <w:tblCellMar>
            <w:top w:w="0" w:type="dxa"/>
            <w:left w:w="108" w:type="dxa"/>
            <w:bottom w:w="0" w:type="dxa"/>
            <w:right w:w="108" w:type="dxa"/>
          </w:tblCellMar>
        </w:tblPrEx>
        <w:trPr>
          <w:trHeight w:val="337" w:hRule="atLeast"/>
        </w:trPr>
        <w:tc>
          <w:tcPr>
            <w:tcW w:w="535"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1绩              效    指    标</w:t>
            </w:r>
          </w:p>
        </w:tc>
        <w:tc>
          <w:tcPr>
            <w:tcW w:w="728"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一级指标</w:t>
            </w:r>
          </w:p>
        </w:tc>
        <w:tc>
          <w:tcPr>
            <w:tcW w:w="1085"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二级指标</w:t>
            </w:r>
          </w:p>
        </w:tc>
        <w:tc>
          <w:tcPr>
            <w:tcW w:w="2678" w:type="dxa"/>
            <w:gridSpan w:val="3"/>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三级指标</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w:t>
            </w:r>
          </w:p>
        </w:tc>
        <w:tc>
          <w:tcPr>
            <w:tcW w:w="896"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1017"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c>
          <w:tcPr>
            <w:tcW w:w="2295"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偏差原因分析及改进措施</w:t>
            </w: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single" w:color="auto" w:sz="6" w:space="0"/>
              <w:left w:val="single" w:color="auto" w:sz="6" w:space="0"/>
              <w:bottom w:val="single" w:color="auto" w:sz="6" w:space="0"/>
              <w:right w:val="single" w:color="auto" w:sz="6" w:space="0"/>
            </w:tcBorders>
            <w:noWrap/>
            <w:vAlign w:val="center"/>
          </w:tcPr>
          <w:p/>
        </w:tc>
        <w:tc>
          <w:tcPr>
            <w:tcW w:w="2678" w:type="dxa"/>
            <w:gridSpan w:val="3"/>
            <w:vMerge w:val="continue"/>
            <w:tcBorders>
              <w:top w:val="single" w:color="auto" w:sz="6" w:space="0"/>
              <w:left w:val="single" w:color="auto" w:sz="6" w:space="0"/>
              <w:bottom w:val="single" w:color="auto" w:sz="6" w:space="0"/>
              <w:right w:val="single" w:color="auto" w:sz="6" w:space="0"/>
            </w:tcBorders>
            <w:noWrap/>
            <w:vAlign w:val="center"/>
          </w:tcP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指标值</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完成值</w:t>
            </w:r>
          </w:p>
        </w:tc>
        <w:tc>
          <w:tcPr>
            <w:tcW w:w="896" w:type="dxa"/>
            <w:gridSpan w:val="2"/>
            <w:vMerge w:val="continue"/>
            <w:tcBorders>
              <w:top w:val="single" w:color="auto" w:sz="6" w:space="0"/>
              <w:left w:val="single" w:color="auto" w:sz="6" w:space="0"/>
              <w:bottom w:val="single" w:color="auto" w:sz="6" w:space="0"/>
              <w:right w:val="single" w:color="auto" w:sz="6" w:space="0"/>
            </w:tcBorders>
            <w:noWrap/>
            <w:vAlign w:val="center"/>
          </w:tcPr>
          <w:p/>
        </w:tc>
        <w:tc>
          <w:tcPr>
            <w:tcW w:w="1017" w:type="dxa"/>
            <w:gridSpan w:val="2"/>
            <w:vMerge w:val="continue"/>
            <w:tcBorders>
              <w:top w:val="single" w:color="auto" w:sz="6" w:space="0"/>
              <w:left w:val="single" w:color="auto" w:sz="6" w:space="0"/>
              <w:bottom w:val="single" w:color="auto" w:sz="6" w:space="0"/>
              <w:right w:val="single" w:color="auto" w:sz="6" w:space="0"/>
            </w:tcBorders>
            <w:noWrap/>
            <w:vAlign w:val="center"/>
          </w:tcPr>
          <w:p/>
        </w:tc>
        <w:tc>
          <w:tcPr>
            <w:tcW w:w="2295" w:type="dxa"/>
            <w:gridSpan w:val="2"/>
            <w:vMerge w:val="continue"/>
            <w:tcBorders>
              <w:top w:val="single" w:color="auto" w:sz="6" w:space="0"/>
              <w:left w:val="single" w:color="auto" w:sz="6" w:space="0"/>
              <w:bottom w:val="single" w:color="auto" w:sz="6" w:space="0"/>
              <w:right w:val="single" w:color="auto" w:sz="6" w:space="0"/>
            </w:tcBorders>
            <w:noWrap/>
            <w:vAlign w:val="center"/>
          </w:tc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产出指标</w:t>
            </w:r>
          </w:p>
          <w:p>
            <w:pPr>
              <w:jc w:val="center"/>
              <w:rPr>
                <w:rFonts w:ascii="宋体" w:cs="Arial"/>
                <w:color w:val="000000"/>
                <w:sz w:val="20"/>
              </w:rPr>
            </w:pPr>
            <w:r>
              <w:rPr>
                <w:rFonts w:hint="eastAsia" w:ascii="宋体" w:cs="Arial"/>
                <w:color w:val="000000"/>
                <w:sz w:val="20"/>
              </w:rPr>
              <w:t>（50分）</w:t>
            </w:r>
          </w:p>
        </w:tc>
        <w:tc>
          <w:tcPr>
            <w:tcW w:w="1085"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数量指标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指标1：人民调解</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1000次</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1238次</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nil"/>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指标2：法律援助受理数</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100件</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130件</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nil"/>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指标3：法律咨询人次</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3000人次</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3562次</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nil"/>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指标4：代写法律文书</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1000份</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a</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nil"/>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指标5：起草法律意见书</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200份</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205份</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nil"/>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指标6：调解各类纠纷</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720件</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843件</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nil"/>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指标7：转办法律援助案件</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5件</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5件</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single" w:color="auto" w:sz="6" w:space="0"/>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指标8：审查合同</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100件</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125件</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shd w:val="clear" w:color="auto" w:fill="auto"/>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85" w:type="dxa"/>
            <w:vMerge w:val="restart"/>
            <w:tcBorders>
              <w:top w:val="single" w:color="auto" w:sz="6" w:space="0"/>
              <w:left w:val="single" w:color="auto" w:sz="6" w:space="0"/>
              <w:bottom w:val="nil"/>
              <w:right w:val="single" w:color="auto" w:sz="6" w:space="0"/>
            </w:tcBorders>
            <w:shd w:val="clear" w:color="auto" w:fill="FFFFFF"/>
            <w:noWrap/>
            <w:vAlign w:val="center"/>
          </w:tcPr>
          <w:p>
            <w:pPr>
              <w:jc w:val="center"/>
              <w:rPr>
                <w:rFonts w:ascii="宋体" w:cs="Arial"/>
                <w:color w:val="000000"/>
                <w:sz w:val="20"/>
              </w:rPr>
            </w:pPr>
            <w:r>
              <w:rPr>
                <w:rFonts w:hint="eastAsia" w:ascii="宋体" w:cs="Arial"/>
                <w:color w:val="000000"/>
                <w:sz w:val="20"/>
              </w:rPr>
              <w:t>质量指标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指标1：人民调解案件合格率</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≥90%</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92%</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single" w:color="auto" w:sz="6" w:space="0"/>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指标2：普法依法单位合格率</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shd w:val="clear" w:color="auto" w:fill="auto"/>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85" w:type="dxa"/>
            <w:tcBorders>
              <w:top w:val="single" w:color="auto" w:sz="6" w:space="0"/>
              <w:left w:val="single" w:color="auto" w:sz="6" w:space="0"/>
              <w:bottom w:val="nil"/>
              <w:right w:val="single" w:color="auto" w:sz="6" w:space="0"/>
            </w:tcBorders>
            <w:shd w:val="clear" w:color="auto" w:fill="FFFFFF"/>
            <w:noWrap/>
            <w:vAlign w:val="center"/>
          </w:tcPr>
          <w:p>
            <w:pPr>
              <w:jc w:val="center"/>
              <w:rPr>
                <w:rFonts w:ascii="宋体" w:cs="Arial"/>
                <w:color w:val="000000"/>
                <w:sz w:val="20"/>
              </w:rPr>
            </w:pPr>
            <w:r>
              <w:rPr>
                <w:rFonts w:hint="eastAsia" w:ascii="宋体" w:cs="Arial"/>
                <w:color w:val="000000"/>
                <w:sz w:val="20"/>
              </w:rPr>
              <w:t>时效指标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指标1：资金执行率</w:t>
            </w:r>
          </w:p>
        </w:tc>
        <w:tc>
          <w:tcPr>
            <w:tcW w:w="1115" w:type="dxa"/>
            <w:tcBorders>
              <w:top w:val="single" w:color="auto" w:sz="6" w:space="0"/>
              <w:left w:val="nil"/>
              <w:bottom w:val="single" w:color="auto" w:sz="6" w:space="0"/>
              <w:right w:val="single" w:color="auto" w:sz="6" w:space="0"/>
            </w:tcBorders>
            <w:noWrap/>
          </w:tcPr>
          <w:p>
            <w:pPr>
              <w:jc w:val="center"/>
              <w:rPr>
                <w:rFonts w:ascii="宋体"/>
                <w:sz w:val="20"/>
              </w:rPr>
            </w:pPr>
            <w:r>
              <w:rPr>
                <w:rFonts w:hint="eastAsia" w:ascii="宋体"/>
                <w:sz w:val="20"/>
              </w:rPr>
              <w:t>100%</w:t>
            </w:r>
          </w:p>
        </w:tc>
        <w:tc>
          <w:tcPr>
            <w:tcW w:w="1141" w:type="dxa"/>
            <w:tcBorders>
              <w:top w:val="single" w:color="auto" w:sz="6" w:space="0"/>
              <w:left w:val="nil"/>
              <w:bottom w:val="single" w:color="auto" w:sz="6" w:space="0"/>
              <w:right w:val="single" w:color="auto" w:sz="6" w:space="0"/>
            </w:tcBorders>
            <w:noWrap/>
          </w:tcPr>
          <w:p>
            <w:pPr>
              <w:jc w:val="center"/>
              <w:rPr>
                <w:rFonts w:ascii="宋体"/>
                <w:sz w:val="20"/>
              </w:rPr>
            </w:pPr>
            <w:r>
              <w:rPr>
                <w:rFonts w:hint="eastAsia" w:ascii="宋体"/>
                <w:sz w:val="20"/>
              </w:rPr>
              <w:t>100%</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成本指标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指标1：办案、装备业务费用</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117万元</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117万元</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529"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效益指标</w:t>
            </w:r>
          </w:p>
          <w:p>
            <w:pPr>
              <w:jc w:val="center"/>
              <w:rPr>
                <w:rFonts w:ascii="宋体" w:cs="Arial"/>
                <w:color w:val="000000"/>
                <w:sz w:val="20"/>
              </w:rPr>
            </w:pPr>
            <w:r>
              <w:rPr>
                <w:rFonts w:hint="eastAsia" w:ascii="宋体" w:cs="Arial"/>
                <w:color w:val="000000"/>
                <w:sz w:val="20"/>
              </w:rPr>
              <w:t>（30分）</w:t>
            </w:r>
          </w:p>
        </w:tc>
        <w:tc>
          <w:tcPr>
            <w:tcW w:w="1085"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经济效益指标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社会效益指标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指标1：社会安全稳定</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明显提升</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明显提升</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37"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vMerge w:val="continue"/>
            <w:tcBorders>
              <w:top w:val="nil"/>
              <w:left w:val="single" w:color="auto" w:sz="6" w:space="0"/>
              <w:bottom w:val="nil"/>
              <w:right w:val="single" w:color="auto" w:sz="6" w:space="0"/>
            </w:tcBorders>
            <w:noWrap/>
            <w:vAlign w:val="center"/>
          </w:tcP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指标2：案件办结率</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≧73.7%</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74.00%</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551"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生态效益指标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599" w:hRule="atLeast"/>
        </w:trPr>
        <w:tc>
          <w:tcPr>
            <w:tcW w:w="535" w:type="dxa"/>
            <w:vMerge w:val="continue"/>
            <w:tcBorders>
              <w:top w:val="nil"/>
              <w:left w:val="single" w:color="auto" w:sz="6" w:space="0"/>
              <w:bottom w:val="nil"/>
              <w:right w:val="single" w:color="auto" w:sz="6" w:space="0"/>
            </w:tcBorders>
            <w:noWrap/>
            <w:vAlign w:val="center"/>
          </w:tcPr>
          <w:p/>
        </w:tc>
        <w:tc>
          <w:tcPr>
            <w:tcW w:w="728" w:type="dxa"/>
            <w:vMerge w:val="continue"/>
            <w:tcBorders>
              <w:top w:val="single" w:color="auto" w:sz="6" w:space="0"/>
              <w:left w:val="single" w:color="auto" w:sz="6" w:space="0"/>
              <w:bottom w:val="single" w:color="auto" w:sz="6" w:space="0"/>
              <w:right w:val="single" w:color="auto" w:sz="6" w:space="0"/>
            </w:tcBorders>
            <w:noWrap/>
            <w:vAlign w:val="center"/>
          </w:tcPr>
          <w:p/>
        </w:tc>
        <w:tc>
          <w:tcPr>
            <w:tcW w:w="108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可持续影响指标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指标1：发挥作用期限</w:t>
            </w:r>
          </w:p>
        </w:tc>
        <w:tc>
          <w:tcPr>
            <w:tcW w:w="111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1年</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1年</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1044" w:hRule="atLeast"/>
        </w:trPr>
        <w:tc>
          <w:tcPr>
            <w:tcW w:w="535" w:type="dxa"/>
            <w:vMerge w:val="continue"/>
            <w:tcBorders>
              <w:top w:val="nil"/>
              <w:left w:val="single" w:color="auto" w:sz="6" w:space="0"/>
              <w:bottom w:val="nil"/>
              <w:right w:val="single" w:color="auto" w:sz="6" w:space="0"/>
            </w:tcBorders>
            <w:noWrap/>
            <w:vAlign w:val="center"/>
          </w:tcPr>
          <w:p/>
        </w:tc>
        <w:tc>
          <w:tcPr>
            <w:tcW w:w="728"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满意度指标（10分）</w:t>
            </w:r>
          </w:p>
        </w:tc>
        <w:tc>
          <w:tcPr>
            <w:tcW w:w="108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服务对象满意度指标</w:t>
            </w:r>
          </w:p>
        </w:tc>
        <w:tc>
          <w:tcPr>
            <w:tcW w:w="2678"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指标1：群众满意</w:t>
            </w:r>
          </w:p>
        </w:tc>
        <w:tc>
          <w:tcPr>
            <w:tcW w:w="1115" w:type="dxa"/>
            <w:tcBorders>
              <w:top w:val="single" w:color="auto" w:sz="6" w:space="0"/>
              <w:left w:val="nil"/>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≥95%</w:t>
            </w:r>
          </w:p>
        </w:tc>
        <w:tc>
          <w:tcPr>
            <w:tcW w:w="114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95%</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352" w:hRule="atLeast"/>
        </w:trPr>
        <w:tc>
          <w:tcPr>
            <w:tcW w:w="7282" w:type="dxa"/>
            <w:gridSpan w:val="8"/>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总分</w:t>
            </w:r>
          </w:p>
        </w:tc>
        <w:tc>
          <w:tcPr>
            <w:tcW w:w="89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01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229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bl>
    <w:p>
      <w:pPr>
        <w:spacing w:line="600" w:lineRule="exact"/>
        <w:ind w:firstLine="640"/>
        <w:jc w:val="left"/>
        <w:rPr>
          <w:rFonts w:eastAsia="Times New Roman"/>
          <w:kern w:val="0"/>
          <w:sz w:val="32"/>
          <w:highlight w:val="yellow"/>
        </w:rPr>
      </w:pPr>
      <w:r>
        <w:rPr>
          <w:rFonts w:hint="eastAsia" w:ascii="仿宋" w:eastAsia="仿宋" w:cs="Arial"/>
          <w:kern w:val="0"/>
          <w:sz w:val="32"/>
          <w:highlight w:val="yellow"/>
        </w:rPr>
        <w:t>2.普法宣传</w:t>
      </w:r>
      <w:r>
        <w:rPr>
          <w:rFonts w:hint="eastAsia" w:ascii="仿宋" w:eastAsia="仿宋"/>
          <w:kern w:val="0"/>
          <w:sz w:val="32"/>
          <w:highlight w:val="yellow"/>
        </w:rPr>
        <w:t>项目绩效自评综述：根据年初设定的绩效目标，</w:t>
      </w:r>
      <w:r>
        <w:rPr>
          <w:rFonts w:hint="eastAsia" w:ascii="仿宋" w:eastAsia="仿宋" w:cs="Arial"/>
          <w:kern w:val="0"/>
          <w:sz w:val="32"/>
          <w:highlight w:val="yellow"/>
        </w:rPr>
        <w:t>普法宣传</w:t>
      </w:r>
      <w:r>
        <w:rPr>
          <w:rFonts w:hint="eastAsia" w:ascii="仿宋" w:eastAsia="仿宋"/>
          <w:kern w:val="0"/>
          <w:sz w:val="32"/>
          <w:highlight w:val="yellow"/>
        </w:rPr>
        <w:t>项目绩效自评得分为100分。项目全年预算数为8.6万元，执行数为8.6万元，完成预算的100%。</w:t>
      </w:r>
    </w:p>
    <w:tbl>
      <w:tblPr>
        <w:tblStyle w:val="8"/>
        <w:tblW w:w="11208" w:type="dxa"/>
        <w:tblInd w:w="191" w:type="dxa"/>
        <w:tblLayout w:type="fixed"/>
        <w:tblCellMar>
          <w:top w:w="0" w:type="dxa"/>
          <w:left w:w="108" w:type="dxa"/>
          <w:bottom w:w="0" w:type="dxa"/>
          <w:right w:w="108" w:type="dxa"/>
        </w:tblCellMar>
      </w:tblPr>
      <w:tblGrid>
        <w:gridCol w:w="618"/>
        <w:gridCol w:w="885"/>
        <w:gridCol w:w="1083"/>
        <w:gridCol w:w="1083"/>
        <w:gridCol w:w="989"/>
        <w:gridCol w:w="653"/>
        <w:gridCol w:w="966"/>
        <w:gridCol w:w="1025"/>
        <w:gridCol w:w="236"/>
        <w:gridCol w:w="528"/>
        <w:gridCol w:w="640"/>
        <w:gridCol w:w="236"/>
        <w:gridCol w:w="742"/>
        <w:gridCol w:w="1524"/>
      </w:tblGrid>
      <w:tr>
        <w:tblPrEx>
          <w:tblLayout w:type="fixed"/>
          <w:tblCellMar>
            <w:top w:w="0" w:type="dxa"/>
            <w:left w:w="108" w:type="dxa"/>
            <w:bottom w:w="0" w:type="dxa"/>
            <w:right w:w="108" w:type="dxa"/>
          </w:tblCellMar>
        </w:tblPrEx>
        <w:trPr>
          <w:trHeight w:val="344" w:hRule="atLeast"/>
        </w:trPr>
        <w:tc>
          <w:tcPr>
            <w:tcW w:w="618" w:type="dxa"/>
            <w:tcBorders>
              <w:top w:val="nil"/>
              <w:left w:val="nil"/>
              <w:bottom w:val="nil"/>
              <w:right w:val="nil"/>
            </w:tcBorders>
            <w:noWrap/>
            <w:vAlign w:val="center"/>
          </w:tcPr>
          <w:p>
            <w:pPr>
              <w:rPr>
                <w:rFonts w:ascii="宋体" w:cs="Arial"/>
                <w:b/>
                <w:color w:val="000000"/>
                <w:sz w:val="32"/>
              </w:rPr>
            </w:pPr>
          </w:p>
        </w:tc>
        <w:tc>
          <w:tcPr>
            <w:tcW w:w="885" w:type="dxa"/>
            <w:tcBorders>
              <w:top w:val="nil"/>
              <w:left w:val="nil"/>
              <w:bottom w:val="nil"/>
              <w:right w:val="nil"/>
            </w:tcBorders>
            <w:noWrap/>
            <w:vAlign w:val="center"/>
          </w:tcPr>
          <w:p>
            <w:pPr>
              <w:rPr>
                <w:rFonts w:ascii="宋体" w:cs="Arial"/>
                <w:b/>
                <w:color w:val="000000"/>
                <w:sz w:val="32"/>
              </w:rPr>
            </w:pPr>
          </w:p>
        </w:tc>
        <w:tc>
          <w:tcPr>
            <w:tcW w:w="1083" w:type="dxa"/>
            <w:tcBorders>
              <w:top w:val="nil"/>
              <w:left w:val="nil"/>
              <w:bottom w:val="nil"/>
              <w:right w:val="nil"/>
            </w:tcBorders>
            <w:noWrap/>
            <w:vAlign w:val="center"/>
          </w:tcPr>
          <w:p>
            <w:pPr>
              <w:rPr>
                <w:rFonts w:ascii="宋体" w:cs="Arial"/>
                <w:b/>
                <w:color w:val="000000"/>
                <w:sz w:val="32"/>
              </w:rPr>
            </w:pPr>
          </w:p>
        </w:tc>
        <w:tc>
          <w:tcPr>
            <w:tcW w:w="1083" w:type="dxa"/>
            <w:tcBorders>
              <w:top w:val="nil"/>
              <w:left w:val="nil"/>
              <w:bottom w:val="nil"/>
              <w:right w:val="nil"/>
            </w:tcBorders>
            <w:noWrap/>
            <w:vAlign w:val="center"/>
          </w:tcPr>
          <w:p>
            <w:pPr>
              <w:rPr>
                <w:rFonts w:ascii="宋体" w:cs="Arial"/>
                <w:b/>
                <w:color w:val="000000"/>
                <w:sz w:val="32"/>
              </w:rPr>
            </w:pPr>
          </w:p>
        </w:tc>
        <w:tc>
          <w:tcPr>
            <w:tcW w:w="989" w:type="dxa"/>
            <w:tcBorders>
              <w:top w:val="nil"/>
              <w:left w:val="nil"/>
              <w:bottom w:val="nil"/>
              <w:right w:val="nil"/>
            </w:tcBorders>
            <w:noWrap/>
            <w:vAlign w:val="center"/>
          </w:tcPr>
          <w:p>
            <w:pPr>
              <w:rPr>
                <w:rFonts w:ascii="宋体" w:cs="Arial"/>
                <w:b/>
                <w:color w:val="000000"/>
                <w:sz w:val="32"/>
              </w:rPr>
            </w:pPr>
          </w:p>
        </w:tc>
        <w:tc>
          <w:tcPr>
            <w:tcW w:w="653" w:type="dxa"/>
            <w:tcBorders>
              <w:top w:val="nil"/>
              <w:left w:val="nil"/>
              <w:bottom w:val="nil"/>
              <w:right w:val="nil"/>
            </w:tcBorders>
            <w:noWrap/>
            <w:vAlign w:val="center"/>
          </w:tcPr>
          <w:p>
            <w:pPr>
              <w:rPr>
                <w:rFonts w:ascii="宋体" w:cs="Arial"/>
                <w:b/>
                <w:color w:val="000000"/>
                <w:sz w:val="32"/>
              </w:rPr>
            </w:pPr>
          </w:p>
        </w:tc>
        <w:tc>
          <w:tcPr>
            <w:tcW w:w="966" w:type="dxa"/>
            <w:tcBorders>
              <w:top w:val="nil"/>
              <w:left w:val="nil"/>
              <w:bottom w:val="nil"/>
              <w:right w:val="nil"/>
            </w:tcBorders>
            <w:noWrap/>
            <w:vAlign w:val="center"/>
          </w:tcPr>
          <w:p>
            <w:pPr>
              <w:rPr>
                <w:rFonts w:ascii="宋体" w:cs="Arial"/>
                <w:b/>
                <w:color w:val="000000"/>
                <w:sz w:val="32"/>
              </w:rPr>
            </w:pPr>
          </w:p>
        </w:tc>
        <w:tc>
          <w:tcPr>
            <w:tcW w:w="1025" w:type="dxa"/>
            <w:tcBorders>
              <w:top w:val="nil"/>
              <w:left w:val="nil"/>
              <w:bottom w:val="nil"/>
              <w:right w:val="nil"/>
            </w:tcBorders>
            <w:noWrap/>
            <w:vAlign w:val="center"/>
          </w:tcPr>
          <w:p>
            <w:pPr>
              <w:rPr>
                <w:rFonts w:ascii="宋体" w:cs="Arial"/>
                <w:b/>
                <w:color w:val="000000"/>
                <w:sz w:val="32"/>
              </w:rPr>
            </w:pPr>
          </w:p>
        </w:tc>
        <w:tc>
          <w:tcPr>
            <w:tcW w:w="236" w:type="dxa"/>
            <w:tcBorders>
              <w:top w:val="nil"/>
              <w:left w:val="nil"/>
              <w:bottom w:val="nil"/>
              <w:right w:val="nil"/>
            </w:tcBorders>
            <w:noWrap/>
            <w:vAlign w:val="center"/>
          </w:tcPr>
          <w:p>
            <w:pPr>
              <w:rPr>
                <w:rFonts w:ascii="宋体" w:cs="Arial"/>
                <w:b/>
                <w:color w:val="000000"/>
                <w:sz w:val="32"/>
              </w:rPr>
            </w:pPr>
          </w:p>
        </w:tc>
        <w:tc>
          <w:tcPr>
            <w:tcW w:w="528" w:type="dxa"/>
            <w:tcBorders>
              <w:top w:val="nil"/>
              <w:left w:val="nil"/>
              <w:bottom w:val="nil"/>
              <w:right w:val="nil"/>
            </w:tcBorders>
            <w:noWrap/>
            <w:vAlign w:val="center"/>
          </w:tcPr>
          <w:p>
            <w:pPr>
              <w:rPr>
                <w:rFonts w:ascii="宋体" w:cs="Arial"/>
                <w:b/>
                <w:color w:val="000000"/>
                <w:sz w:val="32"/>
              </w:rPr>
            </w:pPr>
          </w:p>
        </w:tc>
        <w:tc>
          <w:tcPr>
            <w:tcW w:w="640" w:type="dxa"/>
            <w:tcBorders>
              <w:top w:val="nil"/>
              <w:left w:val="nil"/>
              <w:bottom w:val="nil"/>
              <w:right w:val="nil"/>
            </w:tcBorders>
            <w:noWrap/>
            <w:vAlign w:val="center"/>
          </w:tcPr>
          <w:p>
            <w:pPr>
              <w:rPr>
                <w:rFonts w:ascii="宋体" w:cs="Arial"/>
                <w:b/>
                <w:color w:val="000000"/>
                <w:sz w:val="32"/>
              </w:rPr>
            </w:pPr>
          </w:p>
        </w:tc>
        <w:tc>
          <w:tcPr>
            <w:tcW w:w="236" w:type="dxa"/>
            <w:tcBorders>
              <w:top w:val="nil"/>
              <w:left w:val="nil"/>
              <w:bottom w:val="nil"/>
              <w:right w:val="nil"/>
            </w:tcBorders>
            <w:noWrap/>
            <w:vAlign w:val="center"/>
          </w:tcPr>
          <w:p>
            <w:pPr>
              <w:rPr>
                <w:rFonts w:ascii="宋体" w:cs="Arial"/>
                <w:b/>
                <w:color w:val="000000"/>
                <w:sz w:val="32"/>
              </w:rPr>
            </w:pPr>
          </w:p>
        </w:tc>
        <w:tc>
          <w:tcPr>
            <w:tcW w:w="742" w:type="dxa"/>
            <w:tcBorders>
              <w:top w:val="nil"/>
              <w:left w:val="nil"/>
              <w:bottom w:val="nil"/>
              <w:right w:val="nil"/>
            </w:tcBorders>
            <w:noWrap/>
            <w:vAlign w:val="center"/>
          </w:tcPr>
          <w:p>
            <w:pPr>
              <w:rPr>
                <w:rFonts w:ascii="宋体" w:cs="Arial"/>
                <w:b/>
                <w:color w:val="000000"/>
                <w:sz w:val="32"/>
              </w:rPr>
            </w:pPr>
          </w:p>
        </w:tc>
        <w:tc>
          <w:tcPr>
            <w:tcW w:w="1524" w:type="dxa"/>
            <w:tcBorders>
              <w:top w:val="nil"/>
              <w:left w:val="nil"/>
              <w:bottom w:val="nil"/>
              <w:right w:val="nil"/>
            </w:tcBorders>
            <w:noWrap/>
            <w:vAlign w:val="center"/>
          </w:tcPr>
          <w:p>
            <w:pPr>
              <w:rPr>
                <w:rFonts w:ascii="宋体" w:cs="Arial"/>
                <w:b/>
                <w:color w:val="000000"/>
                <w:sz w:val="32"/>
              </w:rPr>
            </w:pPr>
          </w:p>
        </w:tc>
      </w:tr>
      <w:tr>
        <w:tblPrEx>
          <w:tblLayout w:type="fixed"/>
          <w:tblCellMar>
            <w:top w:w="0" w:type="dxa"/>
            <w:left w:w="108" w:type="dxa"/>
            <w:bottom w:w="0" w:type="dxa"/>
            <w:right w:w="108" w:type="dxa"/>
          </w:tblCellMar>
        </w:tblPrEx>
        <w:trPr>
          <w:trHeight w:val="344" w:hRule="atLeast"/>
        </w:trPr>
        <w:tc>
          <w:tcPr>
            <w:tcW w:w="11208" w:type="dxa"/>
            <w:gridSpan w:val="14"/>
            <w:tcBorders>
              <w:top w:val="nil"/>
              <w:left w:val="nil"/>
              <w:bottom w:val="nil"/>
              <w:right w:val="nil"/>
            </w:tcBorders>
            <w:noWrap/>
            <w:vAlign w:val="center"/>
          </w:tcPr>
          <w:p>
            <w:pPr>
              <w:ind w:firstLine="4337" w:firstLineChars="1350"/>
              <w:rPr>
                <w:rFonts w:ascii="宋体" w:cs="Arial"/>
                <w:b/>
                <w:color w:val="000000"/>
                <w:sz w:val="32"/>
              </w:rPr>
            </w:pPr>
            <w:r>
              <w:rPr>
                <w:rFonts w:hint="eastAsia" w:ascii="宋体" w:cs="Arial"/>
                <w:b/>
                <w:color w:val="000000"/>
                <w:sz w:val="32"/>
              </w:rPr>
              <w:t>普法宣传项目支出绩效自评表</w:t>
            </w:r>
          </w:p>
        </w:tc>
      </w:tr>
      <w:tr>
        <w:tblPrEx>
          <w:tblLayout w:type="fixed"/>
          <w:tblCellMar>
            <w:top w:w="0" w:type="dxa"/>
            <w:left w:w="108" w:type="dxa"/>
            <w:bottom w:w="0" w:type="dxa"/>
            <w:right w:w="108" w:type="dxa"/>
          </w:tblCellMar>
        </w:tblPrEx>
        <w:trPr>
          <w:trHeight w:val="338" w:hRule="atLeast"/>
        </w:trPr>
        <w:tc>
          <w:tcPr>
            <w:tcW w:w="11208" w:type="dxa"/>
            <w:gridSpan w:val="14"/>
            <w:tcBorders>
              <w:top w:val="nil"/>
              <w:left w:val="nil"/>
              <w:bottom w:val="nil"/>
              <w:right w:val="nil"/>
            </w:tcBorders>
            <w:noWrap/>
            <w:vAlign w:val="center"/>
          </w:tcPr>
          <w:p>
            <w:pPr>
              <w:jc w:val="center"/>
              <w:rPr>
                <w:rFonts w:ascii="宋体" w:cs="Arial"/>
                <w:color w:val="000000"/>
                <w:sz w:val="20"/>
              </w:rPr>
            </w:pPr>
            <w:r>
              <w:rPr>
                <w:rFonts w:hint="eastAsia" w:ascii="宋体" w:cs="Arial"/>
                <w:color w:val="000000"/>
                <w:sz w:val="20"/>
              </w:rPr>
              <w:t>（2019年度）</w:t>
            </w:r>
          </w:p>
        </w:tc>
      </w:tr>
      <w:tr>
        <w:tblPrEx>
          <w:tblLayout w:type="fixed"/>
          <w:tblCellMar>
            <w:top w:w="0" w:type="dxa"/>
            <w:left w:w="108" w:type="dxa"/>
            <w:bottom w:w="0" w:type="dxa"/>
            <w:right w:w="108" w:type="dxa"/>
          </w:tblCellMar>
        </w:tblPrEx>
        <w:trPr>
          <w:trHeight w:val="281" w:hRule="atLeast"/>
        </w:trPr>
        <w:tc>
          <w:tcPr>
            <w:tcW w:w="150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项目名称</w:t>
            </w:r>
          </w:p>
        </w:tc>
        <w:tc>
          <w:tcPr>
            <w:tcW w:w="9705" w:type="dxa"/>
            <w:gridSpan w:val="1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普法宣传项目经费</w:t>
            </w:r>
          </w:p>
        </w:tc>
      </w:tr>
      <w:tr>
        <w:tblPrEx>
          <w:tblLayout w:type="fixed"/>
          <w:tblCellMar>
            <w:top w:w="0" w:type="dxa"/>
            <w:left w:w="108" w:type="dxa"/>
            <w:bottom w:w="0" w:type="dxa"/>
            <w:right w:w="108" w:type="dxa"/>
          </w:tblCellMar>
        </w:tblPrEx>
        <w:trPr>
          <w:trHeight w:val="281" w:hRule="atLeast"/>
        </w:trPr>
        <w:tc>
          <w:tcPr>
            <w:tcW w:w="150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主管部门</w:t>
            </w:r>
          </w:p>
        </w:tc>
        <w:tc>
          <w:tcPr>
            <w:tcW w:w="4774"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玛纳斯县人民政府</w:t>
            </w:r>
          </w:p>
        </w:tc>
        <w:tc>
          <w:tcPr>
            <w:tcW w:w="12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实施单位</w:t>
            </w:r>
          </w:p>
        </w:tc>
        <w:tc>
          <w:tcPr>
            <w:tcW w:w="3670"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玛纳斯县司法局</w:t>
            </w:r>
          </w:p>
        </w:tc>
      </w:tr>
      <w:tr>
        <w:tblPrEx>
          <w:tblLayout w:type="fixed"/>
          <w:tblCellMar>
            <w:top w:w="0" w:type="dxa"/>
            <w:left w:w="108" w:type="dxa"/>
            <w:bottom w:w="0" w:type="dxa"/>
            <w:right w:w="108" w:type="dxa"/>
          </w:tblCellMar>
        </w:tblPrEx>
        <w:trPr>
          <w:trHeight w:val="441" w:hRule="atLeast"/>
        </w:trPr>
        <w:tc>
          <w:tcPr>
            <w:tcW w:w="1503" w:type="dxa"/>
            <w:gridSpan w:val="2"/>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项目资金       （万元）</w:t>
            </w:r>
          </w:p>
        </w:tc>
        <w:tc>
          <w:tcPr>
            <w:tcW w:w="21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8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年初预算数</w:t>
            </w:r>
          </w:p>
        </w:tc>
        <w:tc>
          <w:tcPr>
            <w:tcW w:w="16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全年预算数</w:t>
            </w:r>
          </w:p>
        </w:tc>
        <w:tc>
          <w:tcPr>
            <w:tcW w:w="12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全年执行数</w:t>
            </w:r>
          </w:p>
        </w:tc>
        <w:tc>
          <w:tcPr>
            <w:tcW w:w="116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97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执行率</w:t>
            </w:r>
          </w:p>
        </w:tc>
        <w:tc>
          <w:tcPr>
            <w:tcW w:w="152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r>
      <w:tr>
        <w:tblPrEx>
          <w:tblLayout w:type="fixed"/>
          <w:tblCellMar>
            <w:top w:w="0" w:type="dxa"/>
            <w:left w:w="108" w:type="dxa"/>
            <w:bottom w:w="0" w:type="dxa"/>
            <w:right w:w="108" w:type="dxa"/>
          </w:tblCellMar>
        </w:tblPrEx>
        <w:trPr>
          <w:trHeight w:val="281" w:hRule="atLeast"/>
        </w:trPr>
        <w:tc>
          <w:tcPr>
            <w:tcW w:w="1503" w:type="dxa"/>
            <w:gridSpan w:val="2"/>
            <w:vMerge w:val="continue"/>
            <w:tcBorders>
              <w:top w:val="nil"/>
              <w:left w:val="single" w:color="auto" w:sz="6" w:space="0"/>
              <w:bottom w:val="nil"/>
              <w:right w:val="single" w:color="auto" w:sz="6" w:space="0"/>
            </w:tcBorders>
            <w:noWrap/>
            <w:vAlign w:val="center"/>
          </w:tcPr>
          <w:p/>
        </w:tc>
        <w:tc>
          <w:tcPr>
            <w:tcW w:w="2166"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年度资金总额</w:t>
            </w:r>
          </w:p>
        </w:tc>
        <w:tc>
          <w:tcPr>
            <w:tcW w:w="98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8.6</w:t>
            </w:r>
          </w:p>
        </w:tc>
        <w:tc>
          <w:tcPr>
            <w:tcW w:w="16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8.6</w:t>
            </w:r>
          </w:p>
        </w:tc>
        <w:tc>
          <w:tcPr>
            <w:tcW w:w="12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8.6</w:t>
            </w:r>
          </w:p>
        </w:tc>
        <w:tc>
          <w:tcPr>
            <w:tcW w:w="116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97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52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r>
      <w:tr>
        <w:tblPrEx>
          <w:tblLayout w:type="fixed"/>
          <w:tblCellMar>
            <w:top w:w="0" w:type="dxa"/>
            <w:left w:w="108" w:type="dxa"/>
            <w:bottom w:w="0" w:type="dxa"/>
            <w:right w:w="108" w:type="dxa"/>
          </w:tblCellMar>
        </w:tblPrEx>
        <w:trPr>
          <w:trHeight w:val="281" w:hRule="atLeast"/>
        </w:trPr>
        <w:tc>
          <w:tcPr>
            <w:tcW w:w="1503" w:type="dxa"/>
            <w:gridSpan w:val="2"/>
            <w:vMerge w:val="continue"/>
            <w:tcBorders>
              <w:top w:val="nil"/>
              <w:left w:val="single" w:color="auto" w:sz="6" w:space="0"/>
              <w:bottom w:val="nil"/>
              <w:right w:val="single" w:color="auto" w:sz="6" w:space="0"/>
            </w:tcBorders>
            <w:noWrap/>
            <w:vAlign w:val="center"/>
          </w:tcPr>
          <w:p/>
        </w:tc>
        <w:tc>
          <w:tcPr>
            <w:tcW w:w="21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其中：当年财政拨款</w:t>
            </w:r>
          </w:p>
        </w:tc>
        <w:tc>
          <w:tcPr>
            <w:tcW w:w="98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8.6</w:t>
            </w:r>
          </w:p>
        </w:tc>
        <w:tc>
          <w:tcPr>
            <w:tcW w:w="16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8.6</w:t>
            </w:r>
          </w:p>
        </w:tc>
        <w:tc>
          <w:tcPr>
            <w:tcW w:w="12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8.6</w:t>
            </w:r>
          </w:p>
        </w:tc>
        <w:tc>
          <w:tcPr>
            <w:tcW w:w="116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97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52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r>
      <w:tr>
        <w:tblPrEx>
          <w:tblLayout w:type="fixed"/>
          <w:tblCellMar>
            <w:top w:w="0" w:type="dxa"/>
            <w:left w:w="108" w:type="dxa"/>
            <w:bottom w:w="0" w:type="dxa"/>
            <w:right w:w="108" w:type="dxa"/>
          </w:tblCellMar>
        </w:tblPrEx>
        <w:trPr>
          <w:trHeight w:val="281" w:hRule="atLeast"/>
        </w:trPr>
        <w:tc>
          <w:tcPr>
            <w:tcW w:w="1503" w:type="dxa"/>
            <w:gridSpan w:val="2"/>
            <w:vMerge w:val="continue"/>
            <w:tcBorders>
              <w:top w:val="nil"/>
              <w:left w:val="single" w:color="auto" w:sz="6" w:space="0"/>
              <w:bottom w:val="nil"/>
              <w:right w:val="single" w:color="auto" w:sz="6" w:space="0"/>
            </w:tcBorders>
            <w:noWrap/>
            <w:vAlign w:val="center"/>
          </w:tcPr>
          <w:p/>
        </w:tc>
        <w:tc>
          <w:tcPr>
            <w:tcW w:w="21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上年结转资金</w:t>
            </w:r>
          </w:p>
        </w:tc>
        <w:tc>
          <w:tcPr>
            <w:tcW w:w="98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6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2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16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97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52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r>
      <w:tr>
        <w:tblPrEx>
          <w:tblLayout w:type="fixed"/>
          <w:tblCellMar>
            <w:top w:w="0" w:type="dxa"/>
            <w:left w:w="108" w:type="dxa"/>
            <w:bottom w:w="0" w:type="dxa"/>
            <w:right w:w="108" w:type="dxa"/>
          </w:tblCellMar>
        </w:tblPrEx>
        <w:trPr>
          <w:trHeight w:val="281" w:hRule="atLeast"/>
        </w:trPr>
        <w:tc>
          <w:tcPr>
            <w:tcW w:w="1503" w:type="dxa"/>
            <w:gridSpan w:val="2"/>
            <w:vMerge w:val="continue"/>
            <w:tcBorders>
              <w:top w:val="nil"/>
              <w:left w:val="single" w:color="auto" w:sz="6" w:space="0"/>
              <w:bottom w:val="single" w:color="auto" w:sz="6" w:space="0"/>
              <w:right w:val="single" w:color="auto" w:sz="6" w:space="0"/>
            </w:tcBorders>
            <w:noWrap/>
            <w:vAlign w:val="center"/>
          </w:tcPr>
          <w:p/>
        </w:tc>
        <w:tc>
          <w:tcPr>
            <w:tcW w:w="21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其他资金</w:t>
            </w:r>
          </w:p>
        </w:tc>
        <w:tc>
          <w:tcPr>
            <w:tcW w:w="98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6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2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16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97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52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r>
      <w:tr>
        <w:tblPrEx>
          <w:tblLayout w:type="fixed"/>
          <w:tblCellMar>
            <w:top w:w="0" w:type="dxa"/>
            <w:left w:w="108" w:type="dxa"/>
            <w:bottom w:w="0" w:type="dxa"/>
            <w:right w:w="108" w:type="dxa"/>
          </w:tblCellMar>
        </w:tblPrEx>
        <w:trPr>
          <w:trHeight w:val="281" w:hRule="atLeast"/>
        </w:trPr>
        <w:tc>
          <w:tcPr>
            <w:tcW w:w="618"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年度总体目标</w:t>
            </w:r>
          </w:p>
        </w:tc>
        <w:tc>
          <w:tcPr>
            <w:tcW w:w="5659"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预期目标</w:t>
            </w:r>
          </w:p>
        </w:tc>
        <w:tc>
          <w:tcPr>
            <w:tcW w:w="4931" w:type="dxa"/>
            <w:gridSpan w:val="7"/>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实际完成情况</w:t>
            </w:r>
          </w:p>
        </w:tc>
      </w:tr>
      <w:tr>
        <w:tblPrEx>
          <w:tblLayout w:type="fixed"/>
          <w:tblCellMar>
            <w:top w:w="0" w:type="dxa"/>
            <w:left w:w="108" w:type="dxa"/>
            <w:bottom w:w="0" w:type="dxa"/>
            <w:right w:w="108" w:type="dxa"/>
          </w:tblCellMar>
        </w:tblPrEx>
        <w:trPr>
          <w:trHeight w:val="1144" w:hRule="atLeast"/>
        </w:trPr>
        <w:tc>
          <w:tcPr>
            <w:tcW w:w="618" w:type="dxa"/>
            <w:vMerge w:val="continue"/>
            <w:tcBorders>
              <w:top w:val="single" w:color="auto" w:sz="6" w:space="0"/>
              <w:left w:val="single" w:color="auto" w:sz="6" w:space="0"/>
              <w:bottom w:val="single" w:color="auto" w:sz="6" w:space="0"/>
              <w:right w:val="single" w:color="auto" w:sz="6" w:space="0"/>
            </w:tcBorders>
            <w:noWrap/>
            <w:vAlign w:val="center"/>
          </w:tcPr>
          <w:p/>
        </w:tc>
        <w:tc>
          <w:tcPr>
            <w:tcW w:w="5659"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强化组织保障，全面实施“七五”普法规划和决议，调整优化法治建设，充分保障法治建设专项经费，着力加强法治建设队伍；2、加强干部学法用法，加强各级领导干部学法用法工作，认真组织国家工作人员学法考试；3、开展法治宣传教育活动，履行法治宣传教育职责。</w:t>
            </w:r>
          </w:p>
        </w:tc>
        <w:tc>
          <w:tcPr>
            <w:tcW w:w="4931" w:type="dxa"/>
            <w:gridSpan w:val="7"/>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我局对2019年本级财政下达的普法宣传经费项目资金8.6万资金已全部使用完。</w:t>
            </w:r>
          </w:p>
        </w:tc>
      </w:tr>
      <w:tr>
        <w:tblPrEx>
          <w:tblLayout w:type="fixed"/>
          <w:tblCellMar>
            <w:top w:w="0" w:type="dxa"/>
            <w:left w:w="108" w:type="dxa"/>
            <w:bottom w:w="0" w:type="dxa"/>
            <w:right w:w="108" w:type="dxa"/>
          </w:tblCellMar>
        </w:tblPrEx>
        <w:trPr>
          <w:trHeight w:val="281" w:hRule="atLeast"/>
        </w:trPr>
        <w:tc>
          <w:tcPr>
            <w:tcW w:w="618"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绩              效    指    标</w:t>
            </w:r>
          </w:p>
        </w:tc>
        <w:tc>
          <w:tcPr>
            <w:tcW w:w="885"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一级指标</w:t>
            </w:r>
          </w:p>
        </w:tc>
        <w:tc>
          <w:tcPr>
            <w:tcW w:w="1083"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二级指标</w:t>
            </w:r>
          </w:p>
        </w:tc>
        <w:tc>
          <w:tcPr>
            <w:tcW w:w="2725" w:type="dxa"/>
            <w:gridSpan w:val="3"/>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三级指标</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w:t>
            </w:r>
          </w:p>
        </w:tc>
        <w:tc>
          <w:tcPr>
            <w:tcW w:w="764"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876"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c>
          <w:tcPr>
            <w:tcW w:w="2266"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偏差原因分析及改进措施</w:t>
            </w: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vMerge w:val="continue"/>
            <w:tcBorders>
              <w:top w:val="single" w:color="auto" w:sz="6" w:space="0"/>
              <w:left w:val="single" w:color="auto" w:sz="6" w:space="0"/>
              <w:bottom w:val="single" w:color="auto" w:sz="6" w:space="0"/>
              <w:right w:val="single" w:color="auto" w:sz="6" w:space="0"/>
            </w:tcBorders>
            <w:noWrap/>
            <w:vAlign w:val="center"/>
          </w:tcPr>
          <w:p/>
        </w:tc>
        <w:tc>
          <w:tcPr>
            <w:tcW w:w="2725" w:type="dxa"/>
            <w:gridSpan w:val="3"/>
            <w:vMerge w:val="continue"/>
            <w:tcBorders>
              <w:top w:val="single" w:color="auto" w:sz="6" w:space="0"/>
              <w:left w:val="single" w:color="auto" w:sz="6" w:space="0"/>
              <w:bottom w:val="single" w:color="auto" w:sz="6" w:space="0"/>
              <w:right w:val="single" w:color="auto" w:sz="6" w:space="0"/>
            </w:tcBorders>
            <w:noWrap/>
            <w:vAlign w:val="center"/>
          </w:tcP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指标值</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完成值</w:t>
            </w:r>
          </w:p>
        </w:tc>
        <w:tc>
          <w:tcPr>
            <w:tcW w:w="764" w:type="dxa"/>
            <w:gridSpan w:val="2"/>
            <w:vMerge w:val="continue"/>
            <w:tcBorders>
              <w:top w:val="single" w:color="auto" w:sz="6" w:space="0"/>
              <w:left w:val="single" w:color="auto" w:sz="6" w:space="0"/>
              <w:bottom w:val="single" w:color="auto" w:sz="6" w:space="0"/>
              <w:right w:val="single" w:color="auto" w:sz="6" w:space="0"/>
            </w:tcBorders>
            <w:noWrap/>
            <w:vAlign w:val="center"/>
          </w:tcPr>
          <w:p/>
        </w:tc>
        <w:tc>
          <w:tcPr>
            <w:tcW w:w="876" w:type="dxa"/>
            <w:gridSpan w:val="2"/>
            <w:vMerge w:val="continue"/>
            <w:tcBorders>
              <w:top w:val="single" w:color="auto" w:sz="6" w:space="0"/>
              <w:left w:val="single" w:color="auto" w:sz="6" w:space="0"/>
              <w:bottom w:val="single" w:color="auto" w:sz="6" w:space="0"/>
              <w:right w:val="single" w:color="auto" w:sz="6" w:space="0"/>
            </w:tcBorders>
            <w:noWrap/>
            <w:vAlign w:val="center"/>
          </w:tcPr>
          <w:p/>
        </w:tc>
        <w:tc>
          <w:tcPr>
            <w:tcW w:w="2266" w:type="dxa"/>
            <w:gridSpan w:val="2"/>
            <w:vMerge w:val="continue"/>
            <w:tcBorders>
              <w:top w:val="single" w:color="auto" w:sz="6" w:space="0"/>
              <w:left w:val="single" w:color="auto" w:sz="6" w:space="0"/>
              <w:bottom w:val="single" w:color="auto" w:sz="6" w:space="0"/>
              <w:right w:val="single" w:color="auto" w:sz="6" w:space="0"/>
            </w:tcBorders>
            <w:noWrap/>
            <w:vAlign w:val="center"/>
          </w:tcP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产出指标</w:t>
            </w:r>
          </w:p>
          <w:p>
            <w:pPr>
              <w:jc w:val="center"/>
              <w:rPr>
                <w:rFonts w:ascii="宋体" w:cs="Arial"/>
                <w:color w:val="000000"/>
                <w:sz w:val="20"/>
              </w:rPr>
            </w:pPr>
            <w:r>
              <w:rPr>
                <w:rFonts w:hint="eastAsia" w:ascii="宋体" w:cs="Arial"/>
                <w:color w:val="000000"/>
                <w:sz w:val="20"/>
              </w:rPr>
              <w:t>（50分）</w:t>
            </w:r>
          </w:p>
        </w:tc>
        <w:tc>
          <w:tcPr>
            <w:tcW w:w="1083"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数量指标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指标1：司法局所个数</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1个</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1个</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vMerge w:val="continue"/>
            <w:tcBorders>
              <w:top w:val="single" w:color="auto" w:sz="6" w:space="0"/>
              <w:left w:val="single" w:color="auto" w:sz="6" w:space="0"/>
              <w:bottom w:val="single" w:color="auto" w:sz="6" w:space="0"/>
              <w:right w:val="single" w:color="auto" w:sz="6" w:space="0"/>
            </w:tcBorders>
            <w:noWrap/>
            <w:vAlign w:val="center"/>
          </w:tcP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指标2：司法局人员人数</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41人</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41人</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vMerge w:val="continue"/>
            <w:tcBorders>
              <w:top w:val="single" w:color="auto" w:sz="6" w:space="0"/>
              <w:left w:val="single" w:color="auto" w:sz="6" w:space="0"/>
              <w:bottom w:val="single" w:color="auto" w:sz="6" w:space="0"/>
              <w:right w:val="single" w:color="auto" w:sz="6" w:space="0"/>
            </w:tcBorders>
            <w:noWrap/>
            <w:vAlign w:val="center"/>
          </w:tcP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指标3：各乡镇司法所人数</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20人</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20人</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742" w:type="dxa"/>
            <w:tcBorders>
              <w:top w:val="single" w:color="auto" w:sz="6" w:space="0"/>
              <w:left w:val="single" w:color="auto" w:sz="6" w:space="0"/>
              <w:bottom w:val="single" w:color="auto" w:sz="6" w:space="0"/>
              <w:right w:val="nil"/>
            </w:tcBorders>
            <w:noWrap/>
            <w:vAlign w:val="center"/>
          </w:tcPr>
          <w:p>
            <w:pPr>
              <w:jc w:val="center"/>
              <w:rPr>
                <w:rFonts w:ascii="宋体"/>
                <w:color w:val="000000"/>
                <w:sz w:val="20"/>
              </w:rPr>
            </w:pPr>
          </w:p>
        </w:tc>
        <w:tc>
          <w:tcPr>
            <w:tcW w:w="1524" w:type="dxa"/>
            <w:tcBorders>
              <w:top w:val="single" w:color="auto" w:sz="6" w:space="0"/>
              <w:left w:val="nil"/>
              <w:bottom w:val="single" w:color="auto" w:sz="6" w:space="0"/>
              <w:right w:val="single" w:color="auto" w:sz="6" w:space="0"/>
            </w:tcBorders>
            <w:noWrap/>
            <w:vAlign w:val="center"/>
          </w:tcPr>
          <w:p>
            <w:pPr>
              <w:jc w:val="center"/>
              <w:rPr>
                <w:rFonts w:ascii="宋体"/>
                <w:color w:val="000000"/>
                <w:sz w:val="20"/>
              </w:rPr>
            </w:pP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vMerge w:val="continue"/>
            <w:tcBorders>
              <w:top w:val="single" w:color="auto" w:sz="6" w:space="0"/>
              <w:left w:val="single" w:color="auto" w:sz="6" w:space="0"/>
              <w:bottom w:val="single" w:color="auto" w:sz="6" w:space="0"/>
              <w:right w:val="single" w:color="auto" w:sz="6" w:space="0"/>
            </w:tcBorders>
            <w:noWrap/>
            <w:vAlign w:val="center"/>
          </w:tcP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指标4：调委会人数</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96人</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96人</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870"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质量指标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指标1：指标1：每年度“七五”普法工作经费保障标准</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≧0.7元/人（按常住人口计算）</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0.7元/人（按常住人口计算）</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时效指标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指标1：预算执行率</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100%</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100%</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成本指标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指标1：普法宣传项目办公费</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6.6万元</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6.6万元</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vMerge w:val="continue"/>
            <w:tcBorders>
              <w:top w:val="single" w:color="auto" w:sz="6" w:space="0"/>
              <w:left w:val="single" w:color="auto" w:sz="6" w:space="0"/>
              <w:bottom w:val="single" w:color="auto" w:sz="6" w:space="0"/>
              <w:right w:val="single" w:color="auto" w:sz="6" w:space="0"/>
            </w:tcBorders>
            <w:noWrap/>
            <w:vAlign w:val="center"/>
          </w:tcP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指标2：普法宣传项目培训费</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2万元</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2万元</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44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效益指标</w:t>
            </w:r>
          </w:p>
          <w:p>
            <w:pPr>
              <w:jc w:val="center"/>
              <w:rPr>
                <w:rFonts w:ascii="宋体" w:cs="Arial"/>
                <w:color w:val="000000"/>
                <w:sz w:val="20"/>
              </w:rPr>
            </w:pPr>
            <w:r>
              <w:rPr>
                <w:rFonts w:hint="eastAsia" w:ascii="宋体" w:cs="Arial"/>
                <w:color w:val="000000"/>
                <w:sz w:val="20"/>
              </w:rPr>
              <w:t>（30分）</w:t>
            </w:r>
          </w:p>
        </w:tc>
        <w:tc>
          <w:tcPr>
            <w:tcW w:w="1083"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经济效益指标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44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社会效益指标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指标1：为社会稳定和经济发展提供法律保障</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有效保障</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有效保障</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15</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44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生态效益指标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449"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single" w:color="auto" w:sz="6" w:space="0"/>
              <w:left w:val="single" w:color="auto" w:sz="6" w:space="0"/>
              <w:bottom w:val="single" w:color="auto" w:sz="6" w:space="0"/>
              <w:right w:val="single" w:color="auto" w:sz="6" w:space="0"/>
            </w:tcBorders>
            <w:noWrap/>
            <w:vAlign w:val="center"/>
          </w:tcPr>
          <w:p/>
        </w:tc>
        <w:tc>
          <w:tcPr>
            <w:tcW w:w="1083"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可持续影响指标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 xml:space="preserve">指标1：公众安全感和满意度，做到人民群众满意 </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有效提高</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有效提高</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15</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281"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满意度指标（10分）</w:t>
            </w:r>
          </w:p>
        </w:tc>
        <w:tc>
          <w:tcPr>
            <w:tcW w:w="1083"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服务对象满意度指标</w:t>
            </w: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指标1：全县群众满意度</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≥98%</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98%</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590" w:hRule="atLeast"/>
        </w:trPr>
        <w:tc>
          <w:tcPr>
            <w:tcW w:w="618" w:type="dxa"/>
            <w:vMerge w:val="continue"/>
            <w:tcBorders>
              <w:top w:val="nil"/>
              <w:left w:val="single" w:color="auto" w:sz="6" w:space="0"/>
              <w:bottom w:val="nil"/>
              <w:right w:val="single" w:color="auto" w:sz="6" w:space="0"/>
            </w:tcBorders>
            <w:noWrap/>
            <w:vAlign w:val="center"/>
          </w:tcPr>
          <w:p/>
        </w:tc>
        <w:tc>
          <w:tcPr>
            <w:tcW w:w="885" w:type="dxa"/>
            <w:vMerge w:val="continue"/>
            <w:tcBorders>
              <w:top w:val="nil"/>
              <w:left w:val="single" w:color="auto" w:sz="6" w:space="0"/>
              <w:bottom w:val="nil"/>
              <w:right w:val="single" w:color="auto" w:sz="6" w:space="0"/>
            </w:tcBorders>
            <w:noWrap/>
            <w:vAlign w:val="center"/>
          </w:tcPr>
          <w:p/>
        </w:tc>
        <w:tc>
          <w:tcPr>
            <w:tcW w:w="1083" w:type="dxa"/>
            <w:vMerge w:val="continue"/>
            <w:tcBorders>
              <w:top w:val="single" w:color="auto" w:sz="6" w:space="0"/>
              <w:left w:val="single" w:color="auto" w:sz="6" w:space="0"/>
              <w:bottom w:val="single" w:color="auto" w:sz="6" w:space="0"/>
              <w:right w:val="single" w:color="auto" w:sz="6" w:space="0"/>
            </w:tcBorders>
            <w:noWrap/>
            <w:vAlign w:val="center"/>
          </w:tcPr>
          <w:p/>
        </w:tc>
        <w:tc>
          <w:tcPr>
            <w:tcW w:w="2725"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指标2：社会满意度</w:t>
            </w:r>
          </w:p>
        </w:tc>
        <w:tc>
          <w:tcPr>
            <w:tcW w:w="96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sz w:val="20"/>
              </w:rPr>
            </w:pPr>
            <w:r>
              <w:rPr>
                <w:rFonts w:hint="eastAsia" w:ascii="宋体" w:cs="Arial"/>
                <w:sz w:val="20"/>
              </w:rPr>
              <w:t>≥98%</w:t>
            </w:r>
          </w:p>
        </w:tc>
        <w:tc>
          <w:tcPr>
            <w:tcW w:w="1025"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98%</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281" w:hRule="atLeast"/>
        </w:trPr>
        <w:tc>
          <w:tcPr>
            <w:tcW w:w="7302" w:type="dxa"/>
            <w:gridSpan w:val="8"/>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总分</w:t>
            </w: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293" w:hRule="atLeast"/>
        </w:trPr>
        <w:tc>
          <w:tcPr>
            <w:tcW w:w="7302" w:type="dxa"/>
            <w:gridSpan w:val="8"/>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76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87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226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bl>
    <w:p>
      <w:pPr>
        <w:spacing w:line="600" w:lineRule="exact"/>
        <w:ind w:firstLine="640"/>
        <w:jc w:val="left"/>
        <w:rPr>
          <w:rFonts w:ascii="仿宋" w:eastAsia="仿宋"/>
          <w:kern w:val="0"/>
          <w:sz w:val="28"/>
          <w:szCs w:val="28"/>
          <w:highlight w:val="yellow"/>
        </w:rPr>
      </w:pPr>
      <w:r>
        <w:rPr>
          <w:rFonts w:hint="eastAsia" w:ascii="仿宋" w:eastAsia="仿宋" w:cs="Arial"/>
          <w:kern w:val="0"/>
          <w:sz w:val="28"/>
          <w:szCs w:val="28"/>
          <w:highlight w:val="yellow"/>
        </w:rPr>
        <w:t>3.社区矫正</w:t>
      </w:r>
      <w:r>
        <w:rPr>
          <w:rFonts w:hint="eastAsia" w:ascii="仿宋" w:eastAsia="仿宋"/>
          <w:kern w:val="0"/>
          <w:sz w:val="28"/>
          <w:szCs w:val="28"/>
          <w:highlight w:val="yellow"/>
        </w:rPr>
        <w:t>项目绩效自评综述：根据年初设定的绩效目标，</w:t>
      </w:r>
      <w:r>
        <w:rPr>
          <w:rFonts w:hint="eastAsia" w:ascii="仿宋" w:eastAsia="仿宋" w:cs="Arial"/>
          <w:kern w:val="0"/>
          <w:sz w:val="28"/>
          <w:szCs w:val="28"/>
          <w:highlight w:val="yellow"/>
        </w:rPr>
        <w:t>社区矫正</w:t>
      </w:r>
      <w:r>
        <w:rPr>
          <w:rFonts w:hint="eastAsia" w:ascii="仿宋" w:eastAsia="仿宋"/>
          <w:kern w:val="0"/>
          <w:sz w:val="28"/>
          <w:szCs w:val="28"/>
          <w:highlight w:val="yellow"/>
        </w:rPr>
        <w:t>项目绩效自评得分为100分。项目全年预算数为7万元，执行数为7万元，完成预算的100%。</w:t>
      </w:r>
    </w:p>
    <w:tbl>
      <w:tblPr>
        <w:tblStyle w:val="8"/>
        <w:tblW w:w="12362" w:type="dxa"/>
        <w:tblInd w:w="0" w:type="dxa"/>
        <w:tblLayout w:type="fixed"/>
        <w:tblCellMar>
          <w:top w:w="0" w:type="dxa"/>
          <w:left w:w="108" w:type="dxa"/>
          <w:bottom w:w="0" w:type="dxa"/>
          <w:right w:w="108" w:type="dxa"/>
        </w:tblCellMar>
      </w:tblPr>
      <w:tblGrid>
        <w:gridCol w:w="554"/>
        <w:gridCol w:w="900"/>
        <w:gridCol w:w="1650"/>
        <w:gridCol w:w="593"/>
        <w:gridCol w:w="1342"/>
        <w:gridCol w:w="604"/>
        <w:gridCol w:w="1046"/>
        <w:gridCol w:w="1050"/>
        <w:gridCol w:w="236"/>
        <w:gridCol w:w="488"/>
        <w:gridCol w:w="389"/>
        <w:gridCol w:w="36"/>
        <w:gridCol w:w="393"/>
        <w:gridCol w:w="228"/>
        <w:gridCol w:w="149"/>
        <w:gridCol w:w="390"/>
        <w:gridCol w:w="393"/>
        <w:gridCol w:w="489"/>
        <w:gridCol w:w="393"/>
        <w:gridCol w:w="646"/>
        <w:gridCol w:w="393"/>
      </w:tblGrid>
      <w:tr>
        <w:tblPrEx>
          <w:tblLayout w:type="fixed"/>
          <w:tblCellMar>
            <w:top w:w="0" w:type="dxa"/>
            <w:left w:w="108" w:type="dxa"/>
            <w:bottom w:w="0" w:type="dxa"/>
            <w:right w:w="108" w:type="dxa"/>
          </w:tblCellMar>
        </w:tblPrEx>
        <w:trPr>
          <w:trHeight w:val="114" w:hRule="atLeast"/>
        </w:trPr>
        <w:tc>
          <w:tcPr>
            <w:tcW w:w="554" w:type="dxa"/>
            <w:tcBorders>
              <w:top w:val="nil"/>
              <w:left w:val="nil"/>
              <w:bottom w:val="nil"/>
              <w:right w:val="nil"/>
            </w:tcBorders>
            <w:noWrap/>
            <w:vAlign w:val="center"/>
          </w:tcPr>
          <w:p>
            <w:pPr>
              <w:rPr>
                <w:rFonts w:ascii="宋体" w:cs="Arial"/>
                <w:color w:val="000000"/>
                <w:sz w:val="20"/>
              </w:rPr>
            </w:pPr>
          </w:p>
        </w:tc>
        <w:tc>
          <w:tcPr>
            <w:tcW w:w="900" w:type="dxa"/>
            <w:tcBorders>
              <w:top w:val="nil"/>
              <w:left w:val="nil"/>
              <w:bottom w:val="nil"/>
              <w:right w:val="nil"/>
            </w:tcBorders>
            <w:noWrap/>
            <w:vAlign w:val="center"/>
          </w:tcPr>
          <w:p>
            <w:pPr>
              <w:rPr>
                <w:sz w:val="24"/>
              </w:rPr>
            </w:pPr>
          </w:p>
        </w:tc>
        <w:tc>
          <w:tcPr>
            <w:tcW w:w="1650" w:type="dxa"/>
            <w:tcBorders>
              <w:top w:val="nil"/>
              <w:left w:val="nil"/>
              <w:bottom w:val="nil"/>
              <w:right w:val="nil"/>
            </w:tcBorders>
            <w:noWrap/>
            <w:vAlign w:val="center"/>
          </w:tcPr>
          <w:p>
            <w:pPr>
              <w:rPr>
                <w:sz w:val="24"/>
              </w:rPr>
            </w:pPr>
          </w:p>
        </w:tc>
        <w:tc>
          <w:tcPr>
            <w:tcW w:w="593" w:type="dxa"/>
            <w:tcBorders>
              <w:top w:val="nil"/>
              <w:left w:val="nil"/>
              <w:bottom w:val="nil"/>
              <w:right w:val="nil"/>
            </w:tcBorders>
            <w:noWrap/>
            <w:vAlign w:val="center"/>
          </w:tcPr>
          <w:p>
            <w:pPr>
              <w:rPr>
                <w:sz w:val="24"/>
              </w:rPr>
            </w:pPr>
          </w:p>
        </w:tc>
        <w:tc>
          <w:tcPr>
            <w:tcW w:w="1342" w:type="dxa"/>
            <w:tcBorders>
              <w:top w:val="nil"/>
              <w:left w:val="nil"/>
              <w:bottom w:val="nil"/>
              <w:right w:val="nil"/>
            </w:tcBorders>
            <w:noWrap/>
            <w:vAlign w:val="center"/>
          </w:tcPr>
          <w:p>
            <w:pPr>
              <w:rPr>
                <w:sz w:val="24"/>
              </w:rPr>
            </w:pPr>
          </w:p>
        </w:tc>
        <w:tc>
          <w:tcPr>
            <w:tcW w:w="604" w:type="dxa"/>
            <w:tcBorders>
              <w:top w:val="nil"/>
              <w:left w:val="nil"/>
              <w:bottom w:val="nil"/>
              <w:right w:val="nil"/>
            </w:tcBorders>
            <w:noWrap/>
            <w:vAlign w:val="center"/>
          </w:tcPr>
          <w:p>
            <w:pPr>
              <w:rPr>
                <w:sz w:val="24"/>
              </w:rPr>
            </w:pPr>
          </w:p>
        </w:tc>
        <w:tc>
          <w:tcPr>
            <w:tcW w:w="1046" w:type="dxa"/>
            <w:tcBorders>
              <w:top w:val="nil"/>
              <w:left w:val="nil"/>
              <w:bottom w:val="nil"/>
              <w:right w:val="nil"/>
            </w:tcBorders>
            <w:noWrap/>
            <w:vAlign w:val="center"/>
          </w:tcPr>
          <w:p>
            <w:pPr>
              <w:rPr>
                <w:sz w:val="24"/>
              </w:rPr>
            </w:pPr>
          </w:p>
        </w:tc>
        <w:tc>
          <w:tcPr>
            <w:tcW w:w="1050" w:type="dxa"/>
            <w:tcBorders>
              <w:top w:val="nil"/>
              <w:left w:val="nil"/>
              <w:bottom w:val="nil"/>
              <w:right w:val="nil"/>
            </w:tcBorders>
            <w:noWrap/>
            <w:vAlign w:val="center"/>
          </w:tcPr>
          <w:p>
            <w:pPr>
              <w:rPr>
                <w:sz w:val="24"/>
              </w:rPr>
            </w:pPr>
          </w:p>
        </w:tc>
        <w:tc>
          <w:tcPr>
            <w:tcW w:w="236" w:type="dxa"/>
            <w:tcBorders>
              <w:top w:val="nil"/>
              <w:left w:val="nil"/>
              <w:bottom w:val="nil"/>
              <w:right w:val="nil"/>
            </w:tcBorders>
            <w:noWrap/>
            <w:vAlign w:val="center"/>
          </w:tcPr>
          <w:p>
            <w:pPr>
              <w:rPr>
                <w:sz w:val="24"/>
              </w:rPr>
            </w:pPr>
          </w:p>
        </w:tc>
        <w:tc>
          <w:tcPr>
            <w:tcW w:w="877" w:type="dxa"/>
            <w:gridSpan w:val="2"/>
            <w:tcBorders>
              <w:top w:val="nil"/>
              <w:left w:val="nil"/>
              <w:bottom w:val="nil"/>
              <w:right w:val="nil"/>
            </w:tcBorders>
            <w:noWrap/>
            <w:vAlign w:val="center"/>
          </w:tcPr>
          <w:p>
            <w:pPr>
              <w:rPr>
                <w:sz w:val="24"/>
              </w:rPr>
            </w:pPr>
          </w:p>
        </w:tc>
        <w:tc>
          <w:tcPr>
            <w:tcW w:w="429" w:type="dxa"/>
            <w:gridSpan w:val="2"/>
            <w:tcBorders>
              <w:top w:val="nil"/>
              <w:left w:val="nil"/>
              <w:bottom w:val="nil"/>
              <w:right w:val="nil"/>
            </w:tcBorders>
            <w:noWrap/>
            <w:vAlign w:val="center"/>
          </w:tcPr>
          <w:p>
            <w:pPr>
              <w:rPr>
                <w:sz w:val="24"/>
              </w:rPr>
            </w:pPr>
          </w:p>
        </w:tc>
        <w:tc>
          <w:tcPr>
            <w:tcW w:w="377" w:type="dxa"/>
            <w:gridSpan w:val="2"/>
            <w:tcBorders>
              <w:top w:val="nil"/>
              <w:left w:val="nil"/>
              <w:bottom w:val="nil"/>
              <w:right w:val="nil"/>
            </w:tcBorders>
            <w:noWrap/>
            <w:vAlign w:val="center"/>
          </w:tcPr>
          <w:p>
            <w:pPr>
              <w:rPr>
                <w:sz w:val="24"/>
              </w:rPr>
            </w:pPr>
          </w:p>
        </w:tc>
        <w:tc>
          <w:tcPr>
            <w:tcW w:w="783" w:type="dxa"/>
            <w:gridSpan w:val="2"/>
            <w:tcBorders>
              <w:top w:val="nil"/>
              <w:left w:val="nil"/>
              <w:bottom w:val="nil"/>
              <w:right w:val="nil"/>
            </w:tcBorders>
            <w:noWrap/>
            <w:vAlign w:val="center"/>
          </w:tcPr>
          <w:p>
            <w:pPr>
              <w:rPr>
                <w:sz w:val="24"/>
              </w:rPr>
            </w:pPr>
          </w:p>
        </w:tc>
        <w:tc>
          <w:tcPr>
            <w:tcW w:w="882" w:type="dxa"/>
            <w:gridSpan w:val="2"/>
            <w:tcBorders>
              <w:top w:val="nil"/>
              <w:left w:val="nil"/>
              <w:bottom w:val="nil"/>
              <w:right w:val="nil"/>
            </w:tcBorders>
            <w:noWrap/>
            <w:vAlign w:val="center"/>
          </w:tcPr>
          <w:p>
            <w:pPr>
              <w:rPr>
                <w:sz w:val="24"/>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3" w:hRule="atLeast"/>
        </w:trPr>
        <w:tc>
          <w:tcPr>
            <w:tcW w:w="10930" w:type="dxa"/>
            <w:gridSpan w:val="18"/>
            <w:tcBorders>
              <w:top w:val="nil"/>
              <w:left w:val="nil"/>
              <w:bottom w:val="nil"/>
              <w:right w:val="nil"/>
            </w:tcBorders>
            <w:noWrap/>
            <w:vAlign w:val="center"/>
          </w:tcPr>
          <w:p>
            <w:pPr>
              <w:jc w:val="center"/>
              <w:rPr>
                <w:rFonts w:ascii="宋体" w:cs="Arial"/>
                <w:b/>
                <w:color w:val="000000"/>
                <w:sz w:val="32"/>
              </w:rPr>
            </w:pPr>
            <w:r>
              <w:rPr>
                <w:rFonts w:hint="eastAsia" w:ascii="宋体" w:cs="Arial"/>
                <w:b/>
                <w:color w:val="000000"/>
                <w:sz w:val="32"/>
              </w:rPr>
              <w:t>项目支出绩效自评表</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260" w:hRule="atLeast"/>
        </w:trPr>
        <w:tc>
          <w:tcPr>
            <w:tcW w:w="10930" w:type="dxa"/>
            <w:gridSpan w:val="18"/>
            <w:tcBorders>
              <w:top w:val="nil"/>
              <w:left w:val="nil"/>
              <w:bottom w:val="nil"/>
              <w:right w:val="nil"/>
            </w:tcBorders>
            <w:noWrap/>
            <w:vAlign w:val="center"/>
          </w:tcPr>
          <w:p>
            <w:pPr>
              <w:jc w:val="center"/>
              <w:rPr>
                <w:rFonts w:ascii="宋体" w:cs="Arial"/>
                <w:color w:val="000000"/>
                <w:sz w:val="20"/>
              </w:rPr>
            </w:pPr>
            <w:r>
              <w:rPr>
                <w:rFonts w:hint="eastAsia" w:ascii="宋体" w:cs="Arial"/>
                <w:color w:val="000000"/>
                <w:sz w:val="20"/>
              </w:rPr>
              <w:t>（2019年度）</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145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项目名称</w:t>
            </w:r>
          </w:p>
        </w:tc>
        <w:tc>
          <w:tcPr>
            <w:tcW w:w="9476" w:type="dxa"/>
            <w:gridSpan w:val="1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社区矫正项目资金</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145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主管部门</w:t>
            </w:r>
          </w:p>
        </w:tc>
        <w:tc>
          <w:tcPr>
            <w:tcW w:w="5235"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玛纳斯县人民政府</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实施单位</w:t>
            </w:r>
          </w:p>
        </w:tc>
        <w:tc>
          <w:tcPr>
            <w:tcW w:w="3191" w:type="dxa"/>
            <w:gridSpan w:val="10"/>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玛纳斯县司法局</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1454" w:type="dxa"/>
            <w:gridSpan w:val="2"/>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项目资金       （万元）</w:t>
            </w:r>
          </w:p>
        </w:tc>
        <w:tc>
          <w:tcPr>
            <w:tcW w:w="224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34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年初预算数</w:t>
            </w:r>
          </w:p>
        </w:tc>
        <w:tc>
          <w:tcPr>
            <w:tcW w:w="16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全年预算数</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全年执行数</w:t>
            </w:r>
          </w:p>
        </w:tc>
        <w:tc>
          <w:tcPr>
            <w:tcW w:w="1149"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116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执行率</w:t>
            </w:r>
          </w:p>
        </w:tc>
        <w:tc>
          <w:tcPr>
            <w:tcW w:w="882"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1454" w:type="dxa"/>
            <w:gridSpan w:val="2"/>
            <w:vMerge w:val="continue"/>
            <w:tcBorders>
              <w:top w:val="nil"/>
              <w:left w:val="single" w:color="auto" w:sz="6" w:space="0"/>
              <w:bottom w:val="nil"/>
              <w:right w:val="single" w:color="auto" w:sz="6" w:space="0"/>
            </w:tcBorders>
            <w:noWrap/>
            <w:vAlign w:val="center"/>
          </w:tcPr>
          <w:p/>
        </w:tc>
        <w:tc>
          <w:tcPr>
            <w:tcW w:w="2243"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年度资金总额</w:t>
            </w:r>
          </w:p>
        </w:tc>
        <w:tc>
          <w:tcPr>
            <w:tcW w:w="134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6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149"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16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w:t>
            </w:r>
          </w:p>
        </w:tc>
        <w:tc>
          <w:tcPr>
            <w:tcW w:w="882"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39" w:type="dxa"/>
            <w:gridSpan w:val="2"/>
            <w:tcBorders>
              <w:top w:val="nil"/>
              <w:left w:val="nil"/>
              <w:bottom w:val="nil"/>
              <w:right w:val="nil"/>
            </w:tcBorders>
            <w:noWrap/>
            <w:vAlign w:val="center"/>
          </w:tcPr>
          <w:p>
            <w:pPr>
              <w:rPr>
                <w:rFonts w:ascii="宋体"/>
                <w:color w:val="000000"/>
                <w:sz w:val="22"/>
              </w:rPr>
            </w:pPr>
          </w:p>
        </w:tc>
      </w:tr>
      <w:tr>
        <w:tblPrEx>
          <w:tblLayout w:type="fixed"/>
          <w:tblCellMar>
            <w:top w:w="0" w:type="dxa"/>
            <w:left w:w="108" w:type="dxa"/>
            <w:bottom w:w="0" w:type="dxa"/>
            <w:right w:w="108" w:type="dxa"/>
          </w:tblCellMar>
        </w:tblPrEx>
        <w:trPr>
          <w:gridAfter w:val="1"/>
          <w:wAfter w:w="393" w:type="dxa"/>
          <w:trHeight w:val="90" w:hRule="atLeast"/>
        </w:trPr>
        <w:tc>
          <w:tcPr>
            <w:tcW w:w="1454" w:type="dxa"/>
            <w:gridSpan w:val="2"/>
            <w:vMerge w:val="continue"/>
            <w:tcBorders>
              <w:top w:val="nil"/>
              <w:left w:val="single" w:color="auto" w:sz="6" w:space="0"/>
              <w:bottom w:val="nil"/>
              <w:right w:val="single" w:color="auto" w:sz="6" w:space="0"/>
            </w:tcBorders>
            <w:noWrap/>
            <w:vAlign w:val="center"/>
          </w:tcPr>
          <w:p/>
        </w:tc>
        <w:tc>
          <w:tcPr>
            <w:tcW w:w="224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其中：当年财政拨款</w:t>
            </w:r>
          </w:p>
        </w:tc>
        <w:tc>
          <w:tcPr>
            <w:tcW w:w="134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6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149"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16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w:t>
            </w:r>
          </w:p>
        </w:tc>
        <w:tc>
          <w:tcPr>
            <w:tcW w:w="882"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39" w:type="dxa"/>
            <w:gridSpan w:val="2"/>
            <w:tcBorders>
              <w:top w:val="nil"/>
              <w:left w:val="nil"/>
              <w:bottom w:val="nil"/>
              <w:right w:val="nil"/>
            </w:tcBorders>
            <w:noWrap/>
            <w:vAlign w:val="center"/>
          </w:tcPr>
          <w:p>
            <w:pPr>
              <w:rPr>
                <w:rFonts w:ascii="宋体"/>
                <w:color w:val="000000"/>
                <w:sz w:val="22"/>
              </w:rPr>
            </w:pPr>
          </w:p>
        </w:tc>
      </w:tr>
      <w:tr>
        <w:tblPrEx>
          <w:tblLayout w:type="fixed"/>
          <w:tblCellMar>
            <w:top w:w="0" w:type="dxa"/>
            <w:left w:w="108" w:type="dxa"/>
            <w:bottom w:w="0" w:type="dxa"/>
            <w:right w:w="108" w:type="dxa"/>
          </w:tblCellMar>
        </w:tblPrEx>
        <w:trPr>
          <w:gridAfter w:val="1"/>
          <w:wAfter w:w="393" w:type="dxa"/>
          <w:trHeight w:val="90" w:hRule="atLeast"/>
        </w:trPr>
        <w:tc>
          <w:tcPr>
            <w:tcW w:w="1454" w:type="dxa"/>
            <w:gridSpan w:val="2"/>
            <w:vMerge w:val="continue"/>
            <w:tcBorders>
              <w:top w:val="nil"/>
              <w:left w:val="single" w:color="auto" w:sz="6" w:space="0"/>
              <w:bottom w:val="nil"/>
              <w:right w:val="single" w:color="auto" w:sz="6" w:space="0"/>
            </w:tcBorders>
            <w:noWrap/>
            <w:vAlign w:val="center"/>
          </w:tcPr>
          <w:p/>
        </w:tc>
        <w:tc>
          <w:tcPr>
            <w:tcW w:w="224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上年结转资金</w:t>
            </w:r>
          </w:p>
        </w:tc>
        <w:tc>
          <w:tcPr>
            <w:tcW w:w="134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6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149"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116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882"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1454" w:type="dxa"/>
            <w:gridSpan w:val="2"/>
            <w:vMerge w:val="continue"/>
            <w:tcBorders>
              <w:top w:val="nil"/>
              <w:left w:val="single" w:color="auto" w:sz="6" w:space="0"/>
              <w:bottom w:val="single" w:color="auto" w:sz="6" w:space="0"/>
              <w:right w:val="single" w:color="auto" w:sz="6" w:space="0"/>
            </w:tcBorders>
            <w:noWrap/>
            <w:vAlign w:val="center"/>
          </w:tcPr>
          <w:p/>
        </w:tc>
        <w:tc>
          <w:tcPr>
            <w:tcW w:w="2243"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其他资金</w:t>
            </w:r>
          </w:p>
        </w:tc>
        <w:tc>
          <w:tcPr>
            <w:tcW w:w="134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65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149"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116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882"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年度总体目标</w:t>
            </w:r>
          </w:p>
        </w:tc>
        <w:tc>
          <w:tcPr>
            <w:tcW w:w="6135"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预期目标</w:t>
            </w:r>
          </w:p>
        </w:tc>
        <w:tc>
          <w:tcPr>
            <w:tcW w:w="4241" w:type="dxa"/>
            <w:gridSpan w:val="11"/>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实际完成情况</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308" w:hRule="atLeast"/>
        </w:trPr>
        <w:tc>
          <w:tcPr>
            <w:tcW w:w="554" w:type="dxa"/>
            <w:vMerge w:val="continue"/>
            <w:tcBorders>
              <w:top w:val="single" w:color="auto" w:sz="6" w:space="0"/>
              <w:left w:val="single" w:color="auto" w:sz="6" w:space="0"/>
              <w:bottom w:val="single" w:color="auto" w:sz="6" w:space="0"/>
              <w:right w:val="single" w:color="auto" w:sz="6" w:space="0"/>
            </w:tcBorders>
            <w:noWrap/>
            <w:vAlign w:val="center"/>
          </w:tcPr>
          <w:p/>
        </w:tc>
        <w:tc>
          <w:tcPr>
            <w:tcW w:w="6135" w:type="dxa"/>
            <w:gridSpan w:val="6"/>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通过对社区矫正项目支出的绩效评价，了解该项目资金的收入、支出、管理和使用情况，考核该项目资金投入是否达到预期目通过对社区矫正项目支出的绩效评价，了解该项目资金的收入、支出、管理和使用情况，考核该项目资金投入是否达到预期目标，为财政部门提供决策依据，提供财政资金的使用效率。   </w:t>
            </w:r>
          </w:p>
        </w:tc>
        <w:tc>
          <w:tcPr>
            <w:tcW w:w="4241" w:type="dxa"/>
            <w:gridSpan w:val="11"/>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围绕县委和政府的中心任务开展工作，促进社会和谐、经济发展、社会文明进步，为维护改革发展稳定的大局服务。加大对特殊人群的管理，达到无脱管、无漏管现象，重新犯罪率为零的目标。 </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绩              效    指    标</w:t>
            </w:r>
          </w:p>
        </w:tc>
        <w:tc>
          <w:tcPr>
            <w:tcW w:w="900"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一级指标</w:t>
            </w:r>
          </w:p>
        </w:tc>
        <w:tc>
          <w:tcPr>
            <w:tcW w:w="1650"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二级指标</w:t>
            </w:r>
          </w:p>
        </w:tc>
        <w:tc>
          <w:tcPr>
            <w:tcW w:w="2539" w:type="dxa"/>
            <w:gridSpan w:val="3"/>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三级指标</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w:t>
            </w:r>
          </w:p>
        </w:tc>
        <w:tc>
          <w:tcPr>
            <w:tcW w:w="724" w:type="dxa"/>
            <w:gridSpan w:val="2"/>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1046" w:type="dxa"/>
            <w:gridSpan w:val="4"/>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c>
          <w:tcPr>
            <w:tcW w:w="1421" w:type="dxa"/>
            <w:gridSpan w:val="4"/>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偏差原因分析及改进措施</w:t>
            </w: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single" w:color="auto" w:sz="6" w:space="0"/>
              <w:right w:val="single" w:color="auto" w:sz="6" w:space="0"/>
            </w:tcBorders>
            <w:noWrap/>
            <w:vAlign w:val="center"/>
          </w:tcPr>
          <w:p/>
        </w:tc>
        <w:tc>
          <w:tcPr>
            <w:tcW w:w="1650" w:type="dxa"/>
            <w:vMerge w:val="continue"/>
            <w:tcBorders>
              <w:top w:val="nil"/>
              <w:left w:val="single" w:color="auto" w:sz="6" w:space="0"/>
              <w:bottom w:val="single" w:color="auto" w:sz="6" w:space="0"/>
              <w:right w:val="single" w:color="auto" w:sz="6" w:space="0"/>
            </w:tcBorders>
            <w:noWrap/>
            <w:vAlign w:val="center"/>
          </w:tcPr>
          <w:p/>
        </w:tc>
        <w:tc>
          <w:tcPr>
            <w:tcW w:w="2539" w:type="dxa"/>
            <w:gridSpan w:val="3"/>
            <w:vMerge w:val="continue"/>
            <w:tcBorders>
              <w:top w:val="nil"/>
              <w:left w:val="single" w:color="auto" w:sz="6" w:space="0"/>
              <w:bottom w:val="single" w:color="auto" w:sz="6" w:space="0"/>
              <w:right w:val="single" w:color="auto" w:sz="6" w:space="0"/>
            </w:tcBorders>
            <w:noWrap/>
            <w:vAlign w:val="center"/>
          </w:tcP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指标值</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完成值</w:t>
            </w:r>
          </w:p>
        </w:tc>
        <w:tc>
          <w:tcPr>
            <w:tcW w:w="724" w:type="dxa"/>
            <w:gridSpan w:val="2"/>
            <w:vMerge w:val="continue"/>
            <w:tcBorders>
              <w:top w:val="nil"/>
              <w:left w:val="single" w:color="auto" w:sz="6" w:space="0"/>
              <w:bottom w:val="single" w:color="auto" w:sz="6" w:space="0"/>
              <w:right w:val="single" w:color="auto" w:sz="6" w:space="0"/>
            </w:tcBorders>
            <w:noWrap/>
            <w:vAlign w:val="center"/>
          </w:tcPr>
          <w:p/>
        </w:tc>
        <w:tc>
          <w:tcPr>
            <w:tcW w:w="1046" w:type="dxa"/>
            <w:gridSpan w:val="4"/>
            <w:vMerge w:val="continue"/>
            <w:tcBorders>
              <w:top w:val="nil"/>
              <w:left w:val="single" w:color="auto" w:sz="6" w:space="0"/>
              <w:bottom w:val="single" w:color="auto" w:sz="6" w:space="0"/>
              <w:right w:val="single" w:color="auto" w:sz="6" w:space="0"/>
            </w:tcBorders>
            <w:noWrap/>
            <w:vAlign w:val="center"/>
          </w:tcPr>
          <w:p/>
        </w:tc>
        <w:tc>
          <w:tcPr>
            <w:tcW w:w="1421" w:type="dxa"/>
            <w:gridSpan w:val="4"/>
            <w:vMerge w:val="continue"/>
            <w:tcBorders>
              <w:top w:val="nil"/>
              <w:left w:val="single" w:color="auto" w:sz="6" w:space="0"/>
              <w:bottom w:val="single" w:color="auto" w:sz="6" w:space="0"/>
              <w:right w:val="single" w:color="auto" w:sz="6" w:space="0"/>
            </w:tcBorders>
            <w:noWrap/>
            <w:vAlign w:val="center"/>
          </w:tc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产出指标</w:t>
            </w:r>
          </w:p>
          <w:p>
            <w:pPr>
              <w:jc w:val="center"/>
              <w:rPr>
                <w:rFonts w:ascii="宋体" w:cs="Arial"/>
                <w:color w:val="000000"/>
                <w:sz w:val="20"/>
              </w:rPr>
            </w:pPr>
            <w:r>
              <w:rPr>
                <w:rFonts w:hint="eastAsia" w:ascii="宋体" w:cs="Arial"/>
                <w:color w:val="000000"/>
                <w:sz w:val="20"/>
              </w:rPr>
              <w:t>（50分）</w:t>
            </w:r>
          </w:p>
        </w:tc>
        <w:tc>
          <w:tcPr>
            <w:tcW w:w="1650"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数量指标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olor w:val="000000"/>
                <w:sz w:val="20"/>
              </w:rPr>
            </w:pPr>
            <w:r>
              <w:rPr>
                <w:rFonts w:hint="eastAsia" w:ascii="宋体"/>
                <w:color w:val="000000"/>
                <w:sz w:val="20"/>
              </w:rPr>
              <w:t>指标1：矫正人员人数</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110人</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111人</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137"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vMerge w:val="continue"/>
            <w:tcBorders>
              <w:top w:val="nil"/>
              <w:left w:val="single" w:color="auto" w:sz="6" w:space="0"/>
              <w:bottom w:val="nil"/>
              <w:right w:val="single" w:color="auto" w:sz="6" w:space="0"/>
            </w:tcBorders>
            <w:noWrap/>
            <w:vAlign w:val="center"/>
          </w:tcP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指标2：全年开展集中教育学习次数</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10次</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10次</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137"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vMerge w:val="continue"/>
            <w:tcBorders>
              <w:top w:val="nil"/>
              <w:left w:val="single" w:color="auto" w:sz="6" w:space="0"/>
              <w:bottom w:val="nil"/>
              <w:right w:val="single" w:color="auto" w:sz="6" w:space="0"/>
            </w:tcBorders>
            <w:noWrap/>
            <w:vAlign w:val="center"/>
          </w:tcP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指标3：组织开展公益劳动次数</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6次</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6次</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539" w:type="dxa"/>
            <w:gridSpan w:val="2"/>
            <w:tcBorders>
              <w:top w:val="single" w:color="auto" w:sz="6" w:space="0"/>
              <w:left w:val="single" w:color="auto" w:sz="6" w:space="0"/>
              <w:bottom w:val="single" w:color="auto" w:sz="6" w:space="0"/>
              <w:right w:val="nil"/>
            </w:tcBorders>
            <w:noWrap/>
            <w:vAlign w:val="center"/>
          </w:tcPr>
          <w:p>
            <w:pPr>
              <w:jc w:val="center"/>
              <w:rPr>
                <w:rFonts w:ascii="宋体"/>
                <w:color w:val="000000"/>
                <w:sz w:val="20"/>
              </w:rPr>
            </w:pPr>
          </w:p>
        </w:tc>
        <w:tc>
          <w:tcPr>
            <w:tcW w:w="882" w:type="dxa"/>
            <w:gridSpan w:val="2"/>
            <w:tcBorders>
              <w:top w:val="single" w:color="auto" w:sz="6" w:space="0"/>
              <w:left w:val="nil"/>
              <w:bottom w:val="single" w:color="auto" w:sz="6" w:space="0"/>
              <w:right w:val="single" w:color="auto" w:sz="6" w:space="0"/>
            </w:tcBorders>
            <w:noWrap/>
            <w:vAlign w:val="center"/>
          </w:tcPr>
          <w:p>
            <w:pPr>
              <w:jc w:val="center"/>
              <w:rPr>
                <w:rFonts w:ascii="宋体"/>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137"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vMerge w:val="continue"/>
            <w:tcBorders>
              <w:top w:val="nil"/>
              <w:left w:val="single" w:color="auto" w:sz="6" w:space="0"/>
              <w:bottom w:val="nil"/>
              <w:right w:val="single" w:color="auto" w:sz="6" w:space="0"/>
            </w:tcBorders>
            <w:noWrap/>
            <w:vAlign w:val="center"/>
          </w:tcP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18"/>
              </w:rPr>
            </w:pPr>
            <w:r>
              <w:rPr>
                <w:rFonts w:hint="eastAsia" w:ascii="宋体" w:cs="Arial"/>
                <w:color w:val="000000"/>
                <w:sz w:val="18"/>
              </w:rPr>
              <w:t>指标4：举办由监狱、幸福心理的专家授课的专题培训讲座 次数</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6次</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6次</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539" w:type="dxa"/>
            <w:gridSpan w:val="2"/>
            <w:tcBorders>
              <w:top w:val="single" w:color="auto" w:sz="6" w:space="0"/>
              <w:left w:val="single" w:color="auto" w:sz="6" w:space="0"/>
              <w:bottom w:val="single" w:color="auto" w:sz="6" w:space="0"/>
              <w:right w:val="nil"/>
            </w:tcBorders>
            <w:noWrap/>
            <w:vAlign w:val="center"/>
          </w:tcPr>
          <w:p>
            <w:pPr>
              <w:jc w:val="center"/>
              <w:rPr>
                <w:rFonts w:ascii="宋体"/>
                <w:color w:val="000000"/>
                <w:sz w:val="20"/>
              </w:rPr>
            </w:pPr>
          </w:p>
        </w:tc>
        <w:tc>
          <w:tcPr>
            <w:tcW w:w="882" w:type="dxa"/>
            <w:gridSpan w:val="2"/>
            <w:tcBorders>
              <w:top w:val="single" w:color="auto" w:sz="6" w:space="0"/>
              <w:left w:val="nil"/>
              <w:bottom w:val="single" w:color="auto" w:sz="6" w:space="0"/>
              <w:right w:val="single" w:color="auto" w:sz="6" w:space="0"/>
            </w:tcBorders>
            <w:noWrap/>
            <w:vAlign w:val="center"/>
          </w:tcPr>
          <w:p>
            <w:pPr>
              <w:jc w:val="center"/>
              <w:rPr>
                <w:rFonts w:ascii="宋体"/>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153"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vMerge w:val="continue"/>
            <w:tcBorders>
              <w:top w:val="nil"/>
              <w:left w:val="single" w:color="auto" w:sz="6" w:space="0"/>
              <w:bottom w:val="single" w:color="auto" w:sz="6" w:space="0"/>
              <w:right w:val="single" w:color="auto" w:sz="6" w:space="0"/>
            </w:tcBorders>
            <w:noWrap/>
            <w:vAlign w:val="center"/>
          </w:tcP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指标5：举行社区矫正监管分析会次数</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13次</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sz w:val="20"/>
              </w:rPr>
            </w:pPr>
            <w:r>
              <w:rPr>
                <w:rFonts w:hint="eastAsia" w:ascii="宋体"/>
                <w:sz w:val="20"/>
              </w:rPr>
              <w:t>13次</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质量指标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指标1：解除矫正人员比例</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≧60%</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65%</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vMerge w:val="continue"/>
            <w:tcBorders>
              <w:top w:val="nil"/>
              <w:left w:val="single" w:color="auto" w:sz="6" w:space="0"/>
              <w:bottom w:val="nil"/>
              <w:right w:val="single" w:color="auto" w:sz="6" w:space="0"/>
            </w:tcBorders>
            <w:noWrap/>
            <w:vAlign w:val="center"/>
          </w:tcP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指标2：矫正人员培训比例</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时效指标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指标1：预算执行率</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成本指标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指标1：社区矫正案件</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50元/件</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50元/件</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90"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vMerge w:val="continue"/>
            <w:tcBorders>
              <w:top w:val="nil"/>
              <w:left w:val="single" w:color="auto" w:sz="6" w:space="0"/>
              <w:bottom w:val="nil"/>
              <w:right w:val="single" w:color="auto" w:sz="6" w:space="0"/>
            </w:tcBorders>
            <w:noWrap/>
            <w:vAlign w:val="center"/>
          </w:tcP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指标2：社区矫正全年金额</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7.0万元</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7.0万元</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119"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效益指标</w:t>
            </w:r>
          </w:p>
          <w:p>
            <w:pPr>
              <w:jc w:val="center"/>
              <w:rPr>
                <w:rFonts w:ascii="宋体" w:cs="Arial"/>
                <w:color w:val="000000"/>
                <w:sz w:val="20"/>
              </w:rPr>
            </w:pPr>
            <w:r>
              <w:rPr>
                <w:rFonts w:hint="eastAsia" w:ascii="宋体" w:cs="Arial"/>
                <w:color w:val="000000"/>
                <w:sz w:val="20"/>
              </w:rPr>
              <w:t>（30分）</w:t>
            </w:r>
          </w:p>
        </w:tc>
        <w:tc>
          <w:tcPr>
            <w:tcW w:w="1650"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经济效益指标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137"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社会效益指标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指标1：维护社会稳定，增强人民幸福感</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效果显著</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效果显著</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30</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30</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119"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生态效益指标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119" w:hRule="atLeast"/>
        </w:trPr>
        <w:tc>
          <w:tcPr>
            <w:tcW w:w="554" w:type="dxa"/>
            <w:vMerge w:val="continue"/>
            <w:tcBorders>
              <w:top w:val="nil"/>
              <w:left w:val="single" w:color="auto" w:sz="6" w:space="0"/>
              <w:bottom w:val="nil"/>
              <w:right w:val="single" w:color="auto" w:sz="6" w:space="0"/>
            </w:tcBorders>
            <w:noWrap/>
            <w:vAlign w:val="center"/>
          </w:tcPr>
          <w:p/>
        </w:tc>
        <w:tc>
          <w:tcPr>
            <w:tcW w:w="900" w:type="dxa"/>
            <w:vMerge w:val="continue"/>
            <w:tcBorders>
              <w:top w:val="nil"/>
              <w:left w:val="single" w:color="auto" w:sz="6" w:space="0"/>
              <w:bottom w:val="nil"/>
              <w:right w:val="single" w:color="auto" w:sz="6" w:space="0"/>
            </w:tcBorders>
            <w:noWrap/>
            <w:vAlign w:val="center"/>
          </w:tcPr>
          <w:p/>
        </w:tc>
        <w:tc>
          <w:tcPr>
            <w:tcW w:w="1650"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可持续影响指标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393" w:type="dxa"/>
          <w:trHeight w:val="235" w:hRule="atLeast"/>
        </w:trPr>
        <w:tc>
          <w:tcPr>
            <w:tcW w:w="554" w:type="dxa"/>
            <w:vMerge w:val="continue"/>
            <w:tcBorders>
              <w:top w:val="nil"/>
              <w:left w:val="single" w:color="auto" w:sz="6" w:space="0"/>
              <w:bottom w:val="single" w:color="auto" w:sz="6" w:space="0"/>
              <w:right w:val="single" w:color="auto" w:sz="6" w:space="0"/>
            </w:tcBorders>
            <w:noWrap/>
            <w:vAlign w:val="center"/>
          </w:tcPr>
          <w:p/>
        </w:tc>
        <w:tc>
          <w:tcPr>
            <w:tcW w:w="900"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满意度指标（10分）</w:t>
            </w:r>
          </w:p>
        </w:tc>
        <w:tc>
          <w:tcPr>
            <w:tcW w:w="16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服务对象满意度指标</w:t>
            </w:r>
          </w:p>
        </w:tc>
        <w:tc>
          <w:tcPr>
            <w:tcW w:w="2539"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指标1：群众满意度</w:t>
            </w:r>
          </w:p>
        </w:tc>
        <w:tc>
          <w:tcPr>
            <w:tcW w:w="1046"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≥85%</w:t>
            </w:r>
          </w:p>
        </w:tc>
        <w:tc>
          <w:tcPr>
            <w:tcW w:w="105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85%</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rFonts w:ascii="宋体" w:cs="Arial"/>
                <w:sz w:val="24"/>
              </w:rPr>
            </w:pPr>
          </w:p>
        </w:tc>
      </w:tr>
      <w:tr>
        <w:tblPrEx>
          <w:tblLayout w:type="fixed"/>
          <w:tblCellMar>
            <w:top w:w="0" w:type="dxa"/>
            <w:left w:w="108" w:type="dxa"/>
            <w:bottom w:w="0" w:type="dxa"/>
            <w:right w:w="108" w:type="dxa"/>
          </w:tblCellMar>
        </w:tblPrEx>
        <w:trPr>
          <w:gridAfter w:val="1"/>
          <w:wAfter w:w="393" w:type="dxa"/>
          <w:trHeight w:val="311" w:hRule="atLeast"/>
        </w:trPr>
        <w:tc>
          <w:tcPr>
            <w:tcW w:w="7739" w:type="dxa"/>
            <w:gridSpan w:val="8"/>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总分</w:t>
            </w:r>
          </w:p>
        </w:tc>
        <w:tc>
          <w:tcPr>
            <w:tcW w:w="7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04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421"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39" w:type="dxa"/>
            <w:gridSpan w:val="2"/>
            <w:tcBorders>
              <w:top w:val="nil"/>
              <w:left w:val="nil"/>
              <w:bottom w:val="nil"/>
              <w:right w:val="nil"/>
            </w:tcBorders>
            <w:noWrap/>
            <w:vAlign w:val="center"/>
          </w:tcPr>
          <w:p>
            <w:pPr>
              <w:rPr>
                <w:sz w:val="24"/>
              </w:rPr>
            </w:pPr>
          </w:p>
          <w:p>
            <w:pPr>
              <w:rPr>
                <w:sz w:val="24"/>
              </w:rPr>
            </w:pPr>
          </w:p>
          <w:p>
            <w:pPr>
              <w:rPr>
                <w:sz w:val="24"/>
              </w:rPr>
            </w:pPr>
          </w:p>
        </w:tc>
      </w:tr>
    </w:tbl>
    <w:p>
      <w:pPr>
        <w:spacing w:line="600" w:lineRule="exact"/>
        <w:ind w:firstLine="640"/>
        <w:jc w:val="left"/>
        <w:rPr>
          <w:rFonts w:ascii="仿宋" w:eastAsia="仿宋"/>
          <w:kern w:val="0"/>
          <w:sz w:val="32"/>
          <w:highlight w:val="yellow"/>
        </w:rPr>
      </w:pPr>
      <w:r>
        <w:rPr>
          <w:rFonts w:hint="eastAsia" w:ascii="仿宋" w:eastAsia="仿宋" w:cs="Arial"/>
          <w:kern w:val="0"/>
          <w:sz w:val="32"/>
          <w:highlight w:val="yellow"/>
        </w:rPr>
        <w:t>4.一案一补</w:t>
      </w:r>
      <w:r>
        <w:rPr>
          <w:rFonts w:hint="eastAsia" w:ascii="仿宋" w:eastAsia="仿宋"/>
          <w:kern w:val="0"/>
          <w:sz w:val="32"/>
          <w:highlight w:val="yellow"/>
        </w:rPr>
        <w:t>项目绩效自评综述：根据年初设定的绩效目标，</w:t>
      </w:r>
      <w:r>
        <w:rPr>
          <w:rFonts w:hint="eastAsia" w:ascii="仿宋" w:eastAsia="仿宋" w:cs="Arial"/>
          <w:kern w:val="0"/>
          <w:sz w:val="32"/>
          <w:highlight w:val="yellow"/>
        </w:rPr>
        <w:t>一案一补</w:t>
      </w:r>
      <w:r>
        <w:rPr>
          <w:rFonts w:hint="eastAsia" w:ascii="仿宋" w:eastAsia="仿宋"/>
          <w:kern w:val="0"/>
          <w:sz w:val="32"/>
          <w:highlight w:val="yellow"/>
        </w:rPr>
        <w:t>项目绩效自评得分为100分。项目全年预算数为5万元，执行数为5万元，完成预算的100%。</w:t>
      </w:r>
    </w:p>
    <w:tbl>
      <w:tblPr>
        <w:tblStyle w:val="8"/>
        <w:tblW w:w="11166" w:type="dxa"/>
        <w:tblInd w:w="0" w:type="dxa"/>
        <w:tblLayout w:type="fixed"/>
        <w:tblCellMar>
          <w:top w:w="0" w:type="dxa"/>
          <w:left w:w="108" w:type="dxa"/>
          <w:bottom w:w="0" w:type="dxa"/>
          <w:right w:w="108" w:type="dxa"/>
        </w:tblCellMar>
      </w:tblPr>
      <w:tblGrid>
        <w:gridCol w:w="787"/>
        <w:gridCol w:w="867"/>
        <w:gridCol w:w="1062"/>
        <w:gridCol w:w="1062"/>
        <w:gridCol w:w="1199"/>
        <w:gridCol w:w="410"/>
        <w:gridCol w:w="947"/>
        <w:gridCol w:w="1004"/>
        <w:gridCol w:w="410"/>
        <w:gridCol w:w="616"/>
        <w:gridCol w:w="719"/>
        <w:gridCol w:w="222"/>
        <w:gridCol w:w="959"/>
        <w:gridCol w:w="902"/>
      </w:tblGrid>
      <w:tr>
        <w:tblPrEx>
          <w:tblLayout w:type="fixed"/>
          <w:tblCellMar>
            <w:top w:w="0" w:type="dxa"/>
            <w:left w:w="108" w:type="dxa"/>
            <w:bottom w:w="0" w:type="dxa"/>
            <w:right w:w="108" w:type="dxa"/>
          </w:tblCellMar>
        </w:tblPrEx>
        <w:trPr>
          <w:trHeight w:val="90" w:hRule="atLeast"/>
        </w:trPr>
        <w:tc>
          <w:tcPr>
            <w:tcW w:w="787" w:type="dxa"/>
            <w:tcBorders>
              <w:top w:val="nil"/>
              <w:left w:val="nil"/>
              <w:bottom w:val="nil"/>
              <w:right w:val="nil"/>
            </w:tcBorders>
            <w:noWrap/>
            <w:vAlign w:val="center"/>
          </w:tcPr>
          <w:p>
            <w:pPr>
              <w:rPr>
                <w:rFonts w:ascii="宋体" w:cs="Arial"/>
                <w:color w:val="000000"/>
                <w:sz w:val="20"/>
              </w:rPr>
            </w:pPr>
          </w:p>
        </w:tc>
        <w:tc>
          <w:tcPr>
            <w:tcW w:w="867" w:type="dxa"/>
            <w:tcBorders>
              <w:top w:val="nil"/>
              <w:left w:val="nil"/>
              <w:bottom w:val="nil"/>
              <w:right w:val="nil"/>
            </w:tcBorders>
            <w:noWrap/>
            <w:vAlign w:val="center"/>
          </w:tcPr>
          <w:p>
            <w:pPr>
              <w:rPr>
                <w:sz w:val="24"/>
              </w:rPr>
            </w:pPr>
          </w:p>
        </w:tc>
        <w:tc>
          <w:tcPr>
            <w:tcW w:w="1062" w:type="dxa"/>
            <w:tcBorders>
              <w:top w:val="nil"/>
              <w:left w:val="nil"/>
              <w:bottom w:val="nil"/>
              <w:right w:val="nil"/>
            </w:tcBorders>
            <w:noWrap/>
            <w:vAlign w:val="center"/>
          </w:tcPr>
          <w:p>
            <w:pPr>
              <w:rPr>
                <w:sz w:val="24"/>
              </w:rPr>
            </w:pPr>
          </w:p>
        </w:tc>
        <w:tc>
          <w:tcPr>
            <w:tcW w:w="1062" w:type="dxa"/>
            <w:tcBorders>
              <w:top w:val="nil"/>
              <w:left w:val="nil"/>
              <w:bottom w:val="nil"/>
              <w:right w:val="nil"/>
            </w:tcBorders>
            <w:noWrap/>
            <w:vAlign w:val="center"/>
          </w:tcPr>
          <w:p>
            <w:pPr>
              <w:rPr>
                <w:sz w:val="24"/>
              </w:rPr>
            </w:pPr>
          </w:p>
        </w:tc>
        <w:tc>
          <w:tcPr>
            <w:tcW w:w="1199" w:type="dxa"/>
            <w:tcBorders>
              <w:top w:val="nil"/>
              <w:left w:val="nil"/>
              <w:bottom w:val="nil"/>
              <w:right w:val="nil"/>
            </w:tcBorders>
            <w:noWrap/>
            <w:vAlign w:val="center"/>
          </w:tcPr>
          <w:p>
            <w:pPr>
              <w:rPr>
                <w:sz w:val="24"/>
              </w:rPr>
            </w:pPr>
          </w:p>
        </w:tc>
        <w:tc>
          <w:tcPr>
            <w:tcW w:w="410" w:type="dxa"/>
            <w:tcBorders>
              <w:top w:val="nil"/>
              <w:left w:val="nil"/>
              <w:bottom w:val="nil"/>
              <w:right w:val="nil"/>
            </w:tcBorders>
            <w:noWrap/>
            <w:vAlign w:val="center"/>
          </w:tcPr>
          <w:p>
            <w:pPr>
              <w:rPr>
                <w:sz w:val="24"/>
              </w:rPr>
            </w:pPr>
          </w:p>
        </w:tc>
        <w:tc>
          <w:tcPr>
            <w:tcW w:w="947" w:type="dxa"/>
            <w:tcBorders>
              <w:top w:val="nil"/>
              <w:left w:val="nil"/>
              <w:bottom w:val="nil"/>
              <w:right w:val="nil"/>
            </w:tcBorders>
            <w:noWrap/>
            <w:vAlign w:val="center"/>
          </w:tcPr>
          <w:p>
            <w:pPr>
              <w:rPr>
                <w:sz w:val="24"/>
              </w:rPr>
            </w:pPr>
          </w:p>
        </w:tc>
        <w:tc>
          <w:tcPr>
            <w:tcW w:w="1004" w:type="dxa"/>
            <w:tcBorders>
              <w:top w:val="nil"/>
              <w:left w:val="nil"/>
              <w:bottom w:val="nil"/>
              <w:right w:val="nil"/>
            </w:tcBorders>
            <w:noWrap/>
            <w:vAlign w:val="center"/>
          </w:tcPr>
          <w:p>
            <w:pPr>
              <w:rPr>
                <w:sz w:val="24"/>
              </w:rPr>
            </w:pPr>
          </w:p>
        </w:tc>
        <w:tc>
          <w:tcPr>
            <w:tcW w:w="410" w:type="dxa"/>
            <w:tcBorders>
              <w:top w:val="nil"/>
              <w:left w:val="nil"/>
              <w:bottom w:val="nil"/>
              <w:right w:val="nil"/>
            </w:tcBorders>
            <w:noWrap/>
            <w:vAlign w:val="center"/>
          </w:tcPr>
          <w:p>
            <w:pPr>
              <w:rPr>
                <w:sz w:val="24"/>
              </w:rPr>
            </w:pPr>
          </w:p>
        </w:tc>
        <w:tc>
          <w:tcPr>
            <w:tcW w:w="616" w:type="dxa"/>
            <w:tcBorders>
              <w:top w:val="nil"/>
              <w:left w:val="nil"/>
              <w:bottom w:val="nil"/>
              <w:right w:val="nil"/>
            </w:tcBorders>
            <w:noWrap/>
            <w:vAlign w:val="center"/>
          </w:tcPr>
          <w:p>
            <w:pPr>
              <w:rPr>
                <w:sz w:val="24"/>
              </w:rPr>
            </w:pPr>
          </w:p>
        </w:tc>
        <w:tc>
          <w:tcPr>
            <w:tcW w:w="719" w:type="dxa"/>
            <w:tcBorders>
              <w:top w:val="nil"/>
              <w:left w:val="nil"/>
              <w:bottom w:val="nil"/>
              <w:right w:val="nil"/>
            </w:tcBorders>
            <w:noWrap/>
            <w:vAlign w:val="center"/>
          </w:tcPr>
          <w:p>
            <w:pPr>
              <w:rPr>
                <w:sz w:val="24"/>
              </w:rPr>
            </w:pPr>
          </w:p>
        </w:tc>
        <w:tc>
          <w:tcPr>
            <w:tcW w:w="222" w:type="dxa"/>
            <w:tcBorders>
              <w:top w:val="nil"/>
              <w:left w:val="nil"/>
              <w:bottom w:val="nil"/>
              <w:right w:val="nil"/>
            </w:tcBorders>
            <w:noWrap/>
            <w:vAlign w:val="center"/>
          </w:tcPr>
          <w:p>
            <w:pPr>
              <w:rPr>
                <w:sz w:val="24"/>
              </w:rPr>
            </w:pPr>
          </w:p>
        </w:tc>
        <w:tc>
          <w:tcPr>
            <w:tcW w:w="959" w:type="dxa"/>
            <w:tcBorders>
              <w:top w:val="nil"/>
              <w:left w:val="nil"/>
              <w:bottom w:val="nil"/>
              <w:right w:val="nil"/>
            </w:tcBorders>
            <w:noWrap/>
            <w:vAlign w:val="center"/>
          </w:tcPr>
          <w:p>
            <w:pPr>
              <w:rPr>
                <w:sz w:val="24"/>
              </w:rPr>
            </w:pPr>
          </w:p>
        </w:tc>
        <w:tc>
          <w:tcPr>
            <w:tcW w:w="902" w:type="dxa"/>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trHeight w:val="90" w:hRule="atLeast"/>
        </w:trPr>
        <w:tc>
          <w:tcPr>
            <w:tcW w:w="11166" w:type="dxa"/>
            <w:gridSpan w:val="14"/>
            <w:tcBorders>
              <w:top w:val="nil"/>
              <w:left w:val="nil"/>
              <w:bottom w:val="nil"/>
              <w:right w:val="nil"/>
            </w:tcBorders>
            <w:noWrap/>
            <w:vAlign w:val="center"/>
          </w:tcPr>
          <w:p>
            <w:pPr>
              <w:jc w:val="center"/>
              <w:rPr>
                <w:rFonts w:ascii="宋体" w:cs="Arial"/>
                <w:b/>
                <w:color w:val="000000"/>
                <w:sz w:val="32"/>
              </w:rPr>
            </w:pPr>
            <w:r>
              <w:rPr>
                <w:rFonts w:hint="eastAsia" w:ascii="宋体" w:cs="Arial"/>
                <w:b/>
                <w:color w:val="000000"/>
                <w:sz w:val="32"/>
              </w:rPr>
              <w:t>一案一补项目支出绩效自评表</w:t>
            </w:r>
          </w:p>
        </w:tc>
      </w:tr>
      <w:tr>
        <w:tblPrEx>
          <w:tblLayout w:type="fixed"/>
          <w:tblCellMar>
            <w:top w:w="0" w:type="dxa"/>
            <w:left w:w="108" w:type="dxa"/>
            <w:bottom w:w="0" w:type="dxa"/>
            <w:right w:w="108" w:type="dxa"/>
          </w:tblCellMar>
        </w:tblPrEx>
        <w:trPr>
          <w:trHeight w:val="90" w:hRule="atLeast"/>
        </w:trPr>
        <w:tc>
          <w:tcPr>
            <w:tcW w:w="11166" w:type="dxa"/>
            <w:gridSpan w:val="14"/>
            <w:tcBorders>
              <w:top w:val="nil"/>
              <w:left w:val="nil"/>
              <w:bottom w:val="nil"/>
              <w:right w:val="nil"/>
            </w:tcBorders>
            <w:noWrap/>
            <w:vAlign w:val="center"/>
          </w:tcPr>
          <w:p>
            <w:pPr>
              <w:jc w:val="center"/>
              <w:rPr>
                <w:rFonts w:ascii="宋体" w:cs="Arial"/>
                <w:b/>
                <w:color w:val="000000"/>
                <w:sz w:val="32"/>
              </w:rPr>
            </w:pPr>
            <w:r>
              <w:rPr>
                <w:rFonts w:hint="eastAsia" w:ascii="宋体" w:cs="Arial"/>
                <w:b/>
                <w:color w:val="000000"/>
                <w:sz w:val="32"/>
              </w:rPr>
              <w:t>（2019年度）</w:t>
            </w:r>
          </w:p>
        </w:tc>
      </w:tr>
      <w:tr>
        <w:tblPrEx>
          <w:tblLayout w:type="fixed"/>
          <w:tblCellMar>
            <w:top w:w="0" w:type="dxa"/>
            <w:left w:w="108" w:type="dxa"/>
            <w:bottom w:w="0" w:type="dxa"/>
            <w:right w:w="108" w:type="dxa"/>
          </w:tblCellMar>
        </w:tblPrEx>
        <w:trPr>
          <w:trHeight w:val="90" w:hRule="atLeast"/>
        </w:trPr>
        <w:tc>
          <w:tcPr>
            <w:tcW w:w="165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项目名称</w:t>
            </w:r>
          </w:p>
        </w:tc>
        <w:tc>
          <w:tcPr>
            <w:tcW w:w="9512" w:type="dxa"/>
            <w:gridSpan w:val="1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一案一补项目</w:t>
            </w:r>
          </w:p>
        </w:tc>
      </w:tr>
      <w:tr>
        <w:tblPrEx>
          <w:tblLayout w:type="fixed"/>
          <w:tblCellMar>
            <w:top w:w="0" w:type="dxa"/>
            <w:left w:w="108" w:type="dxa"/>
            <w:bottom w:w="0" w:type="dxa"/>
            <w:right w:w="108" w:type="dxa"/>
          </w:tblCellMar>
        </w:tblPrEx>
        <w:trPr>
          <w:trHeight w:val="90" w:hRule="atLeast"/>
        </w:trPr>
        <w:tc>
          <w:tcPr>
            <w:tcW w:w="165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主管部门</w:t>
            </w:r>
          </w:p>
        </w:tc>
        <w:tc>
          <w:tcPr>
            <w:tcW w:w="4680"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玛纳斯县人民政府</w:t>
            </w:r>
          </w:p>
        </w:tc>
        <w:tc>
          <w:tcPr>
            <w:tcW w:w="141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实施单位</w:t>
            </w:r>
          </w:p>
        </w:tc>
        <w:tc>
          <w:tcPr>
            <w:tcW w:w="3418"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玛纳斯县司法局</w:t>
            </w:r>
          </w:p>
        </w:tc>
      </w:tr>
      <w:tr>
        <w:tblPrEx>
          <w:tblLayout w:type="fixed"/>
          <w:tblCellMar>
            <w:top w:w="0" w:type="dxa"/>
            <w:left w:w="108" w:type="dxa"/>
            <w:bottom w:w="0" w:type="dxa"/>
            <w:right w:w="108" w:type="dxa"/>
          </w:tblCellMar>
        </w:tblPrEx>
        <w:trPr>
          <w:trHeight w:val="90" w:hRule="atLeast"/>
        </w:trPr>
        <w:tc>
          <w:tcPr>
            <w:tcW w:w="1654" w:type="dxa"/>
            <w:gridSpan w:val="2"/>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项目资金       （万元）</w:t>
            </w:r>
          </w:p>
        </w:tc>
        <w:tc>
          <w:tcPr>
            <w:tcW w:w="21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19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年初预算数</w:t>
            </w:r>
          </w:p>
        </w:tc>
        <w:tc>
          <w:tcPr>
            <w:tcW w:w="135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全年预算数</w:t>
            </w:r>
          </w:p>
        </w:tc>
        <w:tc>
          <w:tcPr>
            <w:tcW w:w="141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全年执行数</w:t>
            </w:r>
          </w:p>
        </w:tc>
        <w:tc>
          <w:tcPr>
            <w:tcW w:w="133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118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执行率</w:t>
            </w:r>
          </w:p>
        </w:tc>
        <w:tc>
          <w:tcPr>
            <w:tcW w:w="90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r>
      <w:tr>
        <w:tblPrEx>
          <w:tblLayout w:type="fixed"/>
          <w:tblCellMar>
            <w:top w:w="0" w:type="dxa"/>
            <w:left w:w="108" w:type="dxa"/>
            <w:bottom w:w="0" w:type="dxa"/>
            <w:right w:w="108" w:type="dxa"/>
          </w:tblCellMar>
        </w:tblPrEx>
        <w:trPr>
          <w:trHeight w:val="90" w:hRule="atLeast"/>
        </w:trPr>
        <w:tc>
          <w:tcPr>
            <w:tcW w:w="1654" w:type="dxa"/>
            <w:gridSpan w:val="2"/>
            <w:vMerge w:val="continue"/>
            <w:tcBorders>
              <w:top w:val="nil"/>
              <w:left w:val="single" w:color="auto" w:sz="6" w:space="0"/>
              <w:bottom w:val="nil"/>
              <w:right w:val="single" w:color="auto" w:sz="6" w:space="0"/>
            </w:tcBorders>
            <w:noWrap/>
            <w:vAlign w:val="center"/>
          </w:tcPr>
          <w:p/>
        </w:tc>
        <w:tc>
          <w:tcPr>
            <w:tcW w:w="2124"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年度资金总额</w:t>
            </w:r>
          </w:p>
        </w:tc>
        <w:tc>
          <w:tcPr>
            <w:tcW w:w="119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35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1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33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18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w:t>
            </w:r>
          </w:p>
        </w:tc>
        <w:tc>
          <w:tcPr>
            <w:tcW w:w="90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r>
      <w:tr>
        <w:tblPrEx>
          <w:tblLayout w:type="fixed"/>
          <w:tblCellMar>
            <w:top w:w="0" w:type="dxa"/>
            <w:left w:w="108" w:type="dxa"/>
            <w:bottom w:w="0" w:type="dxa"/>
            <w:right w:w="108" w:type="dxa"/>
          </w:tblCellMar>
        </w:tblPrEx>
        <w:trPr>
          <w:trHeight w:val="90" w:hRule="atLeast"/>
        </w:trPr>
        <w:tc>
          <w:tcPr>
            <w:tcW w:w="1654" w:type="dxa"/>
            <w:gridSpan w:val="2"/>
            <w:vMerge w:val="continue"/>
            <w:tcBorders>
              <w:top w:val="nil"/>
              <w:left w:val="single" w:color="auto" w:sz="6" w:space="0"/>
              <w:bottom w:val="nil"/>
              <w:right w:val="single" w:color="auto" w:sz="6" w:space="0"/>
            </w:tcBorders>
            <w:noWrap/>
            <w:vAlign w:val="center"/>
          </w:tcPr>
          <w:p/>
        </w:tc>
        <w:tc>
          <w:tcPr>
            <w:tcW w:w="21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其中：当年财政拨款</w:t>
            </w:r>
          </w:p>
        </w:tc>
        <w:tc>
          <w:tcPr>
            <w:tcW w:w="119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35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41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33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18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w:t>
            </w:r>
          </w:p>
        </w:tc>
        <w:tc>
          <w:tcPr>
            <w:tcW w:w="90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r>
      <w:tr>
        <w:tblPrEx>
          <w:tblLayout w:type="fixed"/>
          <w:tblCellMar>
            <w:top w:w="0" w:type="dxa"/>
            <w:left w:w="108" w:type="dxa"/>
            <w:bottom w:w="0" w:type="dxa"/>
            <w:right w:w="108" w:type="dxa"/>
          </w:tblCellMar>
        </w:tblPrEx>
        <w:trPr>
          <w:trHeight w:val="90" w:hRule="atLeast"/>
        </w:trPr>
        <w:tc>
          <w:tcPr>
            <w:tcW w:w="1654" w:type="dxa"/>
            <w:gridSpan w:val="2"/>
            <w:vMerge w:val="continue"/>
            <w:tcBorders>
              <w:top w:val="nil"/>
              <w:left w:val="single" w:color="auto" w:sz="6" w:space="0"/>
              <w:bottom w:val="nil"/>
              <w:right w:val="single" w:color="auto" w:sz="6" w:space="0"/>
            </w:tcBorders>
            <w:noWrap/>
            <w:vAlign w:val="center"/>
          </w:tcPr>
          <w:p/>
        </w:tc>
        <w:tc>
          <w:tcPr>
            <w:tcW w:w="21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上年结转资金</w:t>
            </w:r>
          </w:p>
        </w:tc>
        <w:tc>
          <w:tcPr>
            <w:tcW w:w="119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35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41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33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118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0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r>
      <w:tr>
        <w:tblPrEx>
          <w:tblLayout w:type="fixed"/>
          <w:tblCellMar>
            <w:top w:w="0" w:type="dxa"/>
            <w:left w:w="108" w:type="dxa"/>
            <w:bottom w:w="0" w:type="dxa"/>
            <w:right w:w="108" w:type="dxa"/>
          </w:tblCellMar>
        </w:tblPrEx>
        <w:trPr>
          <w:trHeight w:val="90" w:hRule="atLeast"/>
        </w:trPr>
        <w:tc>
          <w:tcPr>
            <w:tcW w:w="1654" w:type="dxa"/>
            <w:gridSpan w:val="2"/>
            <w:vMerge w:val="continue"/>
            <w:tcBorders>
              <w:top w:val="nil"/>
              <w:left w:val="single" w:color="auto" w:sz="6" w:space="0"/>
              <w:bottom w:val="single" w:color="auto" w:sz="6" w:space="0"/>
              <w:right w:val="single" w:color="auto" w:sz="6" w:space="0"/>
            </w:tcBorders>
            <w:noWrap/>
            <w:vAlign w:val="center"/>
          </w:tcPr>
          <w:p/>
        </w:tc>
        <w:tc>
          <w:tcPr>
            <w:tcW w:w="212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其他资金</w:t>
            </w:r>
          </w:p>
        </w:tc>
        <w:tc>
          <w:tcPr>
            <w:tcW w:w="119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35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414"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335"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118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02"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r>
      <w:tr>
        <w:tblPrEx>
          <w:tblLayout w:type="fixed"/>
          <w:tblCellMar>
            <w:top w:w="0" w:type="dxa"/>
            <w:left w:w="108" w:type="dxa"/>
            <w:bottom w:w="0" w:type="dxa"/>
            <w:right w:w="108" w:type="dxa"/>
          </w:tblCellMar>
        </w:tblPrEx>
        <w:trPr>
          <w:trHeight w:val="90" w:hRule="atLeast"/>
        </w:trPr>
        <w:tc>
          <w:tcPr>
            <w:tcW w:w="787"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年度总体目标</w:t>
            </w:r>
          </w:p>
        </w:tc>
        <w:tc>
          <w:tcPr>
            <w:tcW w:w="5547"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预期目标</w:t>
            </w:r>
          </w:p>
        </w:tc>
        <w:tc>
          <w:tcPr>
            <w:tcW w:w="4832" w:type="dxa"/>
            <w:gridSpan w:val="7"/>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实际完成情况</w:t>
            </w:r>
          </w:p>
        </w:tc>
      </w:tr>
      <w:tr>
        <w:tblPrEx>
          <w:tblLayout w:type="fixed"/>
          <w:tblCellMar>
            <w:top w:w="0" w:type="dxa"/>
            <w:left w:w="108" w:type="dxa"/>
            <w:bottom w:w="0" w:type="dxa"/>
            <w:right w:w="108" w:type="dxa"/>
          </w:tblCellMar>
        </w:tblPrEx>
        <w:trPr>
          <w:trHeight w:val="90" w:hRule="atLeast"/>
        </w:trPr>
        <w:tc>
          <w:tcPr>
            <w:tcW w:w="787" w:type="dxa"/>
            <w:vMerge w:val="continue"/>
            <w:tcBorders>
              <w:top w:val="single" w:color="auto" w:sz="6" w:space="0"/>
              <w:left w:val="single" w:color="auto" w:sz="6" w:space="0"/>
              <w:bottom w:val="single" w:color="auto" w:sz="6" w:space="0"/>
              <w:right w:val="single" w:color="auto" w:sz="6" w:space="0"/>
            </w:tcBorders>
            <w:noWrap/>
            <w:vAlign w:val="center"/>
          </w:tcPr>
          <w:p/>
        </w:tc>
        <w:tc>
          <w:tcPr>
            <w:tcW w:w="5547"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防止因矛盾纠纷化解不及时而发生重大民转刑案件，维护社会和谐稳定；人民调解“以奖代补”经费主要用于弥补基层调委会办案经费不足，调动基层调解员的积极性，及时化解矛盾纠纷，花小钱办大事。</w:t>
            </w:r>
          </w:p>
        </w:tc>
        <w:tc>
          <w:tcPr>
            <w:tcW w:w="4832" w:type="dxa"/>
            <w:gridSpan w:val="7"/>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防止因矛盾纠纷化解不及时而发生重大民转刑案件，维护社会和谐稳定；按照进度逐步完成相关指标</w:t>
            </w:r>
          </w:p>
        </w:tc>
      </w:tr>
      <w:tr>
        <w:tblPrEx>
          <w:tblLayout w:type="fixed"/>
          <w:tblCellMar>
            <w:top w:w="0" w:type="dxa"/>
            <w:left w:w="108" w:type="dxa"/>
            <w:bottom w:w="0" w:type="dxa"/>
            <w:right w:w="108" w:type="dxa"/>
          </w:tblCellMar>
        </w:tblPrEx>
        <w:trPr>
          <w:trHeight w:val="90" w:hRule="atLeast"/>
        </w:trPr>
        <w:tc>
          <w:tcPr>
            <w:tcW w:w="787"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绩              效    指    标</w:t>
            </w:r>
          </w:p>
        </w:tc>
        <w:tc>
          <w:tcPr>
            <w:tcW w:w="867"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一级指标</w:t>
            </w:r>
          </w:p>
        </w:tc>
        <w:tc>
          <w:tcPr>
            <w:tcW w:w="1062"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二级指标</w:t>
            </w:r>
          </w:p>
        </w:tc>
        <w:tc>
          <w:tcPr>
            <w:tcW w:w="2671" w:type="dxa"/>
            <w:gridSpan w:val="3"/>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三级指标</w:t>
            </w:r>
          </w:p>
        </w:tc>
        <w:tc>
          <w:tcPr>
            <w:tcW w:w="947"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w:t>
            </w:r>
          </w:p>
        </w:tc>
        <w:tc>
          <w:tcPr>
            <w:tcW w:w="1026"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941"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c>
          <w:tcPr>
            <w:tcW w:w="1861" w:type="dxa"/>
            <w:gridSpan w:val="2"/>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偏差原因分析及改进措施</w:t>
            </w: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noWrap/>
            <w:vAlign w:val="center"/>
          </w:tcPr>
          <w:p/>
        </w:tc>
        <w:tc>
          <w:tcPr>
            <w:tcW w:w="2671" w:type="dxa"/>
            <w:gridSpan w:val="3"/>
            <w:vMerge w:val="continue"/>
            <w:tcBorders>
              <w:top w:val="single" w:color="auto" w:sz="6" w:space="0"/>
              <w:left w:val="single" w:color="auto" w:sz="6" w:space="0"/>
              <w:bottom w:val="single" w:color="auto" w:sz="6" w:space="0"/>
              <w:right w:val="single" w:color="auto" w:sz="6" w:space="0"/>
            </w:tcBorders>
            <w:noWrap/>
            <w:vAlign w:val="center"/>
          </w:tcPr>
          <w:p/>
        </w:tc>
        <w:tc>
          <w:tcPr>
            <w:tcW w:w="947"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指标值</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完成值</w:t>
            </w:r>
          </w:p>
        </w:tc>
        <w:tc>
          <w:tcPr>
            <w:tcW w:w="1026" w:type="dxa"/>
            <w:gridSpan w:val="2"/>
            <w:vMerge w:val="continue"/>
            <w:tcBorders>
              <w:top w:val="single" w:color="auto" w:sz="6" w:space="0"/>
              <w:left w:val="single" w:color="auto" w:sz="6" w:space="0"/>
              <w:bottom w:val="single" w:color="auto" w:sz="6" w:space="0"/>
              <w:right w:val="single" w:color="auto" w:sz="6" w:space="0"/>
            </w:tcBorders>
            <w:noWrap/>
            <w:vAlign w:val="center"/>
          </w:tcPr>
          <w:p/>
        </w:tc>
        <w:tc>
          <w:tcPr>
            <w:tcW w:w="941" w:type="dxa"/>
            <w:gridSpan w:val="2"/>
            <w:vMerge w:val="continue"/>
            <w:tcBorders>
              <w:top w:val="single" w:color="auto" w:sz="6" w:space="0"/>
              <w:left w:val="single" w:color="auto" w:sz="6" w:space="0"/>
              <w:bottom w:val="single" w:color="auto" w:sz="6" w:space="0"/>
              <w:right w:val="single" w:color="auto" w:sz="6" w:space="0"/>
            </w:tcBorders>
            <w:noWrap/>
            <w:vAlign w:val="center"/>
          </w:tcPr>
          <w:p/>
        </w:tc>
        <w:tc>
          <w:tcPr>
            <w:tcW w:w="1861" w:type="dxa"/>
            <w:gridSpan w:val="2"/>
            <w:vMerge w:val="continue"/>
            <w:tcBorders>
              <w:top w:val="single" w:color="auto" w:sz="6" w:space="0"/>
              <w:left w:val="single" w:color="auto" w:sz="6" w:space="0"/>
              <w:bottom w:val="single" w:color="auto" w:sz="6" w:space="0"/>
              <w:right w:val="single" w:color="auto" w:sz="6" w:space="0"/>
            </w:tcBorders>
            <w:noWrap/>
            <w:vAlign w:val="center"/>
          </w:tc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noWrap/>
            <w:vAlign w:val="center"/>
          </w:tcPr>
          <w:p/>
        </w:tc>
        <w:tc>
          <w:tcPr>
            <w:tcW w:w="867"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产出指标</w:t>
            </w:r>
          </w:p>
          <w:p>
            <w:pPr>
              <w:jc w:val="center"/>
              <w:rPr>
                <w:rFonts w:ascii="宋体" w:cs="Arial"/>
                <w:color w:val="000000"/>
                <w:sz w:val="20"/>
              </w:rPr>
            </w:pPr>
            <w:r>
              <w:rPr>
                <w:rFonts w:hint="eastAsia" w:ascii="宋体" w:cs="Arial"/>
                <w:color w:val="000000"/>
                <w:sz w:val="20"/>
              </w:rPr>
              <w:t>（50分）</w:t>
            </w:r>
          </w:p>
        </w:tc>
        <w:tc>
          <w:tcPr>
            <w:tcW w:w="1062"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数量指标</w:t>
            </w:r>
          </w:p>
        </w:tc>
        <w:tc>
          <w:tcPr>
            <w:tcW w:w="2671"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指标1：案件受理人数</w:t>
            </w:r>
          </w:p>
        </w:tc>
        <w:tc>
          <w:tcPr>
            <w:tcW w:w="947"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≧500人</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686人</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指标2：重大疑难纠纷案件数</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≧100件</w:t>
            </w:r>
          </w:p>
        </w:tc>
        <w:tc>
          <w:tcPr>
            <w:tcW w:w="1004"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s="Arial"/>
                <w:color w:val="000000"/>
                <w:sz w:val="20"/>
              </w:rPr>
            </w:pPr>
            <w:r>
              <w:rPr>
                <w:rFonts w:hint="eastAsia" w:ascii="宋体" w:cs="Arial"/>
                <w:color w:val="000000"/>
                <w:sz w:val="20"/>
              </w:rPr>
              <w:t>123件</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指标3：疑难纠纷案件数</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≧120件</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135件</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59" w:type="dxa"/>
            <w:tcBorders>
              <w:top w:val="single" w:color="auto" w:sz="6" w:space="0"/>
              <w:left w:val="single" w:color="auto" w:sz="6" w:space="0"/>
              <w:bottom w:val="single" w:color="auto" w:sz="6" w:space="0"/>
              <w:right w:val="nil"/>
            </w:tcBorders>
            <w:noWrap/>
            <w:vAlign w:val="center"/>
          </w:tcPr>
          <w:p>
            <w:pPr>
              <w:jc w:val="center"/>
              <w:rPr>
                <w:rFonts w:ascii="宋体"/>
                <w:color w:val="000000"/>
                <w:sz w:val="20"/>
              </w:rPr>
            </w:pPr>
          </w:p>
        </w:tc>
        <w:tc>
          <w:tcPr>
            <w:tcW w:w="902" w:type="dxa"/>
            <w:tcBorders>
              <w:top w:val="single" w:color="auto" w:sz="6" w:space="0"/>
              <w:left w:val="nil"/>
              <w:bottom w:val="single" w:color="auto" w:sz="6" w:space="0"/>
              <w:right w:val="single" w:color="auto" w:sz="6" w:space="0"/>
            </w:tcBorders>
            <w:noWrap/>
            <w:vAlign w:val="center"/>
          </w:tcPr>
          <w:p>
            <w:pPr>
              <w:jc w:val="center"/>
              <w:rPr>
                <w:rFonts w:ascii="宋体"/>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指标4：简易纠纷案件数</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≧600件</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752件</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restart"/>
            <w:tcBorders>
              <w:top w:val="single" w:color="auto" w:sz="6" w:space="0"/>
              <w:left w:val="single" w:color="auto" w:sz="6" w:space="0"/>
              <w:bottom w:val="single" w:color="auto" w:sz="6" w:space="0"/>
              <w:right w:val="single" w:color="auto" w:sz="6" w:space="0"/>
            </w:tcBorders>
            <w:shd w:val="clear" w:color="auto" w:fill="auto"/>
            <w:noWrap/>
            <w:vAlign w:val="center"/>
          </w:tcPr>
          <w:p>
            <w:pPr>
              <w:jc w:val="center"/>
              <w:rPr>
                <w:rFonts w:ascii="宋体" w:cs="Arial"/>
                <w:color w:val="000000"/>
                <w:sz w:val="20"/>
              </w:rPr>
            </w:pPr>
            <w:r>
              <w:rPr>
                <w:rFonts w:hint="eastAsia" w:ascii="宋体" w:cs="Arial"/>
                <w:color w:val="000000"/>
                <w:sz w:val="20"/>
              </w:rPr>
              <w:t>质量指标</w:t>
            </w: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指标1：重大疑难纠纷补助金额</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100元/件</w:t>
            </w:r>
          </w:p>
        </w:tc>
        <w:tc>
          <w:tcPr>
            <w:tcW w:w="1004"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100元/件</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指标2：疑难纠纷补助金额</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80元/件</w:t>
            </w:r>
          </w:p>
        </w:tc>
        <w:tc>
          <w:tcPr>
            <w:tcW w:w="1004"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80元/件</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指标3：简易纠纷补助金额</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50元/件</w:t>
            </w:r>
          </w:p>
        </w:tc>
        <w:tc>
          <w:tcPr>
            <w:tcW w:w="1004"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50元/件</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指标4：补助案件办结率</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≧80%</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82%</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指标5：资金覆盖率</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≧80%</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85%</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指标6：案件投诉率</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0%</w:t>
            </w:r>
          </w:p>
        </w:tc>
        <w:tc>
          <w:tcPr>
            <w:tcW w:w="1004"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color w:val="000000"/>
                <w:sz w:val="20"/>
              </w:rPr>
            </w:pPr>
            <w:r>
              <w:rPr>
                <w:rFonts w:hint="eastAsia" w:ascii="宋体"/>
                <w:color w:val="000000"/>
                <w:sz w:val="20"/>
              </w:rPr>
              <w:t>0%</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tcBorders>
              <w:top w:val="single" w:color="auto" w:sz="6" w:space="0"/>
              <w:left w:val="single" w:color="auto" w:sz="6" w:space="0"/>
              <w:bottom w:val="single" w:color="auto" w:sz="6" w:space="0"/>
              <w:right w:val="single" w:color="auto" w:sz="6" w:space="0"/>
            </w:tcBorders>
            <w:shd w:val="clear" w:color="auto" w:fill="auto"/>
            <w:noWrap/>
            <w:vAlign w:val="center"/>
          </w:tcPr>
          <w:p>
            <w:pPr>
              <w:jc w:val="center"/>
              <w:rPr>
                <w:rFonts w:ascii="宋体" w:cs="Arial"/>
                <w:color w:val="000000"/>
                <w:sz w:val="20"/>
              </w:rPr>
            </w:pPr>
            <w:r>
              <w:rPr>
                <w:rFonts w:hint="eastAsia" w:ascii="宋体" w:cs="Arial"/>
                <w:color w:val="000000"/>
                <w:sz w:val="20"/>
              </w:rPr>
              <w:t>时效指标</w:t>
            </w: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指标1：案件处理速率</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eastAsia="Times New Roman"/>
                <w:sz w:val="20"/>
              </w:rPr>
            </w:pPr>
            <w:r>
              <w:rPr>
                <w:rFonts w:eastAsia="Times New Roman"/>
                <w:sz w:val="20"/>
              </w:rPr>
              <w:t>100.0%</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tcBorders>
              <w:top w:val="single" w:color="auto" w:sz="6" w:space="0"/>
              <w:left w:val="single" w:color="auto" w:sz="6" w:space="0"/>
              <w:bottom w:val="single" w:color="auto" w:sz="6" w:space="0"/>
              <w:right w:val="single" w:color="auto" w:sz="6" w:space="0"/>
            </w:tcBorders>
            <w:shd w:val="clear" w:color="auto" w:fill="auto"/>
            <w:noWrap/>
            <w:vAlign w:val="center"/>
          </w:tcPr>
          <w:p>
            <w:pPr>
              <w:jc w:val="center"/>
              <w:rPr>
                <w:rFonts w:ascii="宋体" w:cs="Arial"/>
                <w:color w:val="000000"/>
                <w:sz w:val="20"/>
              </w:rPr>
            </w:pPr>
            <w:r>
              <w:rPr>
                <w:rFonts w:hint="eastAsia" w:ascii="宋体" w:cs="Arial"/>
                <w:color w:val="000000"/>
                <w:sz w:val="20"/>
              </w:rPr>
              <w:t>成本指标</w:t>
            </w: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指标1：补助资金</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sz w:val="20"/>
              </w:rPr>
            </w:pPr>
            <w:r>
              <w:rPr>
                <w:rFonts w:hint="eastAsia" w:ascii="宋体"/>
                <w:sz w:val="20"/>
              </w:rPr>
              <w:t>5万元</w:t>
            </w:r>
          </w:p>
        </w:tc>
        <w:tc>
          <w:tcPr>
            <w:tcW w:w="1004"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sz w:val="20"/>
              </w:rPr>
            </w:pPr>
            <w:r>
              <w:rPr>
                <w:rFonts w:hint="eastAsia" w:ascii="宋体"/>
                <w:sz w:val="20"/>
              </w:rPr>
              <w:t>5万元</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noWrap/>
            <w:vAlign w:val="center"/>
          </w:tcPr>
          <w:p/>
        </w:tc>
        <w:tc>
          <w:tcPr>
            <w:tcW w:w="867"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效益指标</w:t>
            </w:r>
          </w:p>
          <w:p>
            <w:pPr>
              <w:jc w:val="center"/>
              <w:rPr>
                <w:rFonts w:ascii="宋体" w:cs="Arial"/>
                <w:color w:val="000000"/>
                <w:sz w:val="20"/>
              </w:rPr>
            </w:pPr>
            <w:r>
              <w:rPr>
                <w:rFonts w:hint="eastAsia" w:ascii="宋体" w:cs="Arial"/>
                <w:color w:val="000000"/>
                <w:sz w:val="20"/>
              </w:rPr>
              <w:t>（30分）</w:t>
            </w:r>
          </w:p>
        </w:tc>
        <w:tc>
          <w:tcPr>
            <w:tcW w:w="1062"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经济效益指标</w:t>
            </w:r>
          </w:p>
        </w:tc>
        <w:tc>
          <w:tcPr>
            <w:tcW w:w="2671"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947" w:type="dxa"/>
            <w:tcBorders>
              <w:top w:val="single" w:color="000000" w:sz="6" w:space="0"/>
              <w:left w:val="single" w:color="000000" w:sz="6" w:space="0"/>
              <w:bottom w:val="single" w:color="000000" w:sz="6" w:space="0"/>
              <w:right w:val="single" w:color="000000" w:sz="6" w:space="0"/>
            </w:tcBorders>
            <w:noWrap/>
            <w:vAlign w:val="center"/>
          </w:tcPr>
          <w:p>
            <w:pPr>
              <w:jc w:val="center"/>
              <w:rPr>
                <w:rFonts w:ascii="宋体"/>
                <w:sz w:val="16"/>
              </w:rPr>
            </w:pP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tcBorders>
              <w:top w:val="single" w:color="auto" w:sz="6" w:space="0"/>
              <w:left w:val="single" w:color="auto" w:sz="6" w:space="0"/>
              <w:bottom w:val="nil"/>
              <w:right w:val="single" w:color="auto" w:sz="6" w:space="0"/>
            </w:tcBorders>
            <w:shd w:val="clear" w:color="auto" w:fill="auto"/>
            <w:noWrap/>
            <w:vAlign w:val="center"/>
          </w:tcPr>
          <w:p>
            <w:pPr>
              <w:jc w:val="center"/>
              <w:rPr>
                <w:rFonts w:ascii="宋体" w:cs="Arial"/>
                <w:color w:val="000000"/>
                <w:sz w:val="18"/>
              </w:rPr>
            </w:pPr>
            <w:r>
              <w:rPr>
                <w:rFonts w:hint="eastAsia" w:ascii="宋体" w:cs="Arial"/>
                <w:color w:val="000000"/>
                <w:sz w:val="18"/>
              </w:rPr>
              <w:t>社会效益指标</w:t>
            </w: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指标1：社会安全稳定</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sz w:val="20"/>
              </w:rPr>
            </w:pPr>
            <w:r>
              <w:rPr>
                <w:rFonts w:hint="eastAsia" w:ascii="宋体"/>
                <w:sz w:val="20"/>
              </w:rPr>
              <w:t>效果显著</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效果显著</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20</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20</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noWrap/>
            <w:vAlign w:val="center"/>
          </w:tcPr>
          <w:p/>
        </w:tc>
        <w:tc>
          <w:tcPr>
            <w:tcW w:w="1062"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生态效益指标</w:t>
            </w:r>
          </w:p>
        </w:tc>
        <w:tc>
          <w:tcPr>
            <w:tcW w:w="2671"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947" w:type="dxa"/>
            <w:tcBorders>
              <w:top w:val="single" w:color="000000" w:sz="6" w:space="0"/>
              <w:left w:val="single" w:color="000000" w:sz="6" w:space="0"/>
              <w:bottom w:val="single" w:color="000000" w:sz="6" w:space="0"/>
              <w:right w:val="single" w:color="000000" w:sz="6" w:space="0"/>
            </w:tcBorders>
            <w:noWrap/>
            <w:vAlign w:val="center"/>
          </w:tcPr>
          <w:p>
            <w:pPr>
              <w:jc w:val="center"/>
              <w:rPr>
                <w:rFonts w:ascii="宋体"/>
                <w:sz w:val="16"/>
              </w:rPr>
            </w:pP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vMerge w:val="continue"/>
            <w:tcBorders>
              <w:top w:val="single" w:color="auto" w:sz="6" w:space="0"/>
              <w:left w:val="single" w:color="auto" w:sz="6" w:space="0"/>
              <w:bottom w:val="single" w:color="auto" w:sz="6" w:space="0"/>
              <w:right w:val="single" w:color="auto" w:sz="6" w:space="0"/>
            </w:tcBorders>
            <w:shd w:val="clear" w:color="auto" w:fill="auto"/>
            <w:noWrap/>
            <w:vAlign w:val="center"/>
          </w:tcPr>
          <w:p/>
        </w:tc>
        <w:tc>
          <w:tcPr>
            <w:tcW w:w="1062" w:type="dxa"/>
            <w:tcBorders>
              <w:top w:val="single" w:color="auto" w:sz="6" w:space="0"/>
              <w:left w:val="single" w:color="auto" w:sz="6" w:space="0"/>
              <w:bottom w:val="nil"/>
              <w:right w:val="single" w:color="auto" w:sz="6" w:space="0"/>
            </w:tcBorders>
            <w:shd w:val="clear" w:color="auto" w:fill="auto"/>
            <w:noWrap/>
            <w:vAlign w:val="center"/>
          </w:tcPr>
          <w:p>
            <w:pPr>
              <w:jc w:val="center"/>
              <w:rPr>
                <w:rFonts w:ascii="宋体" w:cs="Arial"/>
                <w:color w:val="000000"/>
                <w:sz w:val="20"/>
              </w:rPr>
            </w:pPr>
            <w:r>
              <w:rPr>
                <w:rFonts w:hint="eastAsia" w:ascii="宋体" w:cs="Arial"/>
                <w:color w:val="000000"/>
                <w:sz w:val="20"/>
              </w:rPr>
              <w:t>可持续影响指标</w:t>
            </w: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指标1：</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sz w:val="20"/>
              </w:rPr>
            </w:pPr>
            <w:r>
              <w:rPr>
                <w:rFonts w:hint="eastAsia" w:ascii="宋体"/>
                <w:sz w:val="20"/>
              </w:rPr>
              <w:t>1年</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1年</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87" w:type="dxa"/>
            <w:vMerge w:val="continue"/>
            <w:tcBorders>
              <w:top w:val="nil"/>
              <w:left w:val="single" w:color="auto" w:sz="6" w:space="0"/>
              <w:bottom w:val="nil"/>
              <w:right w:val="single" w:color="auto" w:sz="6" w:space="0"/>
            </w:tcBorders>
            <w:shd w:val="clear" w:color="auto" w:fill="auto"/>
            <w:noWrap/>
            <w:vAlign w:val="center"/>
          </w:tcPr>
          <w:p/>
        </w:tc>
        <w:tc>
          <w:tcPr>
            <w:tcW w:w="867" w:type="dxa"/>
            <w:tcBorders>
              <w:top w:val="single" w:color="auto" w:sz="6" w:space="0"/>
              <w:left w:val="single" w:color="auto" w:sz="6" w:space="0"/>
              <w:bottom w:val="nil"/>
              <w:right w:val="single" w:color="auto" w:sz="6" w:space="0"/>
            </w:tcBorders>
            <w:shd w:val="clear" w:color="auto" w:fill="auto"/>
            <w:noWrap/>
            <w:vAlign w:val="center"/>
          </w:tcPr>
          <w:p>
            <w:pPr>
              <w:jc w:val="center"/>
              <w:rPr>
                <w:rFonts w:ascii="宋体" w:cs="Arial"/>
                <w:color w:val="000000"/>
                <w:sz w:val="20"/>
              </w:rPr>
            </w:pPr>
            <w:r>
              <w:rPr>
                <w:rFonts w:hint="eastAsia" w:ascii="宋体" w:cs="Arial"/>
                <w:color w:val="000000"/>
                <w:sz w:val="20"/>
              </w:rPr>
              <w:t>满意度指标（10分）</w:t>
            </w:r>
          </w:p>
        </w:tc>
        <w:tc>
          <w:tcPr>
            <w:tcW w:w="1062" w:type="dxa"/>
            <w:tcBorders>
              <w:top w:val="single" w:color="auto" w:sz="6" w:space="0"/>
              <w:left w:val="single" w:color="auto" w:sz="6" w:space="0"/>
              <w:bottom w:val="single" w:color="auto" w:sz="6" w:space="0"/>
              <w:right w:val="single" w:color="auto" w:sz="6" w:space="0"/>
            </w:tcBorders>
            <w:shd w:val="clear" w:color="auto" w:fill="auto"/>
            <w:noWrap/>
            <w:vAlign w:val="center"/>
          </w:tcPr>
          <w:p>
            <w:pPr>
              <w:jc w:val="center"/>
              <w:rPr>
                <w:rFonts w:ascii="宋体" w:cs="Arial"/>
                <w:color w:val="000000"/>
                <w:sz w:val="20"/>
              </w:rPr>
            </w:pPr>
            <w:r>
              <w:rPr>
                <w:rFonts w:hint="eastAsia" w:ascii="宋体" w:cs="Arial"/>
                <w:color w:val="000000"/>
                <w:sz w:val="20"/>
              </w:rPr>
              <w:t>服务对象满意度指标</w:t>
            </w:r>
          </w:p>
        </w:tc>
        <w:tc>
          <w:tcPr>
            <w:tcW w:w="2671" w:type="dxa"/>
            <w:gridSpan w:val="3"/>
            <w:tcBorders>
              <w:top w:val="single" w:color="auto" w:sz="6" w:space="0"/>
              <w:left w:val="single" w:color="auto" w:sz="6" w:space="0"/>
              <w:bottom w:val="single" w:color="auto" w:sz="6" w:space="0"/>
              <w:right w:val="single" w:color="auto" w:sz="6" w:space="0"/>
            </w:tcBorders>
            <w:shd w:val="clear" w:color="auto" w:fill="auto"/>
            <w:noWrap/>
            <w:vAlign w:val="center"/>
          </w:tcPr>
          <w:p>
            <w:pPr>
              <w:rPr>
                <w:rFonts w:ascii="宋体" w:cs="Arial"/>
                <w:color w:val="000000"/>
                <w:sz w:val="20"/>
              </w:rPr>
            </w:pPr>
            <w:r>
              <w:rPr>
                <w:rFonts w:hint="eastAsia" w:ascii="宋体" w:cs="Arial"/>
                <w:color w:val="000000"/>
                <w:sz w:val="20"/>
              </w:rPr>
              <w:t>指标1：</w:t>
            </w:r>
          </w:p>
        </w:tc>
        <w:tc>
          <w:tcPr>
            <w:tcW w:w="947" w:type="dxa"/>
            <w:tcBorders>
              <w:top w:val="single" w:color="auto" w:sz="6" w:space="0"/>
              <w:left w:val="single" w:color="auto" w:sz="6" w:space="0"/>
              <w:bottom w:val="single" w:color="auto" w:sz="6" w:space="0"/>
              <w:right w:val="single" w:color="auto" w:sz="6" w:space="0"/>
            </w:tcBorders>
            <w:shd w:val="clear" w:color="auto" w:fill="FFFFFF"/>
            <w:noWrap/>
            <w:vAlign w:val="center"/>
          </w:tcPr>
          <w:p>
            <w:pPr>
              <w:jc w:val="center"/>
              <w:rPr>
                <w:rFonts w:ascii="宋体"/>
                <w:sz w:val="20"/>
              </w:rPr>
            </w:pPr>
            <w:r>
              <w:rPr>
                <w:rFonts w:hint="eastAsia" w:ascii="宋体"/>
                <w:sz w:val="20"/>
              </w:rPr>
              <w:t>98%</w:t>
            </w:r>
          </w:p>
        </w:tc>
        <w:tc>
          <w:tcPr>
            <w:tcW w:w="100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98%</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trHeight w:val="90" w:hRule="atLeast"/>
        </w:trPr>
        <w:tc>
          <w:tcPr>
            <w:tcW w:w="7338" w:type="dxa"/>
            <w:gridSpan w:val="8"/>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总分</w:t>
            </w:r>
          </w:p>
        </w:tc>
        <w:tc>
          <w:tcPr>
            <w:tcW w:w="1026"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94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861"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bl>
    <w:p>
      <w:pPr>
        <w:spacing w:line="600" w:lineRule="exact"/>
        <w:jc w:val="left"/>
        <w:rPr>
          <w:rFonts w:ascii="仿宋" w:eastAsia="仿宋"/>
          <w:kern w:val="0"/>
          <w:sz w:val="32"/>
          <w:highlight w:val="yellow"/>
        </w:rPr>
      </w:pPr>
    </w:p>
    <w:p>
      <w:pPr>
        <w:spacing w:line="600" w:lineRule="exact"/>
        <w:ind w:firstLine="640"/>
        <w:jc w:val="left"/>
        <w:rPr>
          <w:rFonts w:ascii="仿宋" w:eastAsia="仿宋"/>
          <w:kern w:val="0"/>
          <w:sz w:val="32"/>
          <w:highlight w:val="yellow"/>
        </w:rPr>
      </w:pPr>
      <w:r>
        <w:rPr>
          <w:rFonts w:hint="eastAsia" w:ascii="仿宋" w:eastAsia="仿宋" w:cs="Arial"/>
          <w:kern w:val="0"/>
          <w:sz w:val="32"/>
          <w:highlight w:val="yellow"/>
        </w:rPr>
        <w:t>5.2019年司法行政机关转移支付资金（法律援助）</w:t>
      </w:r>
      <w:r>
        <w:rPr>
          <w:rFonts w:hint="eastAsia" w:ascii="仿宋" w:eastAsia="仿宋"/>
          <w:kern w:val="0"/>
          <w:sz w:val="32"/>
          <w:highlight w:val="yellow"/>
        </w:rPr>
        <w:t>项目绩效自评综述：根据年初设定的绩效目标，</w:t>
      </w:r>
      <w:r>
        <w:rPr>
          <w:rFonts w:hint="eastAsia" w:ascii="仿宋" w:eastAsia="仿宋" w:cs="Arial"/>
          <w:kern w:val="0"/>
          <w:sz w:val="32"/>
          <w:highlight w:val="yellow"/>
        </w:rPr>
        <w:t>一案一补</w:t>
      </w:r>
      <w:r>
        <w:rPr>
          <w:rFonts w:hint="eastAsia" w:ascii="仿宋" w:eastAsia="仿宋"/>
          <w:kern w:val="0"/>
          <w:sz w:val="32"/>
          <w:highlight w:val="yellow"/>
        </w:rPr>
        <w:t>项目绩效自评得分为100分。项目全年预算数为7万元，执行数为7万元，完成预算的100%。</w:t>
      </w:r>
    </w:p>
    <w:tbl>
      <w:tblPr>
        <w:tblStyle w:val="8"/>
        <w:tblW w:w="11225" w:type="dxa"/>
        <w:tblInd w:w="0" w:type="dxa"/>
        <w:tblLayout w:type="fixed"/>
        <w:tblCellMar>
          <w:top w:w="0" w:type="dxa"/>
          <w:left w:w="108" w:type="dxa"/>
          <w:bottom w:w="0" w:type="dxa"/>
          <w:right w:w="108" w:type="dxa"/>
        </w:tblCellMar>
      </w:tblPr>
      <w:tblGrid>
        <w:gridCol w:w="789"/>
        <w:gridCol w:w="869"/>
        <w:gridCol w:w="1064"/>
        <w:gridCol w:w="1064"/>
        <w:gridCol w:w="1201"/>
        <w:gridCol w:w="411"/>
        <w:gridCol w:w="1149"/>
        <w:gridCol w:w="1030"/>
        <w:gridCol w:w="189"/>
        <w:gridCol w:w="46"/>
        <w:gridCol w:w="790"/>
        <w:gridCol w:w="34"/>
        <w:gridCol w:w="478"/>
        <w:gridCol w:w="33"/>
        <w:gridCol w:w="510"/>
        <w:gridCol w:w="34"/>
        <w:gridCol w:w="599"/>
        <w:gridCol w:w="32"/>
        <w:gridCol w:w="875"/>
        <w:gridCol w:w="28"/>
      </w:tblGrid>
      <w:tr>
        <w:tblPrEx>
          <w:tblLayout w:type="fixed"/>
          <w:tblCellMar>
            <w:top w:w="0" w:type="dxa"/>
            <w:left w:w="108" w:type="dxa"/>
            <w:bottom w:w="0" w:type="dxa"/>
            <w:right w:w="108" w:type="dxa"/>
          </w:tblCellMar>
        </w:tblPrEx>
        <w:trPr>
          <w:trHeight w:val="90" w:hRule="atLeast"/>
        </w:trPr>
        <w:tc>
          <w:tcPr>
            <w:tcW w:w="789" w:type="dxa"/>
            <w:tcBorders>
              <w:top w:val="nil"/>
              <w:left w:val="nil"/>
              <w:bottom w:val="nil"/>
              <w:right w:val="nil"/>
            </w:tcBorders>
            <w:noWrap/>
            <w:vAlign w:val="center"/>
          </w:tcPr>
          <w:p>
            <w:pPr>
              <w:rPr>
                <w:rFonts w:ascii="宋体" w:cs="Arial"/>
                <w:color w:val="000000"/>
                <w:sz w:val="20"/>
              </w:rPr>
            </w:pPr>
          </w:p>
        </w:tc>
        <w:tc>
          <w:tcPr>
            <w:tcW w:w="869" w:type="dxa"/>
            <w:tcBorders>
              <w:top w:val="nil"/>
              <w:left w:val="nil"/>
              <w:bottom w:val="nil"/>
              <w:right w:val="nil"/>
            </w:tcBorders>
            <w:noWrap/>
            <w:vAlign w:val="center"/>
          </w:tcPr>
          <w:p>
            <w:pPr>
              <w:rPr>
                <w:sz w:val="24"/>
              </w:rPr>
            </w:pPr>
          </w:p>
        </w:tc>
        <w:tc>
          <w:tcPr>
            <w:tcW w:w="1064" w:type="dxa"/>
            <w:tcBorders>
              <w:top w:val="nil"/>
              <w:left w:val="nil"/>
              <w:bottom w:val="nil"/>
              <w:right w:val="nil"/>
            </w:tcBorders>
            <w:noWrap/>
            <w:vAlign w:val="center"/>
          </w:tcPr>
          <w:p>
            <w:pPr>
              <w:rPr>
                <w:sz w:val="24"/>
              </w:rPr>
            </w:pPr>
          </w:p>
        </w:tc>
        <w:tc>
          <w:tcPr>
            <w:tcW w:w="1064" w:type="dxa"/>
            <w:tcBorders>
              <w:top w:val="nil"/>
              <w:left w:val="nil"/>
              <w:bottom w:val="nil"/>
              <w:right w:val="nil"/>
            </w:tcBorders>
            <w:noWrap/>
            <w:vAlign w:val="center"/>
          </w:tcPr>
          <w:p>
            <w:pPr>
              <w:rPr>
                <w:sz w:val="24"/>
              </w:rPr>
            </w:pPr>
          </w:p>
        </w:tc>
        <w:tc>
          <w:tcPr>
            <w:tcW w:w="1201" w:type="dxa"/>
            <w:tcBorders>
              <w:top w:val="nil"/>
              <w:left w:val="nil"/>
              <w:bottom w:val="nil"/>
              <w:right w:val="nil"/>
            </w:tcBorders>
            <w:noWrap/>
            <w:vAlign w:val="center"/>
          </w:tcPr>
          <w:p>
            <w:pPr>
              <w:rPr>
                <w:sz w:val="24"/>
              </w:rPr>
            </w:pPr>
          </w:p>
        </w:tc>
        <w:tc>
          <w:tcPr>
            <w:tcW w:w="411" w:type="dxa"/>
            <w:tcBorders>
              <w:top w:val="nil"/>
              <w:left w:val="nil"/>
              <w:bottom w:val="nil"/>
              <w:right w:val="nil"/>
            </w:tcBorders>
            <w:noWrap/>
            <w:vAlign w:val="center"/>
          </w:tcPr>
          <w:p>
            <w:pPr>
              <w:rPr>
                <w:sz w:val="24"/>
              </w:rPr>
            </w:pPr>
          </w:p>
        </w:tc>
        <w:tc>
          <w:tcPr>
            <w:tcW w:w="1149" w:type="dxa"/>
            <w:tcBorders>
              <w:top w:val="nil"/>
              <w:left w:val="nil"/>
              <w:bottom w:val="nil"/>
              <w:right w:val="nil"/>
            </w:tcBorders>
            <w:noWrap/>
            <w:vAlign w:val="center"/>
          </w:tcPr>
          <w:p>
            <w:pPr>
              <w:rPr>
                <w:sz w:val="24"/>
              </w:rPr>
            </w:pPr>
          </w:p>
        </w:tc>
        <w:tc>
          <w:tcPr>
            <w:tcW w:w="1030" w:type="dxa"/>
            <w:tcBorders>
              <w:top w:val="nil"/>
              <w:left w:val="nil"/>
              <w:bottom w:val="nil"/>
              <w:right w:val="nil"/>
            </w:tcBorders>
            <w:noWrap/>
            <w:vAlign w:val="center"/>
          </w:tcPr>
          <w:p>
            <w:pPr>
              <w:rPr>
                <w:sz w:val="24"/>
              </w:rPr>
            </w:pPr>
          </w:p>
        </w:tc>
        <w:tc>
          <w:tcPr>
            <w:tcW w:w="235" w:type="dxa"/>
            <w:gridSpan w:val="2"/>
            <w:tcBorders>
              <w:top w:val="nil"/>
              <w:left w:val="nil"/>
              <w:bottom w:val="nil"/>
              <w:right w:val="nil"/>
            </w:tcBorders>
            <w:noWrap/>
            <w:vAlign w:val="center"/>
          </w:tcPr>
          <w:p>
            <w:pPr>
              <w:rPr>
                <w:sz w:val="24"/>
              </w:rPr>
            </w:pPr>
          </w:p>
        </w:tc>
        <w:tc>
          <w:tcPr>
            <w:tcW w:w="824" w:type="dxa"/>
            <w:gridSpan w:val="2"/>
            <w:tcBorders>
              <w:top w:val="nil"/>
              <w:left w:val="nil"/>
              <w:bottom w:val="nil"/>
              <w:right w:val="nil"/>
            </w:tcBorders>
            <w:noWrap/>
            <w:vAlign w:val="center"/>
          </w:tcPr>
          <w:p>
            <w:pPr>
              <w:rPr>
                <w:sz w:val="24"/>
              </w:rPr>
            </w:pPr>
          </w:p>
        </w:tc>
        <w:tc>
          <w:tcPr>
            <w:tcW w:w="511" w:type="dxa"/>
            <w:gridSpan w:val="2"/>
            <w:tcBorders>
              <w:top w:val="nil"/>
              <w:left w:val="nil"/>
              <w:bottom w:val="nil"/>
              <w:right w:val="nil"/>
            </w:tcBorders>
            <w:noWrap/>
            <w:vAlign w:val="center"/>
          </w:tcPr>
          <w:p>
            <w:pPr>
              <w:rPr>
                <w:sz w:val="24"/>
              </w:rPr>
            </w:pPr>
          </w:p>
        </w:tc>
        <w:tc>
          <w:tcPr>
            <w:tcW w:w="544" w:type="dxa"/>
            <w:gridSpan w:val="2"/>
            <w:tcBorders>
              <w:top w:val="nil"/>
              <w:left w:val="nil"/>
              <w:bottom w:val="nil"/>
              <w:right w:val="nil"/>
            </w:tcBorders>
            <w:noWrap/>
            <w:vAlign w:val="center"/>
          </w:tcPr>
          <w:p>
            <w:pPr>
              <w:rPr>
                <w:sz w:val="24"/>
              </w:rPr>
            </w:pPr>
          </w:p>
        </w:tc>
        <w:tc>
          <w:tcPr>
            <w:tcW w:w="631" w:type="dxa"/>
            <w:gridSpan w:val="2"/>
            <w:tcBorders>
              <w:top w:val="nil"/>
              <w:left w:val="nil"/>
              <w:bottom w:val="nil"/>
              <w:right w:val="nil"/>
            </w:tcBorders>
            <w:noWrap/>
            <w:vAlign w:val="center"/>
          </w:tcPr>
          <w:p>
            <w:pPr>
              <w:rPr>
                <w:sz w:val="24"/>
              </w:rPr>
            </w:pPr>
          </w:p>
        </w:tc>
        <w:tc>
          <w:tcPr>
            <w:tcW w:w="903" w:type="dxa"/>
            <w:gridSpan w:val="2"/>
            <w:tcBorders>
              <w:top w:val="nil"/>
              <w:left w:val="nil"/>
              <w:bottom w:val="nil"/>
              <w:right w:val="nil"/>
            </w:tcBorders>
            <w:noWrap/>
            <w:vAlign w:val="center"/>
          </w:tcPr>
          <w:p>
            <w:pPr>
              <w:rPr>
                <w:sz w:val="24"/>
              </w:rPr>
            </w:pPr>
          </w:p>
        </w:tc>
      </w:tr>
      <w:tr>
        <w:tblPrEx>
          <w:tblLayout w:type="fixed"/>
          <w:tblCellMar>
            <w:top w:w="0" w:type="dxa"/>
            <w:left w:w="108" w:type="dxa"/>
            <w:bottom w:w="0" w:type="dxa"/>
            <w:right w:w="108" w:type="dxa"/>
          </w:tblCellMar>
        </w:tblPrEx>
        <w:trPr>
          <w:gridAfter w:val="1"/>
          <w:wAfter w:w="28" w:type="dxa"/>
          <w:trHeight w:val="90" w:hRule="atLeast"/>
        </w:trPr>
        <w:tc>
          <w:tcPr>
            <w:tcW w:w="11197" w:type="dxa"/>
            <w:gridSpan w:val="19"/>
            <w:tcBorders>
              <w:top w:val="nil"/>
              <w:left w:val="nil"/>
              <w:bottom w:val="nil"/>
              <w:right w:val="nil"/>
            </w:tcBorders>
            <w:noWrap/>
            <w:vAlign w:val="center"/>
          </w:tcPr>
          <w:p>
            <w:pPr>
              <w:jc w:val="center"/>
              <w:rPr>
                <w:rFonts w:ascii="宋体" w:cs="Arial"/>
                <w:b/>
                <w:color w:val="000000"/>
                <w:sz w:val="32"/>
              </w:rPr>
            </w:pPr>
            <w:r>
              <w:rPr>
                <w:rFonts w:hint="eastAsia" w:ascii="宋体" w:cs="Arial"/>
                <w:b/>
                <w:color w:val="000000"/>
                <w:sz w:val="32"/>
              </w:rPr>
              <w:t>2019年司法行政机关转移支付资金（法律援助）项目支出绩效自评表</w:t>
            </w:r>
          </w:p>
        </w:tc>
      </w:tr>
      <w:tr>
        <w:tblPrEx>
          <w:tblLayout w:type="fixed"/>
          <w:tblCellMar>
            <w:top w:w="0" w:type="dxa"/>
            <w:left w:w="108" w:type="dxa"/>
            <w:bottom w:w="0" w:type="dxa"/>
            <w:right w:w="108" w:type="dxa"/>
          </w:tblCellMar>
        </w:tblPrEx>
        <w:trPr>
          <w:gridAfter w:val="1"/>
          <w:wAfter w:w="28" w:type="dxa"/>
          <w:trHeight w:val="90" w:hRule="atLeast"/>
        </w:trPr>
        <w:tc>
          <w:tcPr>
            <w:tcW w:w="11197" w:type="dxa"/>
            <w:gridSpan w:val="19"/>
            <w:tcBorders>
              <w:top w:val="nil"/>
              <w:left w:val="nil"/>
              <w:bottom w:val="nil"/>
              <w:right w:val="nil"/>
            </w:tcBorders>
            <w:noWrap/>
            <w:vAlign w:val="center"/>
          </w:tcPr>
          <w:p>
            <w:pPr>
              <w:jc w:val="center"/>
              <w:rPr>
                <w:rFonts w:ascii="宋体" w:cs="Arial"/>
                <w:color w:val="000000"/>
                <w:sz w:val="20"/>
              </w:rPr>
            </w:pPr>
            <w:r>
              <w:rPr>
                <w:rFonts w:hint="eastAsia" w:ascii="宋体" w:cs="Arial"/>
                <w:color w:val="000000"/>
                <w:sz w:val="20"/>
              </w:rPr>
              <w:t>（2019年度）</w:t>
            </w:r>
          </w:p>
        </w:tc>
      </w:tr>
      <w:tr>
        <w:tblPrEx>
          <w:tblLayout w:type="fixed"/>
          <w:tblCellMar>
            <w:top w:w="0" w:type="dxa"/>
            <w:left w:w="108" w:type="dxa"/>
            <w:bottom w:w="0" w:type="dxa"/>
            <w:right w:w="108" w:type="dxa"/>
          </w:tblCellMar>
        </w:tblPrEx>
        <w:trPr>
          <w:gridAfter w:val="1"/>
          <w:wAfter w:w="28" w:type="dxa"/>
          <w:trHeight w:val="90" w:hRule="atLeast"/>
        </w:trPr>
        <w:tc>
          <w:tcPr>
            <w:tcW w:w="165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项目名称</w:t>
            </w:r>
          </w:p>
        </w:tc>
        <w:tc>
          <w:tcPr>
            <w:tcW w:w="9539" w:type="dxa"/>
            <w:gridSpan w:val="17"/>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2019年司法行政机关转移支付资金（法律援助）</w:t>
            </w:r>
          </w:p>
        </w:tc>
      </w:tr>
      <w:tr>
        <w:tblPrEx>
          <w:tblLayout w:type="fixed"/>
          <w:tblCellMar>
            <w:top w:w="0" w:type="dxa"/>
            <w:left w:w="108" w:type="dxa"/>
            <w:bottom w:w="0" w:type="dxa"/>
            <w:right w:w="108" w:type="dxa"/>
          </w:tblCellMar>
        </w:tblPrEx>
        <w:trPr>
          <w:gridAfter w:val="1"/>
          <w:wAfter w:w="28" w:type="dxa"/>
          <w:trHeight w:val="90" w:hRule="atLeast"/>
        </w:trPr>
        <w:tc>
          <w:tcPr>
            <w:tcW w:w="165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主管部门</w:t>
            </w:r>
          </w:p>
        </w:tc>
        <w:tc>
          <w:tcPr>
            <w:tcW w:w="4889" w:type="dxa"/>
            <w:gridSpan w:val="5"/>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玛纳斯县人民政府</w:t>
            </w:r>
          </w:p>
        </w:tc>
        <w:tc>
          <w:tcPr>
            <w:tcW w:w="12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实施单位</w:t>
            </w:r>
          </w:p>
        </w:tc>
        <w:tc>
          <w:tcPr>
            <w:tcW w:w="3431" w:type="dxa"/>
            <w:gridSpan w:val="10"/>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玛纳斯县司法局</w:t>
            </w:r>
          </w:p>
        </w:tc>
      </w:tr>
      <w:tr>
        <w:tblPrEx>
          <w:tblLayout w:type="fixed"/>
          <w:tblCellMar>
            <w:top w:w="0" w:type="dxa"/>
            <w:left w:w="108" w:type="dxa"/>
            <w:bottom w:w="0" w:type="dxa"/>
            <w:right w:w="108" w:type="dxa"/>
          </w:tblCellMar>
        </w:tblPrEx>
        <w:trPr>
          <w:gridAfter w:val="1"/>
          <w:wAfter w:w="28" w:type="dxa"/>
          <w:trHeight w:val="90" w:hRule="atLeast"/>
        </w:trPr>
        <w:tc>
          <w:tcPr>
            <w:tcW w:w="1658" w:type="dxa"/>
            <w:gridSpan w:val="2"/>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项目资金       （万元）</w:t>
            </w:r>
          </w:p>
        </w:tc>
        <w:tc>
          <w:tcPr>
            <w:tcW w:w="212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20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年初预算数</w:t>
            </w:r>
          </w:p>
        </w:tc>
        <w:tc>
          <w:tcPr>
            <w:tcW w:w="156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全年预算数</w:t>
            </w:r>
          </w:p>
        </w:tc>
        <w:tc>
          <w:tcPr>
            <w:tcW w:w="12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全年执行数</w:t>
            </w:r>
          </w:p>
        </w:tc>
        <w:tc>
          <w:tcPr>
            <w:tcW w:w="134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117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执行率</w:t>
            </w:r>
          </w:p>
        </w:tc>
        <w:tc>
          <w:tcPr>
            <w:tcW w:w="90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r>
      <w:tr>
        <w:tblPrEx>
          <w:tblLayout w:type="fixed"/>
          <w:tblCellMar>
            <w:top w:w="0" w:type="dxa"/>
            <w:left w:w="108" w:type="dxa"/>
            <w:bottom w:w="0" w:type="dxa"/>
            <w:right w:w="108" w:type="dxa"/>
          </w:tblCellMar>
        </w:tblPrEx>
        <w:trPr>
          <w:gridAfter w:val="1"/>
          <w:wAfter w:w="28" w:type="dxa"/>
          <w:trHeight w:val="90" w:hRule="atLeast"/>
        </w:trPr>
        <w:tc>
          <w:tcPr>
            <w:tcW w:w="1658" w:type="dxa"/>
            <w:gridSpan w:val="2"/>
            <w:vMerge w:val="continue"/>
            <w:tcBorders>
              <w:top w:val="nil"/>
              <w:left w:val="single" w:color="auto" w:sz="6" w:space="0"/>
              <w:bottom w:val="nil"/>
              <w:right w:val="single" w:color="auto" w:sz="6" w:space="0"/>
            </w:tcBorders>
            <w:noWrap/>
            <w:vAlign w:val="center"/>
          </w:tcPr>
          <w:p/>
        </w:tc>
        <w:tc>
          <w:tcPr>
            <w:tcW w:w="2128" w:type="dxa"/>
            <w:gridSpan w:val="2"/>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年度资金总额</w:t>
            </w:r>
          </w:p>
        </w:tc>
        <w:tc>
          <w:tcPr>
            <w:tcW w:w="120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56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2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34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17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90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r>
      <w:tr>
        <w:tblPrEx>
          <w:tblLayout w:type="fixed"/>
          <w:tblCellMar>
            <w:top w:w="0" w:type="dxa"/>
            <w:left w:w="108" w:type="dxa"/>
            <w:bottom w:w="0" w:type="dxa"/>
            <w:right w:w="108" w:type="dxa"/>
          </w:tblCellMar>
        </w:tblPrEx>
        <w:trPr>
          <w:gridAfter w:val="1"/>
          <w:wAfter w:w="28" w:type="dxa"/>
          <w:trHeight w:val="90" w:hRule="atLeast"/>
        </w:trPr>
        <w:tc>
          <w:tcPr>
            <w:tcW w:w="1658" w:type="dxa"/>
            <w:gridSpan w:val="2"/>
            <w:vMerge w:val="continue"/>
            <w:tcBorders>
              <w:top w:val="nil"/>
              <w:left w:val="single" w:color="auto" w:sz="6" w:space="0"/>
              <w:bottom w:val="nil"/>
              <w:right w:val="single" w:color="auto" w:sz="6" w:space="0"/>
            </w:tcBorders>
            <w:noWrap/>
            <w:vAlign w:val="center"/>
          </w:tcPr>
          <w:p/>
        </w:tc>
        <w:tc>
          <w:tcPr>
            <w:tcW w:w="212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其中：当年财政拨款</w:t>
            </w:r>
          </w:p>
        </w:tc>
        <w:tc>
          <w:tcPr>
            <w:tcW w:w="120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56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2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7</w:t>
            </w:r>
          </w:p>
        </w:tc>
        <w:tc>
          <w:tcPr>
            <w:tcW w:w="134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17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90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r>
      <w:tr>
        <w:tblPrEx>
          <w:tblLayout w:type="fixed"/>
          <w:tblCellMar>
            <w:top w:w="0" w:type="dxa"/>
            <w:left w:w="108" w:type="dxa"/>
            <w:bottom w:w="0" w:type="dxa"/>
            <w:right w:w="108" w:type="dxa"/>
          </w:tblCellMar>
        </w:tblPrEx>
        <w:trPr>
          <w:gridAfter w:val="1"/>
          <w:wAfter w:w="28" w:type="dxa"/>
          <w:trHeight w:val="90" w:hRule="atLeast"/>
        </w:trPr>
        <w:tc>
          <w:tcPr>
            <w:tcW w:w="1658" w:type="dxa"/>
            <w:gridSpan w:val="2"/>
            <w:vMerge w:val="continue"/>
            <w:tcBorders>
              <w:top w:val="nil"/>
              <w:left w:val="single" w:color="auto" w:sz="6" w:space="0"/>
              <w:bottom w:val="nil"/>
              <w:right w:val="single" w:color="auto" w:sz="6" w:space="0"/>
            </w:tcBorders>
            <w:noWrap/>
            <w:vAlign w:val="center"/>
          </w:tcPr>
          <w:p/>
        </w:tc>
        <w:tc>
          <w:tcPr>
            <w:tcW w:w="212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上年结转资金</w:t>
            </w:r>
          </w:p>
        </w:tc>
        <w:tc>
          <w:tcPr>
            <w:tcW w:w="120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56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2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34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117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0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r>
      <w:tr>
        <w:tblPrEx>
          <w:tblLayout w:type="fixed"/>
          <w:tblCellMar>
            <w:top w:w="0" w:type="dxa"/>
            <w:left w:w="108" w:type="dxa"/>
            <w:bottom w:w="0" w:type="dxa"/>
            <w:right w:w="108" w:type="dxa"/>
          </w:tblCellMar>
        </w:tblPrEx>
        <w:trPr>
          <w:gridAfter w:val="1"/>
          <w:wAfter w:w="28" w:type="dxa"/>
          <w:trHeight w:val="90" w:hRule="atLeast"/>
        </w:trPr>
        <w:tc>
          <w:tcPr>
            <w:tcW w:w="1658" w:type="dxa"/>
            <w:gridSpan w:val="2"/>
            <w:vMerge w:val="continue"/>
            <w:tcBorders>
              <w:top w:val="nil"/>
              <w:left w:val="single" w:color="auto" w:sz="6" w:space="0"/>
              <w:bottom w:val="single" w:color="auto" w:sz="6" w:space="0"/>
              <w:right w:val="single" w:color="auto" w:sz="6" w:space="0"/>
            </w:tcBorders>
            <w:noWrap/>
            <w:vAlign w:val="center"/>
          </w:tcPr>
          <w:p/>
        </w:tc>
        <w:tc>
          <w:tcPr>
            <w:tcW w:w="2128"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 xml:space="preserve">  其他资金</w:t>
            </w:r>
          </w:p>
        </w:tc>
        <w:tc>
          <w:tcPr>
            <w:tcW w:w="1201"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p>
        </w:tc>
        <w:tc>
          <w:tcPr>
            <w:tcW w:w="1560"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219"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348"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c>
          <w:tcPr>
            <w:tcW w:w="1176"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907" w:type="dxa"/>
            <w:gridSpan w:val="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w:t>
            </w: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年度总体目标</w:t>
            </w:r>
          </w:p>
        </w:tc>
        <w:tc>
          <w:tcPr>
            <w:tcW w:w="5758"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预期目标</w:t>
            </w:r>
          </w:p>
        </w:tc>
        <w:tc>
          <w:tcPr>
            <w:tcW w:w="4650" w:type="dxa"/>
            <w:gridSpan w:val="1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实际完成情况</w:t>
            </w: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single" w:color="auto" w:sz="6" w:space="0"/>
              <w:left w:val="single" w:color="auto" w:sz="6" w:space="0"/>
              <w:bottom w:val="single" w:color="auto" w:sz="6" w:space="0"/>
              <w:right w:val="single" w:color="auto" w:sz="6" w:space="0"/>
            </w:tcBorders>
            <w:noWrap/>
            <w:vAlign w:val="center"/>
          </w:tcPr>
          <w:p/>
        </w:tc>
        <w:tc>
          <w:tcPr>
            <w:tcW w:w="5758" w:type="dxa"/>
            <w:gridSpan w:val="6"/>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面实施《法律援助条例)，以实现“应援尽援”为目标。负责全县的法律援助工作，受理法律援助申请对全县特定弱势群体和特殊案件当事人提供法律援助，承力或组织承办在全县有重大影响的法律援动案件和全县公益性法律援助事项。负责“12348法律服务专线工作。解答法律咨询。宣传法律法规和政策。</w:t>
            </w:r>
          </w:p>
        </w:tc>
        <w:tc>
          <w:tcPr>
            <w:tcW w:w="4650" w:type="dxa"/>
            <w:gridSpan w:val="12"/>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全面实施《法律援助条例)，以实现“应援尽援”为目标。负责全县的法律援助工作，受理法律援助申请对全县特定弱势群体和特殊案件当事人提供法律援助，承力或组织承办在全县有重大影响的法律援动案件和全县公益性法律援助事项。负责“12349法律服务专线工作。解答法律咨询。宣传法律法规和政策。</w:t>
            </w: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restart"/>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绩              效    指    标</w:t>
            </w:r>
          </w:p>
        </w:tc>
        <w:tc>
          <w:tcPr>
            <w:tcW w:w="869"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一级指标</w:t>
            </w:r>
          </w:p>
        </w:tc>
        <w:tc>
          <w:tcPr>
            <w:tcW w:w="1064"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二级指标</w:t>
            </w:r>
          </w:p>
        </w:tc>
        <w:tc>
          <w:tcPr>
            <w:tcW w:w="2676" w:type="dxa"/>
            <w:gridSpan w:val="3"/>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三级指标</w:t>
            </w:r>
          </w:p>
        </w:tc>
        <w:tc>
          <w:tcPr>
            <w:tcW w:w="114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年度</w:t>
            </w: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实际</w:t>
            </w:r>
          </w:p>
        </w:tc>
        <w:tc>
          <w:tcPr>
            <w:tcW w:w="1025" w:type="dxa"/>
            <w:gridSpan w:val="3"/>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分值</w:t>
            </w:r>
          </w:p>
        </w:tc>
        <w:tc>
          <w:tcPr>
            <w:tcW w:w="1055" w:type="dxa"/>
            <w:gridSpan w:val="4"/>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得分</w:t>
            </w:r>
          </w:p>
        </w:tc>
        <w:tc>
          <w:tcPr>
            <w:tcW w:w="1540" w:type="dxa"/>
            <w:gridSpan w:val="4"/>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偏差原因分析及改进措施</w:t>
            </w: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vMerge w:val="continue"/>
            <w:tcBorders>
              <w:top w:val="single" w:color="auto" w:sz="6" w:space="0"/>
              <w:left w:val="single" w:color="auto" w:sz="6" w:space="0"/>
              <w:bottom w:val="single" w:color="auto" w:sz="6" w:space="0"/>
              <w:right w:val="single" w:color="auto" w:sz="6" w:space="0"/>
            </w:tcBorders>
            <w:noWrap/>
            <w:vAlign w:val="center"/>
          </w:tcPr>
          <w:p/>
        </w:tc>
        <w:tc>
          <w:tcPr>
            <w:tcW w:w="2676" w:type="dxa"/>
            <w:gridSpan w:val="3"/>
            <w:vMerge w:val="continue"/>
            <w:tcBorders>
              <w:top w:val="single" w:color="auto" w:sz="6" w:space="0"/>
              <w:left w:val="single" w:color="auto" w:sz="6" w:space="0"/>
              <w:bottom w:val="single" w:color="auto" w:sz="6" w:space="0"/>
              <w:right w:val="single" w:color="auto" w:sz="6" w:space="0"/>
            </w:tcBorders>
            <w:noWrap/>
            <w:vAlign w:val="center"/>
          </w:tcPr>
          <w:p/>
        </w:tc>
        <w:tc>
          <w:tcPr>
            <w:tcW w:w="114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指标值</w:t>
            </w: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完成值</w:t>
            </w:r>
          </w:p>
        </w:tc>
        <w:tc>
          <w:tcPr>
            <w:tcW w:w="1025" w:type="dxa"/>
            <w:gridSpan w:val="3"/>
            <w:vMerge w:val="continue"/>
            <w:tcBorders>
              <w:top w:val="single" w:color="auto" w:sz="6" w:space="0"/>
              <w:left w:val="single" w:color="auto" w:sz="6" w:space="0"/>
              <w:bottom w:val="single" w:color="auto" w:sz="6" w:space="0"/>
              <w:right w:val="single" w:color="auto" w:sz="6" w:space="0"/>
            </w:tcBorders>
            <w:noWrap/>
            <w:vAlign w:val="center"/>
          </w:tcPr>
          <w:p/>
        </w:tc>
        <w:tc>
          <w:tcPr>
            <w:tcW w:w="1055" w:type="dxa"/>
            <w:gridSpan w:val="4"/>
            <w:vMerge w:val="continue"/>
            <w:tcBorders>
              <w:top w:val="single" w:color="auto" w:sz="6" w:space="0"/>
              <w:left w:val="single" w:color="auto" w:sz="6" w:space="0"/>
              <w:bottom w:val="single" w:color="auto" w:sz="6" w:space="0"/>
              <w:right w:val="single" w:color="auto" w:sz="6" w:space="0"/>
            </w:tcBorders>
            <w:noWrap/>
            <w:vAlign w:val="center"/>
          </w:tcPr>
          <w:p/>
        </w:tc>
        <w:tc>
          <w:tcPr>
            <w:tcW w:w="1540" w:type="dxa"/>
            <w:gridSpan w:val="4"/>
            <w:vMerge w:val="continue"/>
            <w:tcBorders>
              <w:top w:val="single" w:color="auto" w:sz="6" w:space="0"/>
              <w:left w:val="single" w:color="auto" w:sz="6" w:space="0"/>
              <w:bottom w:val="single" w:color="auto" w:sz="6" w:space="0"/>
              <w:right w:val="single" w:color="auto" w:sz="6" w:space="0"/>
            </w:tcBorders>
            <w:noWrap/>
            <w:vAlign w:val="center"/>
          </w:tc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产出指标</w:t>
            </w:r>
          </w:p>
          <w:p>
            <w:pPr>
              <w:jc w:val="center"/>
              <w:rPr>
                <w:rFonts w:ascii="宋体" w:cs="Arial"/>
                <w:color w:val="000000"/>
                <w:sz w:val="20"/>
              </w:rPr>
            </w:pPr>
            <w:r>
              <w:rPr>
                <w:rFonts w:hint="eastAsia" w:ascii="宋体" w:cs="Arial"/>
                <w:color w:val="000000"/>
                <w:sz w:val="20"/>
              </w:rPr>
              <w:t>（50分）</w:t>
            </w:r>
          </w:p>
        </w:tc>
        <w:tc>
          <w:tcPr>
            <w:tcW w:w="1064"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数量指标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指标1：法律援助中心个数</w:t>
            </w:r>
          </w:p>
        </w:tc>
        <w:tc>
          <w:tcPr>
            <w:tcW w:w="1149" w:type="dxa"/>
            <w:tcBorders>
              <w:top w:val="single" w:color="auto" w:sz="6" w:space="0"/>
              <w:left w:val="nil"/>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1中心</w:t>
            </w:r>
          </w:p>
        </w:tc>
        <w:tc>
          <w:tcPr>
            <w:tcW w:w="1030" w:type="dxa"/>
            <w:tcBorders>
              <w:top w:val="single" w:color="auto" w:sz="6" w:space="0"/>
              <w:left w:val="nil"/>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1中心</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vMerge w:val="continue"/>
            <w:tcBorders>
              <w:top w:val="single" w:color="auto" w:sz="6" w:space="0"/>
              <w:left w:val="single" w:color="auto" w:sz="6" w:space="0"/>
              <w:bottom w:val="single" w:color="auto" w:sz="6" w:space="0"/>
              <w:right w:val="single" w:color="auto" w:sz="6" w:space="0"/>
            </w:tcBorders>
            <w:noWrap/>
            <w:vAlign w:val="center"/>
          </w:tcP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指标2：法律援助中心人数</w:t>
            </w:r>
          </w:p>
        </w:tc>
        <w:tc>
          <w:tcPr>
            <w:tcW w:w="1149" w:type="dxa"/>
            <w:tcBorders>
              <w:top w:val="nil"/>
              <w:left w:val="nil"/>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40人</w:t>
            </w:r>
          </w:p>
        </w:tc>
        <w:tc>
          <w:tcPr>
            <w:tcW w:w="1030" w:type="dxa"/>
            <w:tcBorders>
              <w:top w:val="nil"/>
              <w:left w:val="nil"/>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40人</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vMerge w:val="continue"/>
            <w:tcBorders>
              <w:top w:val="single" w:color="auto" w:sz="6" w:space="0"/>
              <w:left w:val="single" w:color="auto" w:sz="6" w:space="0"/>
              <w:bottom w:val="single" w:color="auto" w:sz="6" w:space="0"/>
              <w:right w:val="single" w:color="auto" w:sz="6" w:space="0"/>
            </w:tcBorders>
            <w:noWrap/>
            <w:vAlign w:val="center"/>
          </w:tcP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指标3：法律援助中心案件数</w:t>
            </w:r>
          </w:p>
        </w:tc>
        <w:tc>
          <w:tcPr>
            <w:tcW w:w="1149" w:type="dxa"/>
            <w:tcBorders>
              <w:top w:val="nil"/>
              <w:left w:val="nil"/>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100件</w:t>
            </w:r>
          </w:p>
        </w:tc>
        <w:tc>
          <w:tcPr>
            <w:tcW w:w="1030" w:type="dxa"/>
            <w:tcBorders>
              <w:top w:val="nil"/>
              <w:left w:val="nil"/>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168件</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vMerge w:val="continue"/>
            <w:tcBorders>
              <w:top w:val="single" w:color="auto" w:sz="6" w:space="0"/>
              <w:left w:val="single" w:color="auto" w:sz="6" w:space="0"/>
              <w:bottom w:val="single" w:color="auto" w:sz="6" w:space="0"/>
              <w:right w:val="single" w:color="auto" w:sz="6" w:space="0"/>
            </w:tcBorders>
            <w:noWrap/>
            <w:vAlign w:val="center"/>
          </w:tcP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指标4：法律援助人数</w:t>
            </w:r>
          </w:p>
        </w:tc>
        <w:tc>
          <w:tcPr>
            <w:tcW w:w="1149" w:type="dxa"/>
            <w:tcBorders>
              <w:top w:val="nil"/>
              <w:left w:val="nil"/>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390人</w:t>
            </w: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ascii="Calibri" w:hAnsi="Calibri"/>
                <w:color w:val="000000"/>
                <w:sz w:val="20"/>
              </w:rPr>
              <w:t>397</w:t>
            </w:r>
            <w:r>
              <w:rPr>
                <w:rFonts w:hint="eastAsia" w:ascii="宋体"/>
                <w:color w:val="000000"/>
                <w:sz w:val="20"/>
              </w:rPr>
              <w:t>人</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质量指标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 xml:space="preserve"> 指标1：受援人员占案件人员百分比</w:t>
            </w:r>
          </w:p>
        </w:tc>
        <w:tc>
          <w:tcPr>
            <w:tcW w:w="1149" w:type="dxa"/>
            <w:tcBorders>
              <w:top w:val="nil"/>
              <w:left w:val="nil"/>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100%</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vMerge w:val="continue"/>
            <w:tcBorders>
              <w:top w:val="single" w:color="auto" w:sz="6" w:space="0"/>
              <w:left w:val="single" w:color="auto" w:sz="6" w:space="0"/>
              <w:bottom w:val="single" w:color="auto" w:sz="6" w:space="0"/>
              <w:right w:val="single" w:color="auto" w:sz="6" w:space="0"/>
            </w:tcBorders>
            <w:noWrap/>
            <w:vAlign w:val="center"/>
          </w:tcP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指标2：援助中困难人员占比</w:t>
            </w:r>
          </w:p>
        </w:tc>
        <w:tc>
          <w:tcPr>
            <w:tcW w:w="1149" w:type="dxa"/>
            <w:tcBorders>
              <w:top w:val="nil"/>
              <w:left w:val="nil"/>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≦0.5%</w:t>
            </w:r>
          </w:p>
        </w:tc>
        <w:tc>
          <w:tcPr>
            <w:tcW w:w="1030" w:type="dxa"/>
            <w:tcBorders>
              <w:top w:val="nil"/>
              <w:left w:val="nil"/>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0.5%</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2.5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时效指标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指标1：资金按时拨付到位率</w:t>
            </w:r>
          </w:p>
        </w:tc>
        <w:tc>
          <w:tcPr>
            <w:tcW w:w="1149" w:type="dxa"/>
            <w:tcBorders>
              <w:top w:val="nil"/>
              <w:left w:val="nil"/>
              <w:bottom w:val="single" w:color="auto" w:sz="6" w:space="0"/>
              <w:right w:val="single" w:color="auto" w:sz="6" w:space="0"/>
            </w:tcBorders>
            <w:noWrap/>
          </w:tcPr>
          <w:p>
            <w:pPr>
              <w:jc w:val="center"/>
              <w:rPr>
                <w:rFonts w:ascii="宋体" w:cs="Arial"/>
                <w:sz w:val="20"/>
              </w:rPr>
            </w:pPr>
            <w:r>
              <w:rPr>
                <w:rFonts w:hint="eastAsia" w:ascii="宋体" w:cs="Arial"/>
                <w:sz w:val="20"/>
              </w:rPr>
              <w:t>100%</w:t>
            </w:r>
          </w:p>
        </w:tc>
        <w:tc>
          <w:tcPr>
            <w:tcW w:w="1030" w:type="dxa"/>
            <w:tcBorders>
              <w:top w:val="nil"/>
              <w:left w:val="nil"/>
              <w:bottom w:val="single" w:color="auto" w:sz="6" w:space="0"/>
              <w:right w:val="single" w:color="auto" w:sz="6" w:space="0"/>
            </w:tcBorders>
            <w:noWrap/>
          </w:tcPr>
          <w:p>
            <w:pPr>
              <w:jc w:val="center"/>
              <w:rPr>
                <w:rFonts w:ascii="宋体"/>
                <w:sz w:val="20"/>
              </w:rPr>
            </w:pPr>
            <w:r>
              <w:rPr>
                <w:rFonts w:hint="eastAsia" w:ascii="宋体"/>
                <w:sz w:val="20"/>
              </w:rPr>
              <w:t>100%</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成本指标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指标1：上级专项资金金额</w:t>
            </w:r>
          </w:p>
        </w:tc>
        <w:tc>
          <w:tcPr>
            <w:tcW w:w="1149" w:type="dxa"/>
            <w:tcBorders>
              <w:top w:val="nil"/>
              <w:left w:val="nil"/>
              <w:bottom w:val="single" w:color="auto" w:sz="6" w:space="0"/>
              <w:right w:val="single" w:color="auto" w:sz="6" w:space="0"/>
            </w:tcBorders>
            <w:noWrap/>
          </w:tcPr>
          <w:p>
            <w:pPr>
              <w:jc w:val="center"/>
              <w:rPr>
                <w:rFonts w:ascii="宋体" w:cs="Arial"/>
                <w:sz w:val="20"/>
              </w:rPr>
            </w:pPr>
            <w:r>
              <w:rPr>
                <w:rFonts w:hint="eastAsia" w:ascii="宋体" w:cs="Arial"/>
                <w:sz w:val="20"/>
              </w:rPr>
              <w:t>7万元</w:t>
            </w:r>
          </w:p>
        </w:tc>
        <w:tc>
          <w:tcPr>
            <w:tcW w:w="1030" w:type="dxa"/>
            <w:tcBorders>
              <w:top w:val="nil"/>
              <w:left w:val="nil"/>
              <w:bottom w:val="single" w:color="auto" w:sz="6" w:space="0"/>
              <w:right w:val="single" w:color="auto" w:sz="6" w:space="0"/>
            </w:tcBorders>
            <w:noWrap/>
          </w:tcPr>
          <w:p>
            <w:pPr>
              <w:jc w:val="center"/>
              <w:rPr>
                <w:rFonts w:ascii="宋体"/>
                <w:sz w:val="20"/>
              </w:rPr>
            </w:pPr>
            <w:r>
              <w:rPr>
                <w:rFonts w:hint="eastAsia" w:ascii="宋体"/>
                <w:sz w:val="20"/>
              </w:rPr>
              <w:t>7万元</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vMerge w:val="continue"/>
            <w:tcBorders>
              <w:top w:val="single" w:color="auto" w:sz="6" w:space="0"/>
              <w:left w:val="single" w:color="auto" w:sz="6" w:space="0"/>
              <w:bottom w:val="single" w:color="auto" w:sz="6" w:space="0"/>
              <w:right w:val="single" w:color="auto" w:sz="6" w:space="0"/>
            </w:tcBorders>
            <w:noWrap/>
            <w:vAlign w:val="center"/>
          </w:tcP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指标1：法律援助案件补助费用</w:t>
            </w:r>
          </w:p>
        </w:tc>
        <w:tc>
          <w:tcPr>
            <w:tcW w:w="1149" w:type="dxa"/>
            <w:tcBorders>
              <w:top w:val="nil"/>
              <w:left w:val="nil"/>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600元/件</w:t>
            </w: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600元</w:t>
            </w:r>
            <w:r>
              <w:rPr>
                <w:color w:val="000000"/>
                <w:sz w:val="20"/>
              </w:rPr>
              <w:t>/</w:t>
            </w:r>
            <w:r>
              <w:rPr>
                <w:rFonts w:hint="eastAsia" w:ascii="宋体"/>
                <w:color w:val="000000"/>
                <w:sz w:val="20"/>
              </w:rPr>
              <w:t>件</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restart"/>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效益指标</w:t>
            </w:r>
          </w:p>
          <w:p>
            <w:pPr>
              <w:jc w:val="center"/>
              <w:rPr>
                <w:rFonts w:ascii="宋体" w:cs="Arial"/>
                <w:color w:val="000000"/>
                <w:sz w:val="20"/>
              </w:rPr>
            </w:pPr>
            <w:r>
              <w:rPr>
                <w:rFonts w:hint="eastAsia" w:ascii="宋体" w:cs="Arial"/>
                <w:color w:val="000000"/>
                <w:sz w:val="20"/>
              </w:rPr>
              <w:t>（30分）</w:t>
            </w:r>
          </w:p>
        </w:tc>
        <w:tc>
          <w:tcPr>
            <w:tcW w:w="1064"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经济效益指标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1149" w:type="dxa"/>
            <w:tcBorders>
              <w:top w:val="nil"/>
              <w:left w:val="nil"/>
              <w:bottom w:val="single" w:color="auto" w:sz="6" w:space="0"/>
              <w:right w:val="single" w:color="auto" w:sz="6" w:space="0"/>
            </w:tcBorders>
            <w:noWrap/>
          </w:tcPr>
          <w:p>
            <w:pPr>
              <w:jc w:val="center"/>
              <w:rPr>
                <w:rFonts w:ascii="宋体"/>
                <w:sz w:val="20"/>
              </w:rPr>
            </w:pP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ascii="Calibri" w:hAnsi="Calibri" w:eastAsia="Calibri"/>
                <w:color w:val="000000"/>
                <w:sz w:val="20"/>
              </w:rPr>
            </w:pP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社会效益指标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指标1：受理法律援助申请对全县特定弱势群体和特殊案件当事人提供法律援助，提高法律公正性</w:t>
            </w:r>
          </w:p>
        </w:tc>
        <w:tc>
          <w:tcPr>
            <w:tcW w:w="1149" w:type="dxa"/>
            <w:tcBorders>
              <w:top w:val="nil"/>
              <w:left w:val="nil"/>
              <w:bottom w:val="single" w:color="auto" w:sz="6" w:space="0"/>
              <w:right w:val="single" w:color="auto" w:sz="6" w:space="0"/>
            </w:tcBorders>
            <w:noWrap/>
            <w:vAlign w:val="center"/>
          </w:tcPr>
          <w:p>
            <w:pPr>
              <w:jc w:val="center"/>
              <w:rPr>
                <w:rFonts w:ascii="宋体" w:cs="Arial"/>
                <w:sz w:val="20"/>
              </w:rPr>
            </w:pPr>
            <w:r>
              <w:rPr>
                <w:rFonts w:hint="eastAsia" w:ascii="宋体" w:cs="Arial"/>
                <w:sz w:val="20"/>
              </w:rPr>
              <w:t>提升</w:t>
            </w:r>
          </w:p>
        </w:tc>
        <w:tc>
          <w:tcPr>
            <w:tcW w:w="1030" w:type="dxa"/>
            <w:tcBorders>
              <w:top w:val="nil"/>
              <w:left w:val="nil"/>
              <w:bottom w:val="single" w:color="auto" w:sz="6" w:space="0"/>
              <w:right w:val="single" w:color="auto" w:sz="6" w:space="0"/>
            </w:tcBorders>
            <w:noWrap/>
            <w:vAlign w:val="center"/>
          </w:tcPr>
          <w:p>
            <w:pPr>
              <w:jc w:val="center"/>
              <w:rPr>
                <w:rFonts w:ascii="宋体"/>
                <w:sz w:val="20"/>
              </w:rPr>
            </w:pPr>
            <w:r>
              <w:rPr>
                <w:rFonts w:hint="eastAsia" w:ascii="宋体"/>
                <w:sz w:val="20"/>
              </w:rPr>
              <w:t>提升</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生态效益指标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w:t>
            </w:r>
          </w:p>
        </w:tc>
        <w:tc>
          <w:tcPr>
            <w:tcW w:w="1149" w:type="dxa"/>
            <w:tcBorders>
              <w:top w:val="nil"/>
              <w:left w:val="nil"/>
              <w:bottom w:val="single" w:color="auto" w:sz="6" w:space="0"/>
              <w:right w:val="single" w:color="auto" w:sz="6" w:space="0"/>
            </w:tcBorders>
            <w:noWrap/>
          </w:tcPr>
          <w:p>
            <w:pPr>
              <w:jc w:val="center"/>
              <w:rPr>
                <w:rFonts w:ascii="宋体"/>
                <w:sz w:val="20"/>
              </w:rPr>
            </w:pP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eastAsia="Times New Roman"/>
                <w:color w:val="000000"/>
                <w:sz w:val="20"/>
              </w:rPr>
            </w:pP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vMerge w:val="continue"/>
            <w:tcBorders>
              <w:top w:val="single" w:color="auto" w:sz="6" w:space="0"/>
              <w:left w:val="single" w:color="auto" w:sz="6" w:space="0"/>
              <w:bottom w:val="single" w:color="auto" w:sz="6" w:space="0"/>
              <w:right w:val="single" w:color="auto" w:sz="6" w:space="0"/>
            </w:tcBorders>
            <w:noWrap/>
            <w:vAlign w:val="center"/>
          </w:tcPr>
          <w:p/>
        </w:tc>
        <w:tc>
          <w:tcPr>
            <w:tcW w:w="106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可持续影响指标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指标1：项目持续时间</w:t>
            </w:r>
          </w:p>
        </w:tc>
        <w:tc>
          <w:tcPr>
            <w:tcW w:w="1149" w:type="dxa"/>
            <w:tcBorders>
              <w:top w:val="nil"/>
              <w:left w:val="nil"/>
              <w:bottom w:val="single" w:color="auto" w:sz="6" w:space="0"/>
              <w:right w:val="single" w:color="auto" w:sz="6" w:space="0"/>
            </w:tcBorders>
            <w:noWrap/>
            <w:vAlign w:val="center"/>
          </w:tcPr>
          <w:p>
            <w:pPr>
              <w:jc w:val="center"/>
              <w:rPr>
                <w:rFonts w:ascii="宋体" w:cs="Arial"/>
                <w:sz w:val="20"/>
              </w:rPr>
            </w:pPr>
            <w:r>
              <w:rPr>
                <w:rFonts w:hint="eastAsia" w:ascii="宋体" w:cs="Arial"/>
                <w:sz w:val="20"/>
              </w:rPr>
              <w:t>1年</w:t>
            </w: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olor w:val="000000"/>
                <w:sz w:val="20"/>
              </w:rPr>
            </w:pPr>
            <w:r>
              <w:rPr>
                <w:rFonts w:hint="eastAsia" w:ascii="宋体"/>
                <w:color w:val="000000"/>
                <w:sz w:val="20"/>
              </w:rPr>
              <w:t>1年</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15</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15</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89" w:type="dxa"/>
            <w:vMerge w:val="continue"/>
            <w:tcBorders>
              <w:top w:val="nil"/>
              <w:left w:val="single" w:color="auto" w:sz="6" w:space="0"/>
              <w:bottom w:val="nil"/>
              <w:right w:val="single" w:color="auto" w:sz="6" w:space="0"/>
            </w:tcBorders>
            <w:noWrap/>
            <w:vAlign w:val="center"/>
          </w:tcPr>
          <w:p/>
        </w:tc>
        <w:tc>
          <w:tcPr>
            <w:tcW w:w="869" w:type="dxa"/>
            <w:tcBorders>
              <w:top w:val="single" w:color="auto" w:sz="6" w:space="0"/>
              <w:left w:val="single" w:color="auto" w:sz="6" w:space="0"/>
              <w:bottom w:val="nil"/>
              <w:right w:val="single" w:color="auto" w:sz="6" w:space="0"/>
            </w:tcBorders>
            <w:noWrap/>
            <w:vAlign w:val="center"/>
          </w:tcPr>
          <w:p>
            <w:pPr>
              <w:jc w:val="center"/>
              <w:rPr>
                <w:rFonts w:ascii="宋体" w:cs="Arial"/>
                <w:color w:val="000000"/>
                <w:sz w:val="20"/>
              </w:rPr>
            </w:pPr>
            <w:r>
              <w:rPr>
                <w:rFonts w:hint="eastAsia" w:ascii="宋体" w:cs="Arial"/>
                <w:color w:val="000000"/>
                <w:sz w:val="20"/>
              </w:rPr>
              <w:t>满意度指标（10分）</w:t>
            </w:r>
          </w:p>
        </w:tc>
        <w:tc>
          <w:tcPr>
            <w:tcW w:w="1064"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服务对象满意度指标</w:t>
            </w:r>
          </w:p>
        </w:tc>
        <w:tc>
          <w:tcPr>
            <w:tcW w:w="2676" w:type="dxa"/>
            <w:gridSpan w:val="3"/>
            <w:tcBorders>
              <w:top w:val="single" w:color="auto" w:sz="6" w:space="0"/>
              <w:left w:val="single" w:color="auto" w:sz="6" w:space="0"/>
              <w:bottom w:val="single" w:color="auto" w:sz="6" w:space="0"/>
              <w:right w:val="single" w:color="auto" w:sz="6" w:space="0"/>
            </w:tcBorders>
            <w:noWrap/>
            <w:vAlign w:val="center"/>
          </w:tcPr>
          <w:p>
            <w:pPr>
              <w:rPr>
                <w:rFonts w:ascii="宋体" w:cs="Arial"/>
                <w:color w:val="000000"/>
                <w:sz w:val="20"/>
              </w:rPr>
            </w:pPr>
            <w:r>
              <w:rPr>
                <w:rFonts w:hint="eastAsia" w:ascii="宋体" w:cs="Arial"/>
                <w:color w:val="000000"/>
                <w:sz w:val="20"/>
              </w:rPr>
              <w:t>指标1：受益法律援助满意度</w:t>
            </w:r>
          </w:p>
        </w:tc>
        <w:tc>
          <w:tcPr>
            <w:tcW w:w="1149"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95%</w:t>
            </w:r>
          </w:p>
        </w:tc>
        <w:tc>
          <w:tcPr>
            <w:tcW w:w="1030" w:type="dxa"/>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96%</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r>
        <w:tblPrEx>
          <w:tblLayout w:type="fixed"/>
          <w:tblCellMar>
            <w:top w:w="0" w:type="dxa"/>
            <w:left w:w="108" w:type="dxa"/>
            <w:bottom w:w="0" w:type="dxa"/>
            <w:right w:w="108" w:type="dxa"/>
          </w:tblCellMar>
        </w:tblPrEx>
        <w:trPr>
          <w:gridAfter w:val="1"/>
          <w:wAfter w:w="28" w:type="dxa"/>
          <w:trHeight w:val="90" w:hRule="atLeast"/>
        </w:trPr>
        <w:tc>
          <w:tcPr>
            <w:tcW w:w="7577" w:type="dxa"/>
            <w:gridSpan w:val="8"/>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总分</w:t>
            </w:r>
          </w:p>
        </w:tc>
        <w:tc>
          <w:tcPr>
            <w:tcW w:w="1025" w:type="dxa"/>
            <w:gridSpan w:val="3"/>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055"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r>
              <w:rPr>
                <w:rFonts w:hint="eastAsia" w:ascii="宋体" w:cs="Arial"/>
                <w:color w:val="000000"/>
                <w:sz w:val="20"/>
              </w:rPr>
              <w:t>100</w:t>
            </w:r>
          </w:p>
        </w:tc>
        <w:tc>
          <w:tcPr>
            <w:tcW w:w="1540" w:type="dxa"/>
            <w:gridSpan w:val="4"/>
            <w:tcBorders>
              <w:top w:val="single" w:color="auto" w:sz="6" w:space="0"/>
              <w:left w:val="single" w:color="auto" w:sz="6" w:space="0"/>
              <w:bottom w:val="single" w:color="auto" w:sz="6" w:space="0"/>
              <w:right w:val="single" w:color="auto" w:sz="6" w:space="0"/>
            </w:tcBorders>
            <w:noWrap/>
            <w:vAlign w:val="center"/>
          </w:tcPr>
          <w:p>
            <w:pPr>
              <w:jc w:val="center"/>
              <w:rPr>
                <w:rFonts w:ascii="宋体" w:cs="Arial"/>
                <w:color w:val="000000"/>
                <w:sz w:val="20"/>
              </w:rPr>
            </w:pPr>
          </w:p>
        </w:tc>
      </w:tr>
    </w:tbl>
    <w:p>
      <w:pPr>
        <w:spacing w:line="600" w:lineRule="exact"/>
        <w:ind w:firstLine="640"/>
        <w:jc w:val="left"/>
        <w:rPr>
          <w:rFonts w:ascii="仿宋" w:eastAsia="仿宋"/>
          <w:kern w:val="0"/>
          <w:sz w:val="32"/>
          <w:highlight w:val="yellow"/>
        </w:rPr>
      </w:pPr>
    </w:p>
    <w:p>
      <w:pPr>
        <w:shd w:val="clear" w:color="auto" w:fill="FFFFFF"/>
        <w:spacing w:line="600" w:lineRule="exact"/>
        <w:jc w:val="center"/>
        <w:rPr>
          <w:rFonts w:eastAsia="Times New Roman"/>
          <w:kern w:val="0"/>
          <w:sz w:val="32"/>
        </w:rPr>
      </w:pPr>
      <w:r>
        <w:rPr>
          <w:rFonts w:hint="eastAsia" w:ascii="仿宋" w:eastAsia="仿宋"/>
          <w:kern w:val="0"/>
          <w:sz w:val="32"/>
        </w:rPr>
        <w:t>第三部分 专业名词解释</w:t>
      </w:r>
    </w:p>
    <w:p>
      <w:pPr>
        <w:shd w:val="clear" w:color="auto" w:fill="FFFFFF"/>
        <w:spacing w:line="600" w:lineRule="exact"/>
        <w:ind w:firstLine="640"/>
        <w:rPr>
          <w:rFonts w:eastAsia="Times New Roman"/>
          <w:kern w:val="0"/>
          <w:sz w:val="32"/>
        </w:rPr>
      </w:pPr>
      <w:r>
        <w:rPr>
          <w:rFonts w:hint="eastAsia" w:ascii="仿宋" w:eastAsia="仿宋"/>
          <w:kern w:val="0"/>
          <w:sz w:val="32"/>
        </w:rPr>
        <w:t>财政拨款收入：指同级财政当年拨付的资金。</w:t>
      </w:r>
    </w:p>
    <w:p>
      <w:pPr>
        <w:shd w:val="clear" w:color="auto" w:fill="FFFFFF"/>
        <w:spacing w:line="600" w:lineRule="exact"/>
        <w:ind w:firstLine="640"/>
        <w:rPr>
          <w:rFonts w:eastAsia="Times New Roman"/>
          <w:kern w:val="0"/>
          <w:sz w:val="32"/>
        </w:rPr>
      </w:pPr>
      <w:r>
        <w:rPr>
          <w:rFonts w:hint="eastAsia" w:ascii="仿宋" w:eastAsia="仿宋"/>
          <w:kern w:val="0"/>
          <w:sz w:val="32"/>
        </w:rPr>
        <w:t>上级补助收入：指事业单位从主管部门和上级单位取得的非财政补助收入。</w:t>
      </w:r>
    </w:p>
    <w:p>
      <w:pPr>
        <w:shd w:val="clear" w:color="auto" w:fill="FFFFFF"/>
        <w:spacing w:line="600" w:lineRule="exact"/>
        <w:ind w:firstLine="640"/>
        <w:rPr>
          <w:rFonts w:eastAsia="Times New Roman"/>
          <w:kern w:val="0"/>
          <w:sz w:val="32"/>
        </w:rPr>
      </w:pPr>
      <w:r>
        <w:rPr>
          <w:rFonts w:hint="eastAsia" w:ascii="仿宋" w:eastAsia="仿宋"/>
          <w:kern w:val="0"/>
          <w:sz w:val="32"/>
        </w:rPr>
        <w:t>事业收入：指事业单位开展专业业务活动及其辅助活动所取得的收入。</w:t>
      </w:r>
    </w:p>
    <w:p>
      <w:pPr>
        <w:shd w:val="clear" w:color="auto" w:fill="FFFFFF"/>
        <w:spacing w:line="600" w:lineRule="exact"/>
        <w:ind w:firstLine="640"/>
        <w:rPr>
          <w:rFonts w:eastAsia="Times New Roman"/>
          <w:kern w:val="0"/>
          <w:sz w:val="32"/>
        </w:rPr>
      </w:pPr>
      <w:r>
        <w:rPr>
          <w:rFonts w:hint="eastAsia" w:ascii="仿宋" w:eastAsia="仿宋"/>
          <w:kern w:val="0"/>
          <w:sz w:val="32"/>
        </w:rPr>
        <w:t>经营收入：指事业单位在专业业务活动及其辅助活动之外开展非独立核算经营活动取得的收入。</w:t>
      </w:r>
    </w:p>
    <w:p>
      <w:pPr>
        <w:shd w:val="clear" w:color="auto" w:fill="FFFFFF"/>
        <w:spacing w:line="600" w:lineRule="exact"/>
        <w:ind w:firstLine="640"/>
        <w:rPr>
          <w:rFonts w:eastAsia="Times New Roman"/>
          <w:kern w:val="0"/>
          <w:sz w:val="32"/>
        </w:rPr>
      </w:pPr>
      <w:r>
        <w:rPr>
          <w:rFonts w:hint="eastAsia" w:ascii="仿宋" w:eastAsia="仿宋"/>
          <w:kern w:val="0"/>
          <w:sz w:val="32"/>
        </w:rPr>
        <w:t>附属单位上缴收入：指事业单位附属的独立核算单位按有关规定上缴的收入。</w:t>
      </w:r>
    </w:p>
    <w:p>
      <w:pPr>
        <w:shd w:val="clear" w:color="auto" w:fill="FFFFFF"/>
        <w:spacing w:line="600" w:lineRule="exact"/>
        <w:ind w:firstLine="640"/>
        <w:rPr>
          <w:rFonts w:eastAsia="Times New Roman"/>
          <w:kern w:val="0"/>
          <w:sz w:val="32"/>
        </w:rPr>
      </w:pPr>
      <w:r>
        <w:rPr>
          <w:rFonts w:hint="eastAsia" w:ascii="仿宋" w:eastAsia="仿宋"/>
          <w:kern w:val="0"/>
          <w:sz w:val="32"/>
        </w:rPr>
        <w:t>其他收入：指除上述</w:t>
      </w:r>
      <w:r>
        <w:rPr>
          <w:rFonts w:eastAsia="Times New Roman"/>
          <w:kern w:val="0"/>
          <w:sz w:val="32"/>
        </w:rPr>
        <w:t>“</w:t>
      </w:r>
      <w:r>
        <w:rPr>
          <w:rFonts w:hint="eastAsia" w:ascii="仿宋" w:eastAsia="仿宋"/>
          <w:kern w:val="0"/>
          <w:sz w:val="32"/>
        </w:rPr>
        <w:t>财政拨款收入</w:t>
      </w:r>
      <w:r>
        <w:rPr>
          <w:rFonts w:eastAsia="Times New Roman"/>
          <w:kern w:val="0"/>
          <w:sz w:val="32"/>
        </w:rPr>
        <w:t>”</w:t>
      </w:r>
      <w:r>
        <w:rPr>
          <w:rFonts w:hint="eastAsia" w:ascii="仿宋" w:eastAsia="仿宋"/>
          <w:kern w:val="0"/>
          <w:sz w:val="32"/>
        </w:rPr>
        <w:t>、</w:t>
      </w:r>
      <w:r>
        <w:rPr>
          <w:rFonts w:eastAsia="Times New Roman"/>
          <w:kern w:val="0"/>
          <w:sz w:val="32"/>
        </w:rPr>
        <w:t>“</w:t>
      </w:r>
      <w:r>
        <w:rPr>
          <w:rFonts w:hint="eastAsia" w:ascii="仿宋" w:eastAsia="仿宋"/>
          <w:kern w:val="0"/>
          <w:sz w:val="32"/>
        </w:rPr>
        <w:t>事业收入</w:t>
      </w:r>
      <w:r>
        <w:rPr>
          <w:rFonts w:eastAsia="Times New Roman"/>
          <w:kern w:val="0"/>
          <w:sz w:val="32"/>
        </w:rPr>
        <w:t>”</w:t>
      </w:r>
      <w:r>
        <w:rPr>
          <w:rFonts w:hint="eastAsia" w:ascii="仿宋" w:eastAsia="仿宋"/>
          <w:kern w:val="0"/>
          <w:sz w:val="32"/>
        </w:rPr>
        <w:t>、</w:t>
      </w:r>
      <w:r>
        <w:rPr>
          <w:rFonts w:eastAsia="Times New Roman"/>
          <w:kern w:val="0"/>
          <w:sz w:val="32"/>
        </w:rPr>
        <w:t>“</w:t>
      </w:r>
      <w:r>
        <w:rPr>
          <w:rFonts w:hint="eastAsia" w:ascii="仿宋" w:eastAsia="仿宋"/>
          <w:kern w:val="0"/>
          <w:sz w:val="32"/>
        </w:rPr>
        <w:t>经营收入</w:t>
      </w:r>
      <w:r>
        <w:rPr>
          <w:rFonts w:eastAsia="Times New Roman"/>
          <w:kern w:val="0"/>
          <w:sz w:val="32"/>
        </w:rPr>
        <w:t>”</w:t>
      </w:r>
      <w:r>
        <w:rPr>
          <w:rFonts w:hint="eastAsia" w:ascii="仿宋" w:eastAsia="仿宋"/>
          <w:kern w:val="0"/>
          <w:sz w:val="32"/>
        </w:rPr>
        <w:t>、</w:t>
      </w:r>
      <w:r>
        <w:rPr>
          <w:rFonts w:eastAsia="Times New Roman"/>
          <w:kern w:val="0"/>
          <w:sz w:val="32"/>
        </w:rPr>
        <w:t>“</w:t>
      </w:r>
      <w:r>
        <w:rPr>
          <w:rFonts w:hint="eastAsia" w:ascii="仿宋" w:eastAsia="仿宋"/>
          <w:kern w:val="0"/>
          <w:sz w:val="32"/>
        </w:rPr>
        <w:t>附属单位上缴收入</w:t>
      </w:r>
      <w:r>
        <w:rPr>
          <w:rFonts w:eastAsia="Times New Roman"/>
          <w:kern w:val="0"/>
          <w:sz w:val="32"/>
        </w:rPr>
        <w:t>”</w:t>
      </w:r>
      <w:r>
        <w:rPr>
          <w:rFonts w:hint="eastAsia" w:ascii="仿宋" w:eastAsia="仿宋"/>
          <w:kern w:val="0"/>
          <w:sz w:val="32"/>
        </w:rPr>
        <w:t>等之外取得的收入。</w:t>
      </w:r>
    </w:p>
    <w:p>
      <w:pPr>
        <w:shd w:val="clear" w:color="auto" w:fill="FFFFFF"/>
        <w:spacing w:line="600" w:lineRule="exact"/>
        <w:ind w:firstLine="640"/>
        <w:rPr>
          <w:rFonts w:eastAsia="Times New Roman"/>
          <w:kern w:val="0"/>
          <w:sz w:val="32"/>
        </w:rPr>
      </w:pPr>
      <w:r>
        <w:rPr>
          <w:rFonts w:hint="eastAsia" w:ascii="仿宋" w:eastAsia="仿宋"/>
          <w:kern w:val="0"/>
          <w:sz w:val="32"/>
        </w:rPr>
        <w:t>用事业基金弥补收支差额：指事业单位在当年的</w:t>
      </w:r>
      <w:r>
        <w:rPr>
          <w:rFonts w:eastAsia="Times New Roman"/>
          <w:kern w:val="0"/>
          <w:sz w:val="32"/>
        </w:rPr>
        <w:t>“</w:t>
      </w:r>
      <w:r>
        <w:rPr>
          <w:rFonts w:hint="eastAsia" w:ascii="仿宋" w:eastAsia="仿宋"/>
          <w:kern w:val="0"/>
          <w:sz w:val="32"/>
        </w:rPr>
        <w:t>财政拨款收入</w:t>
      </w:r>
      <w:r>
        <w:rPr>
          <w:rFonts w:eastAsia="Times New Roman"/>
          <w:kern w:val="0"/>
          <w:sz w:val="32"/>
        </w:rPr>
        <w:t>”</w:t>
      </w:r>
      <w:r>
        <w:rPr>
          <w:rFonts w:hint="eastAsia" w:ascii="仿宋" w:eastAsia="仿宋"/>
          <w:kern w:val="0"/>
          <w:sz w:val="32"/>
        </w:rPr>
        <w:t>、</w:t>
      </w:r>
      <w:r>
        <w:rPr>
          <w:rFonts w:eastAsia="Times New Roman"/>
          <w:kern w:val="0"/>
          <w:sz w:val="32"/>
        </w:rPr>
        <w:t>“</w:t>
      </w:r>
      <w:r>
        <w:rPr>
          <w:rFonts w:hint="eastAsia" w:ascii="仿宋" w:eastAsia="仿宋"/>
          <w:kern w:val="0"/>
          <w:sz w:val="32"/>
        </w:rPr>
        <w:t>财政拨款结转和结余资金</w:t>
      </w:r>
      <w:r>
        <w:rPr>
          <w:rFonts w:eastAsia="Times New Roman"/>
          <w:kern w:val="0"/>
          <w:sz w:val="32"/>
        </w:rPr>
        <w:t>”</w:t>
      </w:r>
      <w:r>
        <w:rPr>
          <w:rFonts w:hint="eastAsia" w:ascii="仿宋" w:eastAsia="仿宋"/>
          <w:kern w:val="0"/>
          <w:sz w:val="32"/>
        </w:rPr>
        <w:t>、</w:t>
      </w:r>
      <w:r>
        <w:rPr>
          <w:rFonts w:eastAsia="Times New Roman"/>
          <w:kern w:val="0"/>
          <w:sz w:val="32"/>
        </w:rPr>
        <w:t>“</w:t>
      </w:r>
      <w:r>
        <w:rPr>
          <w:rFonts w:hint="eastAsia" w:ascii="仿宋" w:eastAsia="仿宋"/>
          <w:kern w:val="0"/>
          <w:sz w:val="32"/>
        </w:rPr>
        <w:t>事业收入</w:t>
      </w:r>
      <w:r>
        <w:rPr>
          <w:rFonts w:eastAsia="Times New Roman"/>
          <w:kern w:val="0"/>
          <w:sz w:val="32"/>
        </w:rPr>
        <w:t>”</w:t>
      </w:r>
      <w:r>
        <w:rPr>
          <w:rFonts w:hint="eastAsia" w:ascii="仿宋" w:eastAsia="仿宋"/>
          <w:kern w:val="0"/>
          <w:sz w:val="32"/>
        </w:rPr>
        <w:t>、</w:t>
      </w:r>
      <w:r>
        <w:rPr>
          <w:rFonts w:eastAsia="Times New Roman"/>
          <w:kern w:val="0"/>
          <w:sz w:val="32"/>
        </w:rPr>
        <w:t>“</w:t>
      </w:r>
      <w:r>
        <w:rPr>
          <w:rFonts w:hint="eastAsia" w:ascii="仿宋" w:eastAsia="仿宋"/>
          <w:kern w:val="0"/>
          <w:sz w:val="32"/>
        </w:rPr>
        <w:t>事业单位经营收入</w:t>
      </w:r>
      <w:r>
        <w:rPr>
          <w:rFonts w:eastAsia="Times New Roman"/>
          <w:kern w:val="0"/>
          <w:sz w:val="32"/>
        </w:rPr>
        <w:t>”</w:t>
      </w:r>
      <w:r>
        <w:rPr>
          <w:rFonts w:hint="eastAsia" w:ascii="仿宋" w:eastAsia="仿宋"/>
          <w:kern w:val="0"/>
          <w:sz w:val="32"/>
        </w:rPr>
        <w:t>、</w:t>
      </w:r>
      <w:r>
        <w:rPr>
          <w:rFonts w:eastAsia="Times New Roman"/>
          <w:kern w:val="0"/>
          <w:sz w:val="32"/>
        </w:rPr>
        <w:t>“</w:t>
      </w:r>
      <w:r>
        <w:rPr>
          <w:rFonts w:hint="eastAsia" w:ascii="仿宋" w:eastAsia="仿宋"/>
          <w:kern w:val="0"/>
          <w:sz w:val="32"/>
        </w:rPr>
        <w:t>其他收入</w:t>
      </w:r>
      <w:r>
        <w:rPr>
          <w:rFonts w:eastAsia="Times New Roman"/>
          <w:kern w:val="0"/>
          <w:sz w:val="32"/>
        </w:rPr>
        <w:t>”</w:t>
      </w:r>
      <w:r>
        <w:rPr>
          <w:rFonts w:hint="eastAsia" w:ascii="仿宋" w:eastAsia="仿宋"/>
          <w:kern w:val="0"/>
          <w:sz w:val="32"/>
        </w:rPr>
        <w:t>不足以安排当年支出的情况下，使用以前年度积累的事业基金（即事业单位当年收支相抵后按国家规定提取、用于弥补以后年度收支差额的基金）弥补本年度收支缺口的资金。</w:t>
      </w:r>
    </w:p>
    <w:p>
      <w:pPr>
        <w:shd w:val="clear" w:color="auto" w:fill="FFFFFF"/>
        <w:spacing w:line="600" w:lineRule="exact"/>
        <w:ind w:firstLine="640"/>
        <w:rPr>
          <w:rFonts w:eastAsia="Times New Roman"/>
          <w:kern w:val="0"/>
          <w:sz w:val="32"/>
        </w:rPr>
      </w:pPr>
      <w:r>
        <w:rPr>
          <w:rFonts w:hint="eastAsia" w:ascii="仿宋" w:eastAsia="仿宋"/>
          <w:kern w:val="0"/>
          <w:sz w:val="32"/>
        </w:rPr>
        <w:t>年初结转和结余：指以前年度支出预算因客观条件变化未执行完毕、结转到本年度按有关规定继续使用的资金，既包括财政拨款结转和结余，也包括事业收入、经营收入、其他收入的结转和结余。</w:t>
      </w:r>
    </w:p>
    <w:p>
      <w:pPr>
        <w:shd w:val="clear" w:color="auto" w:fill="FFFFFF"/>
        <w:spacing w:line="600" w:lineRule="exact"/>
        <w:ind w:firstLine="640"/>
        <w:rPr>
          <w:rFonts w:eastAsia="Times New Roman"/>
          <w:kern w:val="0"/>
          <w:sz w:val="32"/>
        </w:rPr>
      </w:pPr>
      <w:r>
        <w:rPr>
          <w:rFonts w:hint="eastAsia" w:ascii="仿宋" w:eastAsia="仿宋"/>
          <w:kern w:val="0"/>
          <w:sz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hd w:val="clear" w:color="auto" w:fill="FFFFFF"/>
        <w:spacing w:line="600" w:lineRule="exact"/>
        <w:ind w:firstLine="640"/>
        <w:rPr>
          <w:rFonts w:eastAsia="Times New Roman"/>
          <w:kern w:val="0"/>
          <w:sz w:val="32"/>
        </w:rPr>
      </w:pPr>
      <w:r>
        <w:rPr>
          <w:rFonts w:hint="eastAsia" w:ascii="仿宋" w:eastAsia="仿宋"/>
          <w:kern w:val="0"/>
          <w:sz w:val="32"/>
        </w:rPr>
        <w:t>基本支出：指为保障机构正常运转、完成日常工作任务而发生的人员支出和公用支出。</w:t>
      </w:r>
    </w:p>
    <w:p>
      <w:pPr>
        <w:shd w:val="clear" w:color="auto" w:fill="FFFFFF"/>
        <w:spacing w:line="500" w:lineRule="exact"/>
        <w:ind w:firstLine="640"/>
        <w:rPr>
          <w:rFonts w:eastAsia="Times New Roman"/>
          <w:kern w:val="0"/>
          <w:sz w:val="32"/>
        </w:rPr>
      </w:pPr>
      <w:r>
        <w:rPr>
          <w:rFonts w:hint="eastAsia" w:ascii="仿宋" w:eastAsia="仿宋"/>
          <w:kern w:val="0"/>
          <w:sz w:val="32"/>
        </w:rPr>
        <w:t>项目支出：指在基本支出之外为完成特定行政任务和事业发展目标所发生的支出。</w:t>
      </w:r>
    </w:p>
    <w:p>
      <w:pPr>
        <w:shd w:val="clear" w:color="auto" w:fill="FFFFFF"/>
        <w:spacing w:line="500" w:lineRule="exact"/>
        <w:ind w:firstLine="640"/>
        <w:rPr>
          <w:rFonts w:eastAsia="Times New Roman"/>
          <w:kern w:val="0"/>
          <w:sz w:val="32"/>
        </w:rPr>
      </w:pPr>
      <w:r>
        <w:rPr>
          <w:rFonts w:hint="eastAsia" w:ascii="仿宋" w:eastAsia="仿宋"/>
          <w:kern w:val="0"/>
          <w:sz w:val="32"/>
        </w:rPr>
        <w:t>经营支出：指事业单位在专业业务活动及其辅助活动之外开展非独立核算经营活动发生的支出。</w:t>
      </w:r>
    </w:p>
    <w:p>
      <w:pPr>
        <w:shd w:val="clear" w:color="auto" w:fill="FFFFFF"/>
        <w:spacing w:line="500" w:lineRule="exact"/>
        <w:ind w:firstLine="200"/>
        <w:rPr>
          <w:rFonts w:eastAsia="Times New Roman"/>
          <w:kern w:val="0"/>
          <w:sz w:val="32"/>
        </w:rPr>
      </w:pPr>
      <w:r>
        <w:rPr>
          <w:rFonts w:hint="eastAsia" w:ascii="仿宋" w:eastAsia="仿宋"/>
          <w:kern w:val="0"/>
          <w:sz w:val="32"/>
        </w:rPr>
        <w:t>对附属单位补助支出：指事业单位发生的用非财政预算资金对附属单位的补助支出。</w:t>
      </w:r>
    </w:p>
    <w:p>
      <w:pPr>
        <w:shd w:val="clear" w:color="auto" w:fill="FFFFFF"/>
        <w:spacing w:line="500" w:lineRule="exact"/>
        <w:ind w:firstLine="640"/>
        <w:rPr>
          <w:rFonts w:eastAsia="Times New Roman"/>
          <w:kern w:val="0"/>
          <w:sz w:val="32"/>
        </w:rPr>
      </w:pPr>
      <w:r>
        <w:rPr>
          <w:rFonts w:eastAsia="Times New Roman"/>
          <w:kern w:val="0"/>
          <w:sz w:val="32"/>
        </w:rPr>
        <w:t>“</w:t>
      </w:r>
      <w:r>
        <w:rPr>
          <w:rFonts w:hint="eastAsia" w:ascii="仿宋" w:eastAsia="仿宋"/>
          <w:kern w:val="0"/>
          <w:sz w:val="32"/>
        </w:rPr>
        <w:t>三公</w:t>
      </w:r>
      <w:r>
        <w:rPr>
          <w:rFonts w:eastAsia="Times New Roman"/>
          <w:kern w:val="0"/>
          <w:sz w:val="32"/>
        </w:rPr>
        <w:t>”</w:t>
      </w:r>
      <w:r>
        <w:rPr>
          <w:rFonts w:hint="eastAsia" w:ascii="仿宋" w:eastAsia="仿宋"/>
          <w:kern w:val="0"/>
          <w:sz w:val="32"/>
        </w:rPr>
        <w:t>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hd w:val="clear" w:color="auto" w:fill="FFFFFF"/>
        <w:spacing w:line="500" w:lineRule="exact"/>
        <w:ind w:firstLine="640"/>
        <w:rPr>
          <w:rFonts w:eastAsia="Times New Roman"/>
          <w:kern w:val="0"/>
          <w:sz w:val="32"/>
        </w:rPr>
      </w:pPr>
      <w:r>
        <w:rPr>
          <w:rFonts w:hint="eastAsia" w:ascii="仿宋" w:eastAsia="仿宋"/>
          <w:kern w:val="0"/>
          <w:sz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line="500" w:lineRule="exact"/>
        <w:jc w:val="center"/>
        <w:rPr>
          <w:rFonts w:eastAsia="Times New Roman"/>
          <w:kern w:val="0"/>
          <w:sz w:val="32"/>
        </w:rPr>
      </w:pPr>
      <w:r>
        <w:rPr>
          <w:rFonts w:hint="eastAsia" w:ascii="仿宋" w:eastAsia="仿宋"/>
          <w:kern w:val="0"/>
          <w:sz w:val="32"/>
        </w:rPr>
        <w:t>第四部分 部门决算报表（见附表）</w:t>
      </w:r>
    </w:p>
    <w:p>
      <w:pPr>
        <w:spacing w:line="500" w:lineRule="exact"/>
        <w:ind w:firstLine="640"/>
        <w:rPr>
          <w:rFonts w:eastAsia="Times New Roman"/>
          <w:kern w:val="0"/>
          <w:sz w:val="32"/>
        </w:rPr>
      </w:pPr>
      <w:r>
        <w:rPr>
          <w:rFonts w:hint="eastAsia" w:ascii="仿宋" w:eastAsia="仿宋"/>
          <w:kern w:val="0"/>
          <w:sz w:val="32"/>
        </w:rPr>
        <w:t>一、《收入支出决算总表》</w:t>
      </w:r>
    </w:p>
    <w:p>
      <w:pPr>
        <w:spacing w:line="500" w:lineRule="exact"/>
        <w:ind w:firstLine="640"/>
        <w:rPr>
          <w:rFonts w:eastAsia="Times New Roman"/>
          <w:kern w:val="0"/>
          <w:sz w:val="32"/>
        </w:rPr>
      </w:pPr>
      <w:r>
        <w:rPr>
          <w:rFonts w:hint="eastAsia" w:ascii="仿宋" w:eastAsia="仿宋"/>
          <w:kern w:val="0"/>
          <w:sz w:val="32"/>
        </w:rPr>
        <w:t>二、《收入决算表》</w:t>
      </w:r>
    </w:p>
    <w:p>
      <w:pPr>
        <w:spacing w:line="500" w:lineRule="exact"/>
        <w:ind w:firstLine="640"/>
        <w:rPr>
          <w:rFonts w:eastAsia="Times New Roman"/>
          <w:kern w:val="0"/>
          <w:sz w:val="32"/>
        </w:rPr>
      </w:pPr>
      <w:r>
        <w:rPr>
          <w:rFonts w:hint="eastAsia" w:ascii="仿宋" w:eastAsia="仿宋"/>
          <w:kern w:val="0"/>
          <w:sz w:val="32"/>
        </w:rPr>
        <w:t>三、《支出决算表》</w:t>
      </w:r>
    </w:p>
    <w:p>
      <w:pPr>
        <w:spacing w:line="500" w:lineRule="exact"/>
        <w:ind w:firstLine="640"/>
        <w:rPr>
          <w:rFonts w:eastAsia="Times New Roman"/>
          <w:kern w:val="0"/>
          <w:sz w:val="32"/>
        </w:rPr>
      </w:pPr>
      <w:r>
        <w:rPr>
          <w:rFonts w:hint="eastAsia" w:ascii="仿宋" w:eastAsia="仿宋"/>
          <w:kern w:val="0"/>
          <w:sz w:val="32"/>
        </w:rPr>
        <w:t>四、《财政拨款收入支出决算总表》</w:t>
      </w:r>
    </w:p>
    <w:p>
      <w:pPr>
        <w:spacing w:line="500" w:lineRule="exact"/>
        <w:ind w:firstLine="640"/>
        <w:rPr>
          <w:rFonts w:eastAsia="Times New Roman"/>
          <w:kern w:val="0"/>
          <w:sz w:val="32"/>
        </w:rPr>
      </w:pPr>
      <w:r>
        <w:rPr>
          <w:rFonts w:hint="eastAsia" w:ascii="仿宋" w:eastAsia="仿宋"/>
          <w:kern w:val="0"/>
          <w:sz w:val="32"/>
        </w:rPr>
        <w:t>五、《一般公共预算财政拨款支出决算表》</w:t>
      </w:r>
    </w:p>
    <w:p>
      <w:pPr>
        <w:spacing w:line="500" w:lineRule="exact"/>
        <w:ind w:firstLine="640"/>
        <w:rPr>
          <w:rFonts w:eastAsia="Times New Roman"/>
          <w:kern w:val="0"/>
          <w:sz w:val="32"/>
        </w:rPr>
      </w:pPr>
      <w:r>
        <w:rPr>
          <w:rFonts w:hint="eastAsia" w:ascii="仿宋" w:eastAsia="仿宋"/>
          <w:kern w:val="0"/>
          <w:sz w:val="32"/>
        </w:rPr>
        <w:t>六、《一般公共预算财政拨款基本支出决算表》</w:t>
      </w:r>
    </w:p>
    <w:p>
      <w:pPr>
        <w:spacing w:line="500" w:lineRule="exact"/>
        <w:ind w:firstLine="640"/>
        <w:rPr>
          <w:rFonts w:eastAsia="Times New Roman"/>
          <w:kern w:val="0"/>
          <w:sz w:val="32"/>
        </w:rPr>
      </w:pPr>
      <w:r>
        <w:rPr>
          <w:rFonts w:hint="eastAsia" w:ascii="仿宋" w:eastAsia="仿宋"/>
          <w:kern w:val="0"/>
          <w:sz w:val="32"/>
        </w:rPr>
        <w:t>七、《一般公共预算财政拨款</w:t>
      </w:r>
      <w:r>
        <w:rPr>
          <w:rFonts w:eastAsia="Times New Roman"/>
          <w:kern w:val="0"/>
          <w:sz w:val="32"/>
        </w:rPr>
        <w:t>“</w:t>
      </w:r>
      <w:r>
        <w:rPr>
          <w:rFonts w:hint="eastAsia" w:ascii="仿宋" w:eastAsia="仿宋"/>
          <w:kern w:val="0"/>
          <w:sz w:val="32"/>
        </w:rPr>
        <w:t>三公</w:t>
      </w:r>
      <w:r>
        <w:rPr>
          <w:rFonts w:eastAsia="Times New Roman"/>
          <w:kern w:val="0"/>
          <w:sz w:val="32"/>
        </w:rPr>
        <w:t>”</w:t>
      </w:r>
      <w:r>
        <w:rPr>
          <w:rFonts w:hint="eastAsia" w:ascii="仿宋" w:eastAsia="仿宋"/>
          <w:kern w:val="0"/>
          <w:sz w:val="32"/>
        </w:rPr>
        <w:t>经费支出决算表》</w:t>
      </w:r>
    </w:p>
    <w:p>
      <w:pPr>
        <w:spacing w:line="500" w:lineRule="exact"/>
        <w:ind w:firstLine="640"/>
        <w:rPr>
          <w:rFonts w:eastAsia="Times New Roman"/>
          <w:kern w:val="0"/>
          <w:sz w:val="32"/>
        </w:rPr>
      </w:pPr>
      <w:r>
        <w:rPr>
          <w:rFonts w:hint="eastAsia" w:ascii="仿宋" w:eastAsia="仿宋"/>
          <w:kern w:val="0"/>
          <w:sz w:val="32"/>
        </w:rPr>
        <w:t>八、《政府性基金预算财政拨款收入支出决算表》</w:t>
      </w:r>
    </w:p>
    <w:p>
      <w:pPr>
        <w:spacing w:line="600" w:lineRule="exact"/>
        <w:jc w:val="left"/>
        <w:rPr>
          <w:rFonts w:eastAsia="Times New Roman"/>
          <w:kern w:val="0"/>
          <w:sz w:val="32"/>
          <w:lang w:val="zh-CN"/>
        </w:rPr>
      </w:pPr>
    </w:p>
    <w:p>
      <w:pPr>
        <w:rPr>
          <w:rFonts w:eastAsia="Times New Roman"/>
        </w:rPr>
      </w:pPr>
    </w:p>
    <w:p>
      <w:pPr>
        <w:jc w:val="left"/>
        <w:rPr>
          <w:rFonts w:ascii="宋体"/>
          <w:kern w:val="0"/>
          <w:sz w:val="18"/>
          <w:lang w:val="zh-CN"/>
        </w:rPr>
      </w:pPr>
    </w:p>
    <w:sectPr>
      <w:pgSz w:w="12240" w:h="15840"/>
      <w:pgMar w:top="567" w:right="567" w:bottom="567" w:left="567" w:header="720" w:footer="720" w:gutter="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黑体"/>
    <w:panose1 w:val="00000000000000000000"/>
    <w:charset w:val="02"/>
    <w:family w:val="script"/>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isplayBackgroundShape w:val="1"/>
  <w:bordersDoNotSurroundHeader w:val="1"/>
  <w:bordersDoNotSurroundFooter w:val="1"/>
  <w:documentProtection w:edit="readOnly" w:enforcement="0"/>
  <w:defaultTabStop w:val="720"/>
  <w:drawingGridHorizontalSpacing w:val="120"/>
  <w:drawingGridVerticalSpacing w:val="120"/>
  <w:displayHorizontalDrawingGridEvery w:val="3"/>
  <w:displayVerticalDrawingGridEvery w:val="0"/>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381049"/>
    <w:rsid w:val="0034609A"/>
    <w:rsid w:val="00381049"/>
    <w:rsid w:val="007C2C84"/>
    <w:rsid w:val="00881E12"/>
    <w:rsid w:val="009F6F25"/>
    <w:rsid w:val="00CD6860"/>
    <w:rsid w:val="05A20404"/>
    <w:rsid w:val="05F51C71"/>
    <w:rsid w:val="08653171"/>
    <w:rsid w:val="23FC7EFB"/>
    <w:rsid w:val="29886DDE"/>
    <w:rsid w:val="487D2717"/>
    <w:rsid w:val="538066BA"/>
    <w:rsid w:val="57766DEB"/>
    <w:rsid w:val="612474FC"/>
    <w:rsid w:val="6E407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6">
    <w:name w:val="footer"/>
    <w:basedOn w:val="1"/>
    <w:link w:val="11"/>
    <w:qFormat/>
    <w:uiPriority w:val="0"/>
    <w:pPr>
      <w:tabs>
        <w:tab w:val="center" w:pos="4153"/>
        <w:tab w:val="right" w:pos="8306"/>
      </w:tabs>
      <w:snapToGrid w:val="0"/>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0"/>
    <w:rPr>
      <w:rFonts w:eastAsia="宋体"/>
      <w:kern w:val="2"/>
      <w:sz w:val="18"/>
      <w:szCs w:val="18"/>
    </w:rPr>
  </w:style>
  <w:style w:type="character" w:customStyle="1" w:styleId="11">
    <w:name w:val="页脚 Char"/>
    <w:basedOn w:val="9"/>
    <w:link w:val="6"/>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dataSourceCollection xmlns="http://www.yonyou.com/datasource"/>
</file>

<file path=customXml/item3.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598c8-0da8-4873-ab47-f5a7ec6d6401}">
  <ds:schemaRefs/>
</ds:datastoreItem>
</file>

<file path=customXml/itemProps3.xml><?xml version="1.0" encoding="utf-8"?>
<ds:datastoreItem xmlns:ds="http://schemas.openxmlformats.org/officeDocument/2006/customXml" ds:itemID="{427bb7f9-3abe-4a1e-94ed-b86682553bf9}">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1690</Words>
  <Characters>9637</Characters>
  <Lines>80</Lines>
  <Paragraphs>22</Paragraphs>
  <TotalTime>27</TotalTime>
  <ScaleCrop>false</ScaleCrop>
  <LinksUpToDate>false</LinksUpToDate>
  <CharactersWithSpaces>11305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2021-05-27T11:20:00Z</dcterms:created>
  <dc:creator>Dell</dc:creator>
  <cp:lastModifiedBy>admin</cp:lastModifiedBy>
  <dcterms:modified xsi:type="dcterms:W3CDTF">2021-06-01T04:26:09Z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