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义务教育费附加支出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玛纳斯县教育和科学技术局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玛纳斯县教育和科学技术局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张鑫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教育主要职责是</w:t>
      </w:r>
      <w:r>
        <w:rPr>
          <w:rFonts w:hint="eastAsia" w:ascii="仿宋_GB2312" w:hAnsi="仿宋_GB2312" w:eastAsia="仿宋_GB2312" w:cs="仿宋_GB2312"/>
          <w:sz w:val="28"/>
          <w:szCs w:val="28"/>
        </w:rPr>
        <w:t>全面贯彻执行党和国家、区、州有关教育工作的方针、政策和法规，拟定全县教育规章、实施方案和管理办法，并组织监督各乡镇场站人民政府和有关部门的贯彻执行。指导、加强学校德育工作，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党的基本路线在学校的贯彻执行，教育和监督教育系统干部廉洁从政，教师依法执教。负责全县中小学设置、布局调整、危房改造和学校标准化建设的统筹规划，制定年度实施目标并认真予以实施，合理配置教育资源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玛纳斯县有各级各类学校53所。其中中等职业技术学校1所、普通高中1所、初级中学3所、九年一贯制学校3所、小学13所、幼儿园32所；全县教职工1944人；在校生18849人。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其中义务教育农村学校及校点：小学8所、九年一贯制学校3所、校点4所；教职工593人、在校生3886人。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（二）项目预算绩效目标设定情况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预期目标及阶段性目标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紧紧围绕创自治区教育强县目标，以提升学校办学条件为抓手，努力推进学校标准化、均等化发展，解决了中小学办学条件的问题。实现教育均衡发展。为加强民族交流、促进民族团结、推进教育发展打下了坚实的基础，使各族群众享受到了改革发展带来的成果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项目基本性质:近年来，根据国家、自治区和昌吉州的有关文件精神,结合我县实际,我县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3、用途:义务教育农村学校规划布局日趋合理，对我县教育事业均衡发展以及实现教育公平起到了积极的推动作用。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4、主要内容、涉及范围: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玛纳斯县义务段学校及校点23所：其中义务段城镇学校8所，义务段农村学校8所，校点1所；牧区学校3所、校点3所。以科学发展观为指导,以促进教育均衡发展为目标,以办人民满意的教育为宗旨,按照“结构、规模、质量、效益”相协调的思路,坚持把调整学校布局整合教育资源工作摆在战略地位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二、项目资金使用及管理情况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（一）项目资金安排落实、总投入等情况分析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2018年项目资金资金落实16958795.72元，其中财政资金16958795.72元，自筹资金0元。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（二）项目资金实际使用情况分析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财政资金：16958795.72元，全部用于中小学项目建设及公用经费。无结余。</w:t>
      </w:r>
    </w:p>
    <w:p>
      <w:pPr>
        <w:wordWrap/>
        <w:adjustRightInd/>
        <w:snapToGrid/>
        <w:spacing w:after="0" w:line="500" w:lineRule="exact"/>
        <w:ind w:right="0" w:firstLine="546" w:firstLineChars="200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（三）项目资金管理情况分析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管理制度、办法的制定：努力用好每一分钱，办好每一件事，不断提高教育经费的管理水平和使用效益。教科局制订了《内部会计管理制度》、《财务主管岗位职责》《财务处理程序制度》《原始记录管理制度》《财务稽核制度》等20项会计制度，及时出台了《玛纳斯县教育系统财务管理办法（试行））》、《玛纳斯县学前免费资金管理办法（试行））》、《玛纳斯县教育系统报账会计工作规则》、《玛纳斯县教育系统财务报销实施细则》、《学前三年免费教育补助资金使用管理试行办法》，根据内部管理的需要，明确各工作岗位的职责和权限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执行情况：全部用于中小学项目建设及公用经费，无结余。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三、项目组织实施情况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（一）项目组织情况分析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2018年项目资金资金落实16958795.72元，其中财政资金16958795.72元，自筹资金0元。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调整情况：2018年项目资金无调整情况。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验收情况：全部用于中小学项目建设及专用设备购置，无结余。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（二）项目管理情况分析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项目管理制度建设：《玛纳斯县教育系统报账会计工作规则》、《学前三年免费教育补助资金使用管理试行办法》，严格按照资金管理办法进行实施。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日常监督管理情况：教科局每年对各学校、幼儿园的资金使用进行查阅，财政局每年对资金进行监督，定期进行“小金库”检查，确保资金全部用于中小学项目建设及公用经费支出。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四、项目绩效情况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（一）项目绩效目标完成情况分析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通过对2018年项目建设等项目的实施和社会群众走访调查，社会群体大部分认为玛纳斯县教育是一项得民心的惠民工程，该项目资金使用，在一定程度上解决了我县学校办学条件不足的问题，起到了良好的社会效益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（二）项目绩效目标未完成原因分析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已完成绩效目标。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五、其他需要说明的问题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（一）后续工作计划</w:t>
      </w:r>
    </w:p>
    <w:p>
      <w:pPr>
        <w:wordWrap/>
        <w:adjustRightInd/>
        <w:snapToGrid/>
        <w:spacing w:after="0" w:line="500" w:lineRule="exact"/>
        <w:ind w:right="0" w:firstLine="492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28"/>
          <w:szCs w:val="28"/>
          <w:lang w:eastAsia="zh-CN"/>
        </w:rPr>
        <w:t>为了不断改进办学条件，需要进一步加大学校建设力度，使学生学习的环境更加美好。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（二）主要经验及做法、存在问题和建议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经验及做法：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教科局严格按照教育经费“校财局管校用”，加强教育经费的管理，根据《财政部 教育部关于印发“中小学财务制度”的通知》的精神，为进一步规范中小学财务行为，加强了财务管理和监督，提高了资金使用效益，明确了中小学校（园）财务管理体制、预算管理、收入管理、支出管理（公用经费支出范围）、学校采购物资、购置设备和专项资金管理的具体实施要求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存在的问题：部分学校办学条件需要进一步改进。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改进措施和建议：加大资金投入，进一步改善办学条件。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（三）其他</w:t>
      </w:r>
    </w:p>
    <w:p>
      <w:pPr>
        <w:widowControl w:val="0"/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无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六、项目评价工作情况</w:t>
      </w:r>
    </w:p>
    <w:p>
      <w:pPr>
        <w:pStyle w:val="41"/>
        <w:shd w:val="clear" w:color="auto" w:fill="FFFFFF"/>
        <w:wordWrap/>
        <w:adjustRightInd/>
        <w:snapToGrid/>
        <w:spacing w:before="0" w:beforeAutospacing="0" w:after="0" w:afterAutospacing="0" w:line="500" w:lineRule="exact"/>
        <w:ind w:left="0" w:leftChars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</w:rPr>
        <w:t>县委、县人民政府的坚强领导下，在各乡镇、各部门及社会各界的关心支持下，经过全县广大教育工作者的共同努力，我县教育工作得到了长足的发展。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学前教育整体水平不断提升，义务教育组建教育联盟，构建了“法人独立、互联互助、以强带弱、对</w:t>
      </w:r>
      <w:r>
        <w:rPr>
          <w:rFonts w:hint="eastAsia" w:ascii="仿宋_GB2312" w:hAnsi="仿宋_GB2312" w:eastAsia="仿宋_GB2312" w:cs="仿宋_GB2312"/>
          <w:sz w:val="28"/>
          <w:szCs w:val="28"/>
        </w:rPr>
        <w:t>口支援”的运行模式。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</w:rPr>
        <w:t>高中教育成绩喜人，连续三年稳步上升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、有关部门和教育系统牢固树立“抓教育就是抓发展、抓未来、抓核心竞争力”的理念，紧紧围绕提高义务教育巩固率、高中阶段教育普及率、人民群众满意率的工作要求，抓投入保障发展，抓改革促进发展，抓项目带动发展，抓质量提升发展，抓队伍支撑发展，努力使学生乐学、教师乐教、学校乐办、家长乐意、社会乐助，不断提升人民群众教育幸福指数，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教育事业科学发展迈出了新步伐，取得了新成效。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  </w:t>
      </w:r>
      <w:r>
        <w:rPr>
          <w:rStyle w:val="17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 xml:space="preserve"> </w:t>
      </w:r>
      <w:r>
        <w:rPr>
          <w:rStyle w:val="17"/>
          <w:rFonts w:hint="eastAsia" w:ascii="仿宋" w:hAnsi="仿宋" w:eastAsia="仿宋"/>
          <w:b/>
          <w:bCs w:val="0"/>
          <w:spacing w:val="-4"/>
          <w:sz w:val="32"/>
          <w:szCs w:val="32"/>
        </w:rPr>
        <w:t>《玛纳斯县财政项目支出绩效自评表》</w:t>
      </w:r>
    </w:p>
    <w:tbl>
      <w:tblPr>
        <w:tblStyle w:val="15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07"/>
                <w:tab w:val="center" w:pos="2952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教育费附加支出：中小学项目建设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玛纳斯县教育和科学技术局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4"/>
                <w:szCs w:val="24"/>
                <w:lang w:val="en-US" w:eastAsia="zh-CN"/>
              </w:rPr>
              <w:t>1695.88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4"/>
                <w:szCs w:val="24"/>
                <w:lang w:val="en-US" w:eastAsia="zh-CN"/>
              </w:rPr>
              <w:t>1695.88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4"/>
                <w:szCs w:val="24"/>
                <w:lang w:val="en-US" w:eastAsia="zh-CN"/>
              </w:rPr>
              <w:t>1695.88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4"/>
                <w:szCs w:val="24"/>
                <w:lang w:val="en-US" w:eastAsia="zh-CN"/>
              </w:rPr>
              <w:t>1695.88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after="0" w:line="340" w:lineRule="exact"/>
              <w:ind w:left="0" w:leftChars="0" w:right="0" w:firstLine="420" w:firstLineChars="200"/>
              <w:jc w:val="both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以科学发展观为指导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,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以科学发展观为指导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,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项目建设涉及贫困地区学校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校舍单体建筑面积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tabs>
                <w:tab w:val="left" w:pos="547"/>
                <w:tab w:val="center" w:pos="1742"/>
              </w:tabs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校舍竣工验收合格率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校舍建设质量标准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合格以上档次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校舍建设周期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8个月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开工时间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20</w:t>
            </w: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18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年</w:t>
            </w: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10月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eastAsia="zh-CN"/>
              </w:rPr>
              <w:t>完工时间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201年10月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校舍类项目每平方米造价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≤2500元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围墙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≤700元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消防水池及设备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≤120元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项目覆盖范围义务教育阶段学生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≥11412人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校舍、运动场持续使用年限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学前教育受助年限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校舍、运动场持续使用年限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接受学前三年免费教育幼儿满意度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学生满意度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学生家长满意度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165EEF"/>
    <w:rsid w:val="658E4F11"/>
    <w:rsid w:val="774A7E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6">
    <w:name w:val="Default Paragraph Font"/>
    <w:qFormat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2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0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1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semiHidden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9">
    <w:name w:val="页眉 Char"/>
    <w:basedOn w:val="16"/>
    <w:link w:val="12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副标题 Char"/>
    <w:basedOn w:val="16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semiHidden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2">
    <w:name w:val="table of authorities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33">
    <w:name w:val="Block Text"/>
    <w:basedOn w:val="1"/>
    <w:next w:val="1"/>
    <w:link w:val="43"/>
    <w:qFormat/>
    <w:uiPriority w:val="0"/>
    <w:pPr>
      <w:widowControl/>
      <w:jc w:val="left"/>
    </w:pPr>
    <w:rPr>
      <w:i/>
      <w:sz w:val="24"/>
      <w:szCs w:val="24"/>
    </w:rPr>
  </w:style>
  <w:style w:type="paragraph" w:customStyle="1" w:styleId="34">
    <w:name w:val="批注框文本 Char Char"/>
    <w:basedOn w:val="1"/>
    <w:link w:val="42"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No Spacing"/>
    <w:basedOn w:val="1"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36">
    <w:name w:val="List Paragraph"/>
    <w:basedOn w:val="1"/>
    <w:uiPriority w:val="0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37">
    <w:name w:val="Intense Quote"/>
    <w:basedOn w:val="1"/>
    <w:next w:val="1"/>
    <w:link w:val="44"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uiPriority w:val="0"/>
    <w:pPr>
      <w:outlineLvl w:val="9"/>
    </w:pPr>
    <w:rPr>
      <w:lang w:eastAsia="en-US" w:bidi="en-US"/>
    </w:rPr>
  </w:style>
  <w:style w:type="paragraph" w:customStyle="1" w:styleId="39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40">
    <w:name w:val="引文目录1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41">
    <w:name w:val="HTML Address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42">
    <w:name w:val="批注框文本 Char Char Char Char"/>
    <w:basedOn w:val="16"/>
    <w:link w:val="34"/>
    <w:semiHidden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3">
    <w:name w:val="引用 Char"/>
    <w:basedOn w:val="16"/>
    <w:link w:val="33"/>
    <w:semiHidden/>
    <w:uiPriority w:val="0"/>
    <w:rPr>
      <w:i/>
      <w:sz w:val="24"/>
      <w:szCs w:val="24"/>
    </w:rPr>
  </w:style>
  <w:style w:type="character" w:customStyle="1" w:styleId="44">
    <w:name w:val="明显引用 Char"/>
    <w:basedOn w:val="16"/>
    <w:link w:val="37"/>
    <w:semiHidden/>
    <w:qFormat/>
    <w:uiPriority w:val="0"/>
    <w:rPr>
      <w:b/>
      <w:i/>
      <w:sz w:val="24"/>
    </w:rPr>
  </w:style>
  <w:style w:type="character" w:customStyle="1" w:styleId="45">
    <w:name w:val="不明显强调1"/>
    <w:uiPriority w:val="0"/>
    <w:rPr>
      <w:i/>
      <w:color w:val="565656"/>
    </w:rPr>
  </w:style>
  <w:style w:type="character" w:customStyle="1" w:styleId="46">
    <w:name w:val="明显强调1"/>
    <w:basedOn w:val="16"/>
    <w:uiPriority w:val="0"/>
    <w:rPr>
      <w:b/>
      <w:i/>
      <w:sz w:val="24"/>
      <w:szCs w:val="24"/>
      <w:u w:val="single"/>
    </w:rPr>
  </w:style>
  <w:style w:type="character" w:customStyle="1" w:styleId="47">
    <w:name w:val="不明显参考1"/>
    <w:basedOn w:val="16"/>
    <w:uiPriority w:val="0"/>
    <w:rPr>
      <w:sz w:val="24"/>
      <w:szCs w:val="24"/>
      <w:u w:val="single"/>
    </w:rPr>
  </w:style>
  <w:style w:type="character" w:customStyle="1" w:styleId="48">
    <w:name w:val="明显参考1"/>
    <w:basedOn w:val="16"/>
    <w:uiPriority w:val="0"/>
    <w:rPr>
      <w:b/>
      <w:sz w:val="24"/>
      <w:u w:val="single"/>
    </w:rPr>
  </w:style>
  <w:style w:type="character" w:customStyle="1" w:styleId="49">
    <w:name w:val="书籍标题1"/>
    <w:basedOn w:val="16"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203</Words>
  <Characters>1159</Characters>
  <Lines>9</Lines>
  <Paragraphs>2</Paragraphs>
  <TotalTime>4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2018-08-18T02:06:00Z</dcterms:created>
  <dc:creator>赵 恺（预算处）</dc:creator>
  <cp:lastModifiedBy>Administrator</cp:lastModifiedBy>
  <cp:lastPrinted>2019-01-16T05:40:00Z</cp:lastPrinted>
  <dcterms:modified xsi:type="dcterms:W3CDTF">2025-02-08T03:38:24Z</dcterms:modified>
  <dc:title>Microsoft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