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1080" w:hanging="1080" w:hangingChars="300"/>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2018年文化旅游提升工程实施方案中央基建投资（广播电视设备提升改造项目）</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玛纳斯县广播电视台</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玛纳斯县文旅广新局</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吕海滨</w:t>
      </w:r>
    </w:p>
    <w:p>
      <w:pPr>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 xml:space="preserve"> 20</w:t>
      </w:r>
      <w:r>
        <w:rPr>
          <w:rFonts w:hint="eastAsia" w:hAnsi="宋体" w:eastAsia="仿宋_GB2312" w:cs="宋体"/>
          <w:kern w:val="0"/>
          <w:sz w:val="36"/>
          <w:szCs w:val="36"/>
        </w:rPr>
        <w:t>日</w:t>
      </w: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after="0"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（一）项目单位基本情况</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1、机构类别：公益二类</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2、主要职责任务：负责对广播电台、有线电视台、地面卫星接收转播节目及本县自办节目进行监督管理；承担县文化宣传、新闻采编、对外宣传、电视节目制作、信息广告等相关社会服务。</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机构规格、内设机构、人员编制、领导职数：玛纳斯县广播电视台，机构规格相当于科级，玛纳斯县广播电视台设总编室、新闻部、社教部、技术部、文艺部、外宣部、电台节目部、网站等8个内设机构，核定事业编制28名，其中领导职数2名。</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（二）项目预算</w:t>
      </w:r>
      <w:r>
        <w:rPr>
          <w:rStyle w:val="19"/>
          <w:rFonts w:ascii="楷体" w:hAnsi="楷体" w:eastAsia="楷体"/>
          <w:color w:val="auto"/>
          <w:spacing w:val="-4"/>
          <w:sz w:val="32"/>
          <w:szCs w:val="32"/>
        </w:rPr>
        <w:t>绩效目标</w:t>
      </w:r>
      <w:r>
        <w:rPr>
          <w:rStyle w:val="19"/>
          <w:rFonts w:hint="eastAsia" w:ascii="楷体" w:hAnsi="楷体" w:eastAsia="楷体"/>
          <w:color w:val="auto"/>
          <w:spacing w:val="-4"/>
          <w:sz w:val="32"/>
          <w:szCs w:val="32"/>
        </w:rPr>
        <w:t>设定情况</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鉴于我台所使用的广播电视设备运行已10余年之久，早已达到了报废年限，基础性采编播设备陈旧老化、故障频出，随时都有运行瘫痪的危险，已远远不能适应目前工作需求。为提高节目制作播出质量,提升玛纳斯形象, 实现数字化制播网络化系统，急需进行广播电视制播系统提升改造。</w:t>
      </w:r>
    </w:p>
    <w:p>
      <w:pPr>
        <w:keepNext w:val="0"/>
        <w:keepLines w:val="0"/>
        <w:pageBreakBefore w:val="0"/>
        <w:kinsoku/>
        <w:wordWrap/>
        <w:overflowPunct/>
        <w:topLinePunct w:val="0"/>
        <w:autoSpaceDE/>
        <w:autoSpaceDN/>
        <w:bidi w:val="0"/>
        <w:adjustRightInd/>
        <w:snapToGrid/>
        <w:spacing w:line="520" w:lineRule="exact"/>
        <w:ind w:firstLine="640"/>
        <w:textAlignment w:val="auto"/>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二、项目资金使用及管理情况</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（一）项目资金安排落实、总投入等情况分析</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昌州财建【2018】26号文件，2018年文化旅游提升工程实施方案中央基建投资预算及配套资金下达160万元，县级配套40万元，总计下达200万元。该项目总投资527.441万元。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7" w:firstLineChars="200"/>
        <w:jc w:val="both"/>
        <w:textAlignment w:val="auto"/>
        <w:outlineLvl w:val="9"/>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（二）项目资金实际使用情况分析</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1、广播电视环路双电源供电建设说明</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我台现已建设完成供电环路双母线接入建设，待供电部门调整线路后即可实现短时间双母线自动切换供电。这一广播电视基础性保障设施的实施，彻底改变了多年来广播电视台单一供电线路，易发生停电即停播的局面，切实加强了广播电视安全播出的可靠性。</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2、广播电视台自备UPS电源保障设施建设</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通过双母线接入建设，我台按照需求又建设实际供电功率</w:t>
      </w:r>
      <w:bookmarkStart w:id="0" w:name="_Hlk491765030"/>
      <w:r>
        <w:rPr>
          <w:rStyle w:val="19"/>
          <w:rFonts w:hint="eastAsia" w:ascii="仿宋" w:hAnsi="仿宋" w:eastAsia="仿宋"/>
          <w:b w:val="0"/>
          <w:spacing w:val="-4"/>
          <w:sz w:val="32"/>
          <w:szCs w:val="32"/>
          <w:lang w:val="en-US" w:eastAsia="zh-CN"/>
        </w:rPr>
        <w:t>180KVA</w:t>
      </w:r>
      <w:bookmarkEnd w:id="0"/>
      <w:r>
        <w:rPr>
          <w:rStyle w:val="19"/>
          <w:rFonts w:hint="eastAsia" w:ascii="仿宋" w:hAnsi="仿宋" w:eastAsia="仿宋"/>
          <w:b w:val="0"/>
          <w:spacing w:val="-4"/>
          <w:sz w:val="32"/>
          <w:szCs w:val="32"/>
          <w:lang w:val="en-US" w:eastAsia="zh-CN"/>
        </w:rPr>
        <w:t xml:space="preserve">，可扩容至300KVA的 UPS不间断电源一套，为制作机房、广播电台机房、前端播出机房、发射机房、新闻中心记者办公室、总编室等关键部位提供UPS供电， Ups供电设计时间2小时，主要为各类存储及服务器设备有效保存资料、正常关闭设备及配合双电源切换提供电源保障。目前已建设完成并投入运行，这一设施的建设使广播电视安全播出的可靠性，又得到了进一步。 </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3、广播电台制播系统建设方面</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我台根据实际需求建设了由制作系统、直播室系统、分控系统、主备服务器网络、延时、智能切换、同步及时钟等系统设备组成的数字化播控系统。实现了全台播出节目切、测、管、控，构成的全台流程网络化、智能化的综合播控系统。目前已投入运行。该播控系统的建成从根本上改变了广播电台在播出效果、音质、直播节目、安全播出等方面的存在的问题。也充分满足当前及今后一段时间广播节目制作播出的需要。</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4、高清制作编辑系统更新改造情况</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次实施的高清编辑制作网络系统，是新建超融合构架技术平台与现有的节目制作、媒资管理系统无缝连接，总体采用8+1模式，即8台高清制作编辑工作站，1台4K编辑工作站构成。通过高清数字化、网络智能化的制作网体系，实现高清节目制作、存储管理的高安全、高扩展性目的。制作系统后台核心平台采用超融合服务集群4节点高性能节点存储服务器，物理可用容量168T，带宽1.8GB/s以上。制作系统后台服务提供制作系统集网络管理、基础平台、文稿、检索、资源管理模块等、具备丰富的视频、音频素材，字幕、特技、时间线模板等。极大的丰富了编辑制作新闻、专题类节目制作的需求。并在外宣方面实现与新疆电视台、昌吉电视台高清新闻制作网无缝连接，新闻稿件能实时在线和新疆电视台、昌吉电视台新闻稿件系统共享互联互通。</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5、更新改造电视播出系统的说明</w:t>
      </w:r>
    </w:p>
    <w:p>
      <w:pPr>
        <w:spacing w:after="0" w:line="540" w:lineRule="exact"/>
        <w:ind w:firstLine="564" w:firstLineChars="181"/>
        <w:rPr>
          <w:rStyle w:val="19"/>
          <w:rFonts w:hint="eastAsia" w:ascii="仿宋" w:hAnsi="仿宋" w:eastAsia="仿宋"/>
          <w:b w:val="0"/>
          <w:spacing w:val="-4"/>
          <w:sz w:val="32"/>
          <w:szCs w:val="32"/>
          <w:lang w:val="en-US" w:eastAsia="zh-CN"/>
        </w:rPr>
      </w:pPr>
      <w:bookmarkStart w:id="1" w:name="_Toc469319957"/>
      <w:bookmarkStart w:id="2" w:name="_Toc469045293"/>
      <w:r>
        <w:rPr>
          <w:rStyle w:val="19"/>
          <w:rFonts w:hint="eastAsia" w:ascii="仿宋" w:hAnsi="仿宋" w:eastAsia="仿宋"/>
          <w:b w:val="0"/>
          <w:spacing w:val="-4"/>
          <w:sz w:val="32"/>
          <w:szCs w:val="32"/>
          <w:lang w:val="en-US" w:eastAsia="zh-CN"/>
        </w:rPr>
        <w:t>本次建设的广播电视台高清播出系统总体是：基于全台一体化、制播网络化，实现全数字、全高清（兼容标清）、网络化的播出系统。</w:t>
      </w:r>
      <w:bookmarkEnd w:id="1"/>
      <w:bookmarkEnd w:id="2"/>
      <w:r>
        <w:rPr>
          <w:rStyle w:val="19"/>
          <w:rFonts w:hint="eastAsia" w:ascii="仿宋" w:hAnsi="仿宋" w:eastAsia="仿宋"/>
          <w:b w:val="0"/>
          <w:spacing w:val="-4"/>
          <w:sz w:val="32"/>
          <w:szCs w:val="32"/>
          <w:lang w:val="en-US" w:eastAsia="zh-CN"/>
        </w:rPr>
        <w:t>播控系统主要包括播出控制系统、播控存储系统、高标清视音频、同步、字幕、技审、硬盘播出系统、应用处理集群、播出总控系统、播出字幕系统、上载等系统。采用稳定可靠的视频服务器， 视频服务器采取主备存储（有效物理容量80T左右）。各播出频道系统均采用主/备通道结构。该系统的投入使用将有效的改善我台自办频道播出存在多年的音视频质量差，安全播出无保障方面的问题，从根本上满足了我台未来事业发展、产业运营及技术发展的需求。</w:t>
      </w:r>
      <w:bookmarkStart w:id="3" w:name="fig_00007_05"/>
      <w:bookmarkEnd w:id="3"/>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（三）项目资金管理情况分析</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专项资金管理和使用遵循“统一规划、分级负责、明确目标、注重绩效、规范管理、专款专用”的原则。</w:t>
      </w:r>
    </w:p>
    <w:p>
      <w:pPr>
        <w:keepNext w:val="0"/>
        <w:keepLines w:val="0"/>
        <w:pageBreakBefore w:val="0"/>
        <w:kinsoku/>
        <w:wordWrap/>
        <w:overflowPunct/>
        <w:topLinePunct w:val="0"/>
        <w:autoSpaceDE/>
        <w:autoSpaceDN/>
        <w:bidi w:val="0"/>
        <w:adjustRightInd/>
        <w:snapToGrid/>
        <w:spacing w:line="520" w:lineRule="exact"/>
        <w:ind w:firstLine="640"/>
        <w:textAlignment w:val="auto"/>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三、项目组织实施情况</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（一）项目组织情况分析</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项目全程在财政监督下完成，履行正规程序，完成验收。资金使用严格执行各项规章制度，资金落实到位，不拖欠，不做项目外的其他支出。</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（二）项目管理情况分析</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我台项目资金使用严格执行“三重一大”管理制度，对本台重大支出上会讨论，经办人具体实施，主管领导监督，台委会审核，进行层层监督管理。把资金的使用落到实处。</w:t>
      </w:r>
    </w:p>
    <w:p>
      <w:pPr>
        <w:keepNext w:val="0"/>
        <w:keepLines w:val="0"/>
        <w:pageBreakBefore w:val="0"/>
        <w:kinsoku/>
        <w:wordWrap/>
        <w:overflowPunct/>
        <w:topLinePunct w:val="0"/>
        <w:autoSpaceDE/>
        <w:autoSpaceDN/>
        <w:bidi w:val="0"/>
        <w:adjustRightInd/>
        <w:snapToGrid/>
        <w:spacing w:line="520" w:lineRule="exact"/>
        <w:ind w:firstLine="640"/>
        <w:textAlignment w:val="auto"/>
        <w:rPr>
          <w:rStyle w:val="19"/>
          <w:rFonts w:ascii="黑体" w:hAnsi="黑体" w:eastAsia="黑体"/>
          <w:color w:val="auto"/>
        </w:rPr>
      </w:pPr>
      <w:r>
        <w:rPr>
          <w:rStyle w:val="19"/>
          <w:rFonts w:hint="eastAsia" w:ascii="黑体" w:hAnsi="黑体" w:eastAsia="黑体"/>
          <w:b w:val="0"/>
          <w:color w:val="auto"/>
          <w:spacing w:val="-4"/>
          <w:sz w:val="32"/>
          <w:szCs w:val="32"/>
        </w:rPr>
        <w:t>四、项目绩效情况</w:t>
      </w:r>
      <w:r>
        <w:rPr>
          <w:rStyle w:val="19"/>
          <w:rFonts w:hint="eastAsia" w:ascii="黑体" w:hAnsi="黑体" w:eastAsia="黑体"/>
          <w:color w:val="auto"/>
        </w:rPr>
        <w:t xml:space="preserve"> </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Fonts w:ascii="楷体" w:hAnsi="楷体" w:eastAsia="楷体"/>
          <w:b/>
          <w:color w:val="auto"/>
          <w:spacing w:val="-4"/>
          <w:sz w:val="32"/>
          <w:szCs w:val="32"/>
        </w:rPr>
      </w:pPr>
      <w:r>
        <w:rPr>
          <w:rFonts w:hint="eastAsia" w:ascii="楷体" w:hAnsi="楷体" w:eastAsia="楷体"/>
          <w:b/>
          <w:color w:val="auto"/>
          <w:spacing w:val="-4"/>
          <w:sz w:val="32"/>
          <w:szCs w:val="32"/>
        </w:rPr>
        <w:t>（一）项目绩效目标完成情况分析</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2018年我台项目资金专款专用，全部用于项目建设。</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textAlignment w:val="auto"/>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五、其他需要说明的问题</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Fonts w:ascii="楷体" w:hAnsi="楷体" w:eastAsia="楷体"/>
          <w:b/>
          <w:color w:val="auto"/>
          <w:spacing w:val="-4"/>
          <w:sz w:val="32"/>
          <w:szCs w:val="32"/>
        </w:rPr>
      </w:pPr>
      <w:r>
        <w:rPr>
          <w:rFonts w:hint="eastAsia" w:ascii="楷体" w:hAnsi="楷体" w:eastAsia="楷体"/>
          <w:b/>
          <w:color w:val="auto"/>
          <w:spacing w:val="-4"/>
          <w:sz w:val="32"/>
          <w:szCs w:val="32"/>
        </w:rPr>
        <w:t>（一）后续工作计划</w:t>
      </w:r>
    </w:p>
    <w:p>
      <w:pPr>
        <w:keepNext w:val="0"/>
        <w:keepLines w:val="0"/>
        <w:pageBreakBefore w:val="0"/>
        <w:kinsoku/>
        <w:wordWrap/>
        <w:overflowPunct/>
        <w:topLinePunct w:val="0"/>
        <w:autoSpaceDE/>
        <w:autoSpaceDN/>
        <w:bidi w:val="0"/>
        <w:adjustRightInd/>
        <w:snapToGrid/>
        <w:spacing w:line="520" w:lineRule="exact"/>
        <w:ind w:firstLine="564" w:firstLineChars="181"/>
        <w:textAlignment w:val="auto"/>
        <w:rPr>
          <w:rFonts w:ascii="楷体" w:hAnsi="楷体" w:eastAsia="楷体"/>
          <w:b/>
          <w:color w:val="auto"/>
          <w:spacing w:val="-4"/>
          <w:sz w:val="32"/>
          <w:szCs w:val="32"/>
        </w:rPr>
      </w:pPr>
      <w:r>
        <w:rPr>
          <w:rStyle w:val="19"/>
          <w:rFonts w:hint="eastAsia" w:ascii="仿宋" w:hAnsi="仿宋" w:eastAsia="仿宋"/>
          <w:b w:val="0"/>
          <w:spacing w:val="-4"/>
          <w:sz w:val="32"/>
          <w:szCs w:val="32"/>
          <w:lang w:val="en-US" w:eastAsia="zh-CN"/>
        </w:rPr>
        <w:t>加大资金管理力度，把资金的使用落到实处。</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Fonts w:ascii="楷体" w:hAnsi="楷体" w:eastAsia="楷体"/>
          <w:b/>
          <w:color w:val="auto"/>
          <w:spacing w:val="-4"/>
          <w:sz w:val="32"/>
          <w:szCs w:val="32"/>
        </w:rPr>
      </w:pPr>
      <w:r>
        <w:rPr>
          <w:rFonts w:hint="eastAsia" w:ascii="楷体" w:hAnsi="楷体" w:eastAsia="楷体"/>
          <w:b/>
          <w:color w:val="auto"/>
          <w:spacing w:val="-4"/>
          <w:sz w:val="32"/>
          <w:szCs w:val="32"/>
        </w:rPr>
        <w:t>（二）主要经验及做法、存在问题和建议</w:t>
      </w:r>
    </w:p>
    <w:p>
      <w:pPr>
        <w:keepNext w:val="0"/>
        <w:keepLines w:val="0"/>
        <w:pageBreakBefore w:val="0"/>
        <w:kinsoku/>
        <w:wordWrap/>
        <w:overflowPunct/>
        <w:topLinePunct w:val="0"/>
        <w:autoSpaceDE/>
        <w:autoSpaceDN/>
        <w:bidi w:val="0"/>
        <w:adjustRightInd/>
        <w:snapToGrid/>
        <w:spacing w:line="520" w:lineRule="exact"/>
        <w:ind w:firstLine="564" w:firstLineChars="181"/>
        <w:textAlignment w:val="auto"/>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项目资金使用严格执行“三重一大”管理制度，对本台重大支出上会讨论，经办人具体实施，主管领导监督，台委会审核，进行层层监督管理。把资金的使用落到实处。</w:t>
      </w:r>
    </w:p>
    <w:p>
      <w:pPr>
        <w:keepNext w:val="0"/>
        <w:keepLines w:val="0"/>
        <w:pageBreakBefore w:val="0"/>
        <w:kinsoku/>
        <w:wordWrap/>
        <w:overflowPunct/>
        <w:topLinePunct w:val="0"/>
        <w:autoSpaceDE/>
        <w:autoSpaceDN/>
        <w:bidi w:val="0"/>
        <w:adjustRightInd/>
        <w:snapToGrid/>
        <w:spacing w:line="520" w:lineRule="exact"/>
        <w:ind w:firstLine="567" w:firstLineChars="181"/>
        <w:textAlignment w:val="auto"/>
        <w:rPr>
          <w:rFonts w:ascii="楷体" w:hAnsi="楷体" w:eastAsia="楷体"/>
          <w:b/>
          <w:color w:val="auto"/>
          <w:spacing w:val="-4"/>
          <w:sz w:val="32"/>
          <w:szCs w:val="32"/>
        </w:rPr>
      </w:pPr>
      <w:r>
        <w:rPr>
          <w:rFonts w:hint="eastAsia" w:ascii="楷体" w:hAnsi="楷体" w:eastAsia="楷体"/>
          <w:b/>
          <w:color w:val="auto"/>
          <w:spacing w:val="-4"/>
          <w:sz w:val="32"/>
          <w:szCs w:val="32"/>
        </w:rPr>
        <w:t>（三）其他</w:t>
      </w:r>
    </w:p>
    <w:p>
      <w:pPr>
        <w:keepNext w:val="0"/>
        <w:keepLines w:val="0"/>
        <w:pageBreakBefore w:val="0"/>
        <w:kinsoku/>
        <w:wordWrap/>
        <w:overflowPunct/>
        <w:topLinePunct w:val="0"/>
        <w:autoSpaceDE/>
        <w:autoSpaceDN/>
        <w:bidi w:val="0"/>
        <w:adjustRightInd/>
        <w:snapToGrid/>
        <w:spacing w:line="520" w:lineRule="exact"/>
        <w:ind w:firstLine="564" w:firstLineChars="181"/>
        <w:textAlignment w:val="auto"/>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textAlignment w:val="auto"/>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六、项目评价工作情况</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社会效益：广播电视制播系统改造升级，大大提升了广播电视的文化服务能力，对于宣传党和国家的方针政策，传播先进文化，普及科学知识，提高各族群众的思想道德和科学文化素质，促进经济社会协调发展，具有十分重要的作用。</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2.经济效益：广播电视制播系统改造后得到高效利用，避免维修更换配件造成资源浪费，降低了设备运行服务费用。同时广播电台制播系统改造后节目制作播出质量大大提升，也增加了广告业务的创收。</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群众满意程度情况分析：针对我台此次对广播电视系统设备改造升级，我县的广播电视基础设施保障及广播电视制作及安全播出方面将得到很大的提升，也使县委、县人民政府的声音安全高效的传递到各族老百姓中去，使各族群众收听收看到高质量的电视节目。</w:t>
      </w:r>
    </w:p>
    <w:p>
      <w:pPr>
        <w:spacing w:after="0" w:line="540" w:lineRule="exact"/>
        <w:ind w:firstLine="564" w:firstLineChars="181"/>
        <w:rPr>
          <w:rStyle w:val="19"/>
          <w:rFonts w:hint="eastAsia" w:ascii="黑体" w:hAnsi="黑体" w:eastAsia="黑体"/>
          <w:b w:val="0"/>
          <w:color w:val="auto"/>
          <w:spacing w:val="-4"/>
          <w:sz w:val="32"/>
          <w:szCs w:val="32"/>
        </w:rPr>
      </w:pPr>
      <w:r>
        <w:rPr>
          <w:rStyle w:val="19"/>
          <w:rFonts w:hint="eastAsia" w:ascii="仿宋" w:hAnsi="仿宋" w:eastAsia="仿宋"/>
          <w:b w:val="0"/>
          <w:spacing w:val="-4"/>
          <w:sz w:val="32"/>
          <w:szCs w:val="32"/>
          <w:lang w:val="en-US" w:eastAsia="zh-CN"/>
        </w:rPr>
        <w:t>通过对2018年该建设项目的实施和社会群众走访调查，社会群体大部分认为这是一项惠及各族群众的民心工程;实施广播电视制播系统改造，是提高我县调频广播的覆盖率，使我县各族群众收听到高质量的广播节目，发展壮大</w:t>
      </w:r>
      <w:bookmarkStart w:id="4" w:name="_GoBack"/>
      <w:bookmarkEnd w:id="4"/>
      <w:r>
        <w:rPr>
          <w:rStyle w:val="19"/>
          <w:rFonts w:hint="eastAsia" w:ascii="仿宋" w:hAnsi="仿宋" w:eastAsia="仿宋"/>
          <w:b w:val="0"/>
          <w:spacing w:val="-4"/>
          <w:sz w:val="32"/>
          <w:szCs w:val="32"/>
          <w:lang w:val="en-US" w:eastAsia="zh-CN"/>
        </w:rPr>
        <w:t>我县广播电视产业的有效途径。是深受各族群众欢迎的民心工程，对于宣传党和国家的方针政策，传播先进文化，普及科学知识，提高农民群众的思想道德和科学文化素质，促进经济社会协调发展，具有十分重要的作用。</w:t>
      </w:r>
    </w:p>
    <w:p>
      <w:pPr>
        <w:keepNext w:val="0"/>
        <w:keepLines w:val="0"/>
        <w:pageBreakBefore w:val="0"/>
        <w:kinsoku/>
        <w:wordWrap/>
        <w:overflowPunct/>
        <w:topLinePunct w:val="0"/>
        <w:autoSpaceDE/>
        <w:autoSpaceDN/>
        <w:bidi w:val="0"/>
        <w:adjustRightInd/>
        <w:snapToGrid/>
        <w:spacing w:line="520" w:lineRule="exact"/>
        <w:ind w:firstLine="640"/>
        <w:textAlignment w:val="auto"/>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七、附表</w:t>
      </w:r>
    </w:p>
    <w:p>
      <w:pPr>
        <w:spacing w:after="0"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《玛纳斯县财政项目支出绩效自评表》</w:t>
      </w:r>
    </w:p>
    <w:p>
      <w:pPr>
        <w:keepNext w:val="0"/>
        <w:keepLines w:val="0"/>
        <w:pageBreakBefore w:val="0"/>
        <w:kinsoku/>
        <w:wordWrap/>
        <w:overflowPunct/>
        <w:topLinePunct w:val="0"/>
        <w:autoSpaceDE/>
        <w:autoSpaceDN/>
        <w:bidi w:val="0"/>
        <w:adjustRightInd/>
        <w:snapToGrid/>
        <w:spacing w:line="520" w:lineRule="exact"/>
        <w:ind w:firstLine="567"/>
        <w:textAlignment w:val="auto"/>
        <w:rPr>
          <w:rStyle w:val="19"/>
          <w:rFonts w:ascii="仿宋" w:hAnsi="仿宋" w:eastAsia="仿宋"/>
          <w:b w:val="0"/>
          <w:color w:val="auto"/>
          <w:spacing w:val="-4"/>
          <w:sz w:val="32"/>
          <w:szCs w:val="32"/>
        </w:rPr>
      </w:pPr>
    </w:p>
    <w:p>
      <w:pPr>
        <w:keepNext w:val="0"/>
        <w:keepLines w:val="0"/>
        <w:pageBreakBefore w:val="0"/>
        <w:kinsoku/>
        <w:wordWrap/>
        <w:overflowPunct/>
        <w:topLinePunct w:val="0"/>
        <w:autoSpaceDE/>
        <w:autoSpaceDN/>
        <w:bidi w:val="0"/>
        <w:adjustRightInd/>
        <w:snapToGrid/>
        <w:spacing w:line="520" w:lineRule="exact"/>
        <w:ind w:firstLine="567"/>
        <w:textAlignment w:val="auto"/>
        <w:rPr>
          <w:rStyle w:val="19"/>
          <w:rFonts w:ascii="仿宋" w:hAnsi="仿宋" w:eastAsia="仿宋"/>
          <w:b w:val="0"/>
          <w:color w:val="auto"/>
          <w:spacing w:val="-4"/>
          <w:sz w:val="32"/>
          <w:szCs w:val="32"/>
        </w:rPr>
      </w:pPr>
    </w:p>
    <w:p>
      <w:pPr>
        <w:keepNext w:val="0"/>
        <w:keepLines w:val="0"/>
        <w:pageBreakBefore w:val="0"/>
        <w:kinsoku/>
        <w:wordWrap/>
        <w:overflowPunct/>
        <w:topLinePunct w:val="0"/>
        <w:autoSpaceDE/>
        <w:autoSpaceDN/>
        <w:bidi w:val="0"/>
        <w:adjustRightInd/>
        <w:snapToGrid/>
        <w:spacing w:line="520" w:lineRule="exact"/>
        <w:ind w:firstLine="567"/>
        <w:textAlignment w:val="auto"/>
        <w:rPr>
          <w:rStyle w:val="19"/>
          <w:rFonts w:ascii="仿宋" w:hAnsi="仿宋" w:eastAsia="仿宋"/>
          <w:b w:val="0"/>
          <w:color w:val="auto"/>
          <w:spacing w:val="-4"/>
          <w:sz w:val="32"/>
          <w:szCs w:val="32"/>
        </w:rPr>
      </w:pPr>
    </w:p>
    <w:p>
      <w:pPr>
        <w:keepNext w:val="0"/>
        <w:keepLines w:val="0"/>
        <w:pageBreakBefore w:val="0"/>
        <w:kinsoku/>
        <w:wordWrap/>
        <w:overflowPunct/>
        <w:topLinePunct w:val="0"/>
        <w:autoSpaceDE/>
        <w:autoSpaceDN/>
        <w:bidi w:val="0"/>
        <w:adjustRightInd/>
        <w:snapToGrid/>
        <w:spacing w:line="520" w:lineRule="exact"/>
        <w:ind w:firstLine="567"/>
        <w:textAlignment w:val="auto"/>
        <w:rPr>
          <w:rStyle w:val="19"/>
          <w:rFonts w:ascii="仿宋" w:hAnsi="仿宋" w:eastAsia="仿宋"/>
          <w:b w:val="0"/>
          <w:color w:val="auto"/>
          <w:spacing w:val="-4"/>
          <w:sz w:val="32"/>
          <w:szCs w:val="32"/>
        </w:rPr>
      </w:pPr>
    </w:p>
    <w:p>
      <w:pPr>
        <w:keepNext w:val="0"/>
        <w:keepLines w:val="0"/>
        <w:pageBreakBefore w:val="0"/>
        <w:kinsoku/>
        <w:wordWrap/>
        <w:overflowPunct/>
        <w:topLinePunct w:val="0"/>
        <w:autoSpaceDE/>
        <w:autoSpaceDN/>
        <w:bidi w:val="0"/>
        <w:adjustRightInd/>
        <w:snapToGrid/>
        <w:spacing w:line="520" w:lineRule="exact"/>
        <w:ind w:firstLine="567"/>
        <w:textAlignment w:val="auto"/>
        <w:rPr>
          <w:rStyle w:val="19"/>
          <w:rFonts w:ascii="仿宋" w:hAnsi="仿宋" w:eastAsia="仿宋"/>
          <w:b w:val="0"/>
          <w:color w:val="auto"/>
          <w:spacing w:val="-4"/>
          <w:sz w:val="32"/>
          <w:szCs w:val="32"/>
        </w:rPr>
      </w:pPr>
    </w:p>
    <w:tbl>
      <w:tblPr>
        <w:tblStyle w:val="17"/>
        <w:tblW w:w="9645" w:type="dxa"/>
        <w:tblInd w:w="-269" w:type="dxa"/>
        <w:tblLayout w:type="fixed"/>
        <w:tblCellMar>
          <w:top w:w="0" w:type="dxa"/>
          <w:left w:w="108" w:type="dxa"/>
          <w:bottom w:w="0" w:type="dxa"/>
          <w:right w:w="108" w:type="dxa"/>
        </w:tblCellMar>
      </w:tblPr>
      <w:tblGrid>
        <w:gridCol w:w="1082"/>
        <w:gridCol w:w="1140"/>
        <w:gridCol w:w="1360"/>
        <w:gridCol w:w="1080"/>
        <w:gridCol w:w="663"/>
        <w:gridCol w:w="2277"/>
        <w:gridCol w:w="2043"/>
      </w:tblGrid>
      <w:tr>
        <w:tblPrEx>
          <w:tblLayout w:type="fixed"/>
          <w:tblCellMar>
            <w:top w:w="0" w:type="dxa"/>
            <w:left w:w="108" w:type="dxa"/>
            <w:bottom w:w="0" w:type="dxa"/>
            <w:right w:w="108" w:type="dxa"/>
          </w:tblCellMar>
        </w:tblPrEx>
        <w:trPr>
          <w:trHeight w:val="405" w:hRule="atLeast"/>
        </w:trPr>
        <w:tc>
          <w:tcPr>
            <w:tcW w:w="9645" w:type="dxa"/>
            <w:gridSpan w:val="7"/>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b/>
                <w:bCs/>
                <w:color w:val="auto"/>
                <w:kern w:val="0"/>
                <w:sz w:val="32"/>
                <w:szCs w:val="32"/>
              </w:rPr>
            </w:pPr>
            <w:r>
              <w:rPr>
                <w:rFonts w:hint="eastAsia" w:ascii="宋体" w:hAnsi="宋体" w:cs="宋体"/>
                <w:b/>
                <w:bCs/>
                <w:color w:val="auto"/>
                <w:kern w:val="0"/>
                <w:sz w:val="32"/>
                <w:szCs w:val="32"/>
                <w:lang w:eastAsia="zh-CN"/>
              </w:rPr>
              <w:t>玛纳斯县</w:t>
            </w:r>
            <w:r>
              <w:rPr>
                <w:rFonts w:hint="eastAsia" w:ascii="宋体" w:hAnsi="宋体" w:cs="宋体"/>
                <w:b/>
                <w:bCs/>
                <w:color w:val="auto"/>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645" w:type="dxa"/>
            <w:gridSpan w:val="7"/>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r>
              <w:rPr>
                <w:rFonts w:hint="eastAsia" w:ascii="宋体" w:hAnsi="宋体" w:cs="宋体"/>
                <w:color w:val="auto"/>
                <w:kern w:val="0"/>
                <w:sz w:val="24"/>
              </w:rPr>
              <w:t>（</w:t>
            </w:r>
            <w:r>
              <w:rPr>
                <w:rFonts w:hint="eastAsia"/>
                <w:color w:val="auto"/>
                <w:kern w:val="0"/>
                <w:sz w:val="24"/>
                <w:lang w:val="en-US" w:eastAsia="zh-CN"/>
              </w:rPr>
              <w:t>2018</w:t>
            </w:r>
            <w:r>
              <w:rPr>
                <w:rFonts w:hint="eastAsia" w:ascii="宋体" w:hAnsi="宋体" w:cs="宋体"/>
                <w:color w:val="auto"/>
                <w:kern w:val="0"/>
                <w:sz w:val="24"/>
              </w:rPr>
              <w:t>年度）</w:t>
            </w:r>
          </w:p>
        </w:tc>
      </w:tr>
      <w:tr>
        <w:tblPrEx>
          <w:tblLayout w:type="fixed"/>
          <w:tblCellMar>
            <w:top w:w="0" w:type="dxa"/>
            <w:left w:w="108" w:type="dxa"/>
            <w:bottom w:w="0" w:type="dxa"/>
            <w:right w:w="108" w:type="dxa"/>
          </w:tblCellMar>
        </w:tblPrEx>
        <w:trPr>
          <w:trHeight w:val="285" w:hRule="atLeast"/>
        </w:trPr>
        <w:tc>
          <w:tcPr>
            <w:tcW w:w="1082"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p>
        </w:tc>
        <w:tc>
          <w:tcPr>
            <w:tcW w:w="114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p>
        </w:tc>
        <w:tc>
          <w:tcPr>
            <w:tcW w:w="136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p>
        </w:tc>
        <w:tc>
          <w:tcPr>
            <w:tcW w:w="108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p>
        </w:tc>
        <w:tc>
          <w:tcPr>
            <w:tcW w:w="663"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p>
        </w:tc>
        <w:tc>
          <w:tcPr>
            <w:tcW w:w="2277"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p>
        </w:tc>
        <w:tc>
          <w:tcPr>
            <w:tcW w:w="2043"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p>
        </w:tc>
      </w:tr>
      <w:tr>
        <w:tblPrEx>
          <w:tblLayout w:type="fixed"/>
          <w:tblCellMar>
            <w:top w:w="0" w:type="dxa"/>
            <w:left w:w="108" w:type="dxa"/>
            <w:bottom w:w="0" w:type="dxa"/>
            <w:right w:w="108" w:type="dxa"/>
          </w:tblCellMar>
        </w:tblPrEx>
        <w:trPr>
          <w:trHeight w:val="790" w:hRule="atLeast"/>
        </w:trPr>
        <w:tc>
          <w:tcPr>
            <w:tcW w:w="3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项目名称</w:t>
            </w:r>
          </w:p>
        </w:tc>
        <w:tc>
          <w:tcPr>
            <w:tcW w:w="6063" w:type="dxa"/>
            <w:gridSpan w:val="4"/>
            <w:tcBorders>
              <w:top w:val="single" w:color="auto" w:sz="4" w:space="0"/>
              <w:left w:val="nil"/>
              <w:bottom w:val="single" w:color="auto" w:sz="4" w:space="0"/>
              <w:right w:val="single" w:color="auto" w:sz="4" w:space="0"/>
            </w:tcBorders>
            <w:shd w:val="clear" w:color="auto" w:fill="auto"/>
            <w:vAlign w:val="center"/>
          </w:tcPr>
          <w:p>
            <w:pPr>
              <w:spacing w:line="700" w:lineRule="exact"/>
              <w:ind w:left="1080" w:hanging="600" w:hangingChars="300"/>
              <w:jc w:val="left"/>
              <w:rPr>
                <w:rFonts w:hint="eastAsia" w:ascii="宋体" w:hAnsi="宋体" w:eastAsia="宋体" w:cs="宋体"/>
                <w:kern w:val="0"/>
                <w:sz w:val="20"/>
                <w:szCs w:val="20"/>
              </w:rPr>
            </w:pPr>
            <w:r>
              <w:rPr>
                <w:rFonts w:hint="eastAsia" w:ascii="宋体" w:hAnsi="宋体" w:eastAsia="宋体" w:cs="宋体"/>
                <w:kern w:val="0"/>
                <w:sz w:val="20"/>
                <w:szCs w:val="20"/>
              </w:rPr>
              <w:t>2018年文化旅游提升工程实施方案中央基建投资</w:t>
            </w:r>
          </w:p>
          <w:p>
            <w:pPr>
              <w:spacing w:line="700" w:lineRule="exact"/>
              <w:ind w:left="1080" w:hanging="600" w:hangingChars="300"/>
              <w:jc w:val="left"/>
              <w:rPr>
                <w:rFonts w:hint="eastAsia" w:ascii="宋体" w:hAnsi="宋体" w:eastAsia="宋体" w:cs="宋体"/>
                <w:color w:val="auto"/>
                <w:kern w:val="0"/>
                <w:sz w:val="20"/>
                <w:szCs w:val="20"/>
              </w:rPr>
            </w:pPr>
            <w:r>
              <w:rPr>
                <w:rFonts w:hint="eastAsia" w:ascii="宋体" w:hAnsi="宋体" w:eastAsia="宋体" w:cs="宋体"/>
                <w:kern w:val="0"/>
                <w:sz w:val="20"/>
                <w:szCs w:val="20"/>
                <w:lang w:eastAsia="zh-CN"/>
              </w:rPr>
              <w:t>（广播电视设备提升改造项目）</w:t>
            </w:r>
          </w:p>
        </w:tc>
      </w:tr>
      <w:tr>
        <w:tblPrEx>
          <w:tblLayout w:type="fixed"/>
          <w:tblCellMar>
            <w:top w:w="0" w:type="dxa"/>
            <w:left w:w="108" w:type="dxa"/>
            <w:bottom w:w="0" w:type="dxa"/>
            <w:right w:w="108" w:type="dxa"/>
          </w:tblCellMar>
        </w:tblPrEx>
        <w:trPr>
          <w:trHeight w:val="435" w:hRule="atLeast"/>
        </w:trPr>
        <w:tc>
          <w:tcPr>
            <w:tcW w:w="3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预算单位</w:t>
            </w:r>
          </w:p>
        </w:tc>
        <w:tc>
          <w:tcPr>
            <w:tcW w:w="6063"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eastAsia="zh-CN"/>
              </w:rPr>
              <w:t>玛纳斯县广播电视台</w:t>
            </w:r>
            <w:r>
              <w:rPr>
                <w:rFonts w:hint="eastAsia" w:ascii="宋体" w:hAnsi="宋体" w:eastAsia="宋体" w:cs="宋体"/>
                <w:color w:val="auto"/>
                <w:kern w:val="0"/>
                <w:sz w:val="20"/>
                <w:szCs w:val="20"/>
              </w:rPr>
              <w:t>　</w:t>
            </w:r>
          </w:p>
        </w:tc>
      </w:tr>
      <w:tr>
        <w:tblPrEx>
          <w:tblLayout w:type="fixed"/>
          <w:tblCellMar>
            <w:top w:w="0" w:type="dxa"/>
            <w:left w:w="108" w:type="dxa"/>
            <w:bottom w:w="0" w:type="dxa"/>
            <w:right w:w="108" w:type="dxa"/>
          </w:tblCellMar>
        </w:tblPrEx>
        <w:trPr>
          <w:trHeight w:val="465" w:hRule="atLeast"/>
        </w:trPr>
        <w:tc>
          <w:tcPr>
            <w:tcW w:w="108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预算</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执行</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情况</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 xml:space="preserve"> 预算数：</w:t>
            </w:r>
          </w:p>
        </w:tc>
        <w:tc>
          <w:tcPr>
            <w:tcW w:w="1743"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200</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 xml:space="preserve"> 执行数：</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200</w:t>
            </w:r>
            <w:r>
              <w:rPr>
                <w:rFonts w:hint="eastAsia" w:ascii="宋体" w:hAnsi="宋体" w:eastAsia="宋体" w:cs="宋体"/>
                <w:color w:val="auto"/>
                <w:kern w:val="0"/>
                <w:sz w:val="20"/>
                <w:szCs w:val="20"/>
              </w:rPr>
              <w:t>　</w:t>
            </w:r>
          </w:p>
        </w:tc>
      </w:tr>
      <w:tr>
        <w:tblPrEx>
          <w:tblLayout w:type="fixed"/>
          <w:tblCellMar>
            <w:top w:w="0" w:type="dxa"/>
            <w:left w:w="108" w:type="dxa"/>
            <w:bottom w:w="0" w:type="dxa"/>
            <w:right w:w="108" w:type="dxa"/>
          </w:tblCellMar>
        </w:tblPrEx>
        <w:trPr>
          <w:trHeight w:val="509" w:hRule="atLeast"/>
        </w:trPr>
        <w:tc>
          <w:tcPr>
            <w:tcW w:w="108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其中：财政拨款</w:t>
            </w:r>
          </w:p>
        </w:tc>
        <w:tc>
          <w:tcPr>
            <w:tcW w:w="1743"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lang w:val="en-US"/>
              </w:rPr>
            </w:pPr>
            <w:r>
              <w:rPr>
                <w:rFonts w:hint="eastAsia" w:ascii="宋体" w:hAnsi="宋体" w:eastAsia="宋体" w:cs="宋体"/>
                <w:color w:val="auto"/>
                <w:kern w:val="0"/>
                <w:sz w:val="20"/>
                <w:szCs w:val="20"/>
                <w:lang w:val="en-US" w:eastAsia="zh-CN"/>
              </w:rPr>
              <w:t>200</w:t>
            </w:r>
          </w:p>
        </w:tc>
        <w:tc>
          <w:tcPr>
            <w:tcW w:w="2277"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其中：财政拨款</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hint="eastAsia" w:ascii="宋体" w:hAnsi="宋体" w:eastAsia="宋体" w:cs="宋体"/>
                <w:color w:val="auto"/>
                <w:kern w:val="0"/>
                <w:sz w:val="20"/>
                <w:szCs w:val="20"/>
                <w:lang w:val="en-US"/>
              </w:rPr>
            </w:pPr>
            <w:r>
              <w:rPr>
                <w:rFonts w:hint="eastAsia" w:ascii="宋体" w:hAnsi="宋体" w:eastAsia="宋体" w:cs="宋体"/>
                <w:color w:val="auto"/>
                <w:kern w:val="0"/>
                <w:sz w:val="20"/>
                <w:szCs w:val="20"/>
                <w:lang w:val="en-US" w:eastAsia="zh-CN"/>
              </w:rPr>
              <w:t>200</w:t>
            </w:r>
          </w:p>
        </w:tc>
      </w:tr>
      <w:tr>
        <w:tblPrEx>
          <w:tblLayout w:type="fixed"/>
          <w:tblCellMar>
            <w:top w:w="0" w:type="dxa"/>
            <w:left w:w="108" w:type="dxa"/>
            <w:bottom w:w="0" w:type="dxa"/>
            <w:right w:w="108" w:type="dxa"/>
          </w:tblCellMar>
        </w:tblPrEx>
        <w:trPr>
          <w:trHeight w:val="433" w:hRule="atLeast"/>
        </w:trPr>
        <w:tc>
          <w:tcPr>
            <w:tcW w:w="108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其他资金</w:t>
            </w:r>
          </w:p>
        </w:tc>
        <w:tc>
          <w:tcPr>
            <w:tcW w:w="1743"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27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其他资金</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108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年度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完成</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情况</w:t>
            </w:r>
          </w:p>
        </w:tc>
        <w:tc>
          <w:tcPr>
            <w:tcW w:w="424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预期目标</w:t>
            </w:r>
          </w:p>
        </w:tc>
        <w:tc>
          <w:tcPr>
            <w:tcW w:w="432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108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4243" w:type="dxa"/>
            <w:gridSpan w:val="4"/>
            <w:tcBorders>
              <w:top w:val="single" w:color="auto" w:sz="4" w:space="0"/>
              <w:left w:val="nil"/>
              <w:bottom w:val="single" w:color="auto" w:sz="4" w:space="0"/>
              <w:right w:val="single" w:color="000000" w:sz="4" w:space="0"/>
            </w:tcBorders>
            <w:shd w:val="clear" w:color="auto" w:fill="auto"/>
          </w:tcPr>
          <w:p>
            <w:pPr>
              <w:pStyle w:val="15"/>
              <w:widowControl w:val="0"/>
              <w:spacing w:before="0" w:beforeAutospacing="0" w:after="0" w:afterAutospacing="0" w:line="360" w:lineRule="auto"/>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目标1：</w:t>
            </w:r>
            <w:r>
              <w:rPr>
                <w:rFonts w:hint="eastAsia" w:ascii="宋体" w:hAnsi="宋体" w:eastAsia="宋体" w:cs="宋体"/>
                <w:sz w:val="20"/>
                <w:szCs w:val="20"/>
              </w:rPr>
              <w:t>彻底改变多年来广播电视台单一供电线路，易发生停电即停播的局面，切实加强了广播电视安全播出的可靠性。</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w:t>
            </w:r>
            <w:r>
              <w:rPr>
                <w:rFonts w:hint="eastAsia" w:ascii="宋体" w:hAnsi="宋体" w:eastAsia="宋体" w:cs="宋体"/>
                <w:sz w:val="20"/>
                <w:szCs w:val="20"/>
                <w:shd w:val="clear" w:color="auto" w:fill="FFFFFF"/>
                <w:lang w:eastAsia="zh-CN"/>
              </w:rPr>
              <w:t>增加</w:t>
            </w:r>
            <w:r>
              <w:rPr>
                <w:rFonts w:hint="eastAsia" w:ascii="宋体" w:hAnsi="宋体" w:eastAsia="宋体" w:cs="宋体"/>
                <w:sz w:val="20"/>
                <w:szCs w:val="20"/>
                <w:shd w:val="clear" w:color="auto" w:fill="FFFFFF"/>
              </w:rPr>
              <w:t>广播电视安全播出的可靠性。</w:t>
            </w:r>
            <w:r>
              <w:rPr>
                <w:rFonts w:hint="eastAsia" w:ascii="宋体" w:hAnsi="宋体" w:eastAsia="宋体" w:cs="宋体"/>
                <w:sz w:val="20"/>
                <w:szCs w:val="20"/>
              </w:rPr>
              <w:t xml:space="preserve"> </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w:t>
            </w:r>
            <w:r>
              <w:rPr>
                <w:rFonts w:hint="eastAsia" w:ascii="宋体" w:hAnsi="宋体" w:eastAsia="宋体" w:cs="宋体"/>
                <w:sz w:val="20"/>
                <w:szCs w:val="20"/>
                <w:shd w:val="clear" w:color="auto" w:fill="FFFFFF"/>
              </w:rPr>
              <w:t>实现全台播出节目切、测、管、控，构成的全台流程网络化、智能化的综合播控系统。</w:t>
            </w:r>
            <w:r>
              <w:rPr>
                <w:rFonts w:hint="eastAsia" w:ascii="宋体" w:hAnsi="宋体" w:eastAsia="宋体" w:cs="宋体"/>
                <w:sz w:val="20"/>
                <w:szCs w:val="20"/>
              </w:rPr>
              <w:t xml:space="preserve"> </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4</w:t>
            </w:r>
            <w:r>
              <w:rPr>
                <w:rFonts w:hint="eastAsia" w:ascii="宋体" w:hAnsi="宋体" w:eastAsia="宋体" w:cs="宋体"/>
                <w:color w:val="auto"/>
                <w:kern w:val="0"/>
                <w:sz w:val="20"/>
                <w:szCs w:val="20"/>
              </w:rPr>
              <w:t>：</w:t>
            </w:r>
            <w:r>
              <w:rPr>
                <w:rFonts w:hint="eastAsia" w:ascii="宋体" w:hAnsi="宋体" w:eastAsia="宋体" w:cs="宋体"/>
                <w:sz w:val="20"/>
                <w:szCs w:val="20"/>
                <w:shd w:val="clear" w:color="auto" w:fill="FFFFFF"/>
              </w:rPr>
              <w:t>新闻稿件能实时在线和新疆电视台、昌吉电视台新闻稿件系统共享互联互通。</w:t>
            </w:r>
            <w:r>
              <w:rPr>
                <w:rFonts w:hint="eastAsia" w:ascii="宋体" w:hAnsi="宋体" w:eastAsia="宋体" w:cs="宋体"/>
                <w:sz w:val="20"/>
                <w:szCs w:val="20"/>
              </w:rPr>
              <w:t xml:space="preserve"> </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5</w:t>
            </w:r>
            <w:r>
              <w:rPr>
                <w:rFonts w:hint="eastAsia" w:ascii="宋体" w:hAnsi="宋体" w:eastAsia="宋体" w:cs="宋体"/>
                <w:color w:val="auto"/>
                <w:kern w:val="0"/>
                <w:sz w:val="20"/>
                <w:szCs w:val="20"/>
              </w:rPr>
              <w:t>：</w:t>
            </w:r>
            <w:r>
              <w:rPr>
                <w:rFonts w:hint="eastAsia" w:ascii="宋体" w:hAnsi="宋体" w:eastAsia="宋体" w:cs="宋体"/>
                <w:sz w:val="20"/>
                <w:szCs w:val="20"/>
              </w:rPr>
              <w:t>有效的改善我台自办频道播出存在多年的音视频质量差，安全播出无保障方面的问题</w:t>
            </w:r>
            <w:r>
              <w:rPr>
                <w:rFonts w:hint="eastAsia" w:ascii="宋体" w:hAnsi="宋体" w:eastAsia="宋体" w:cs="宋体"/>
                <w:sz w:val="20"/>
                <w:szCs w:val="20"/>
                <w:lang w:eastAsia="zh-CN"/>
              </w:rPr>
              <w:t>。</w:t>
            </w:r>
          </w:p>
        </w:tc>
        <w:tc>
          <w:tcPr>
            <w:tcW w:w="4320" w:type="dxa"/>
            <w:gridSpan w:val="2"/>
            <w:tcBorders>
              <w:top w:val="single" w:color="auto" w:sz="4" w:space="0"/>
              <w:left w:val="nil"/>
              <w:bottom w:val="single" w:color="auto" w:sz="4" w:space="0"/>
              <w:right w:val="single" w:color="000000" w:sz="4" w:space="0"/>
            </w:tcBorders>
            <w:shd w:val="clear" w:color="auto" w:fill="auto"/>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目标1：</w:t>
            </w:r>
            <w:r>
              <w:rPr>
                <w:rFonts w:hint="eastAsia" w:ascii="宋体" w:hAnsi="宋体" w:eastAsia="宋体" w:cs="宋体"/>
                <w:sz w:val="20"/>
                <w:szCs w:val="20"/>
              </w:rPr>
              <w:t>彻底改变多年来广播电视台单一供电线路，易发生停电即停播的局面，切实加强了广播电视安全播出的可靠性。</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w:t>
            </w:r>
            <w:r>
              <w:rPr>
                <w:rFonts w:hint="eastAsia" w:ascii="宋体" w:hAnsi="宋体" w:eastAsia="宋体" w:cs="宋体"/>
                <w:sz w:val="20"/>
                <w:szCs w:val="20"/>
                <w:shd w:val="clear" w:color="auto" w:fill="FFFFFF"/>
                <w:lang w:eastAsia="zh-CN"/>
              </w:rPr>
              <w:t>增加</w:t>
            </w:r>
            <w:r>
              <w:rPr>
                <w:rFonts w:hint="eastAsia" w:ascii="宋体" w:hAnsi="宋体" w:eastAsia="宋体" w:cs="宋体"/>
                <w:sz w:val="20"/>
                <w:szCs w:val="20"/>
                <w:shd w:val="clear" w:color="auto" w:fill="FFFFFF"/>
              </w:rPr>
              <w:t>广播电视安全播出的可靠性。</w:t>
            </w:r>
            <w:r>
              <w:rPr>
                <w:rFonts w:hint="eastAsia" w:ascii="宋体" w:hAnsi="宋体" w:eastAsia="宋体" w:cs="宋体"/>
                <w:sz w:val="20"/>
                <w:szCs w:val="20"/>
              </w:rPr>
              <w:t xml:space="preserve"> </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w:t>
            </w:r>
            <w:r>
              <w:rPr>
                <w:rFonts w:hint="eastAsia" w:ascii="宋体" w:hAnsi="宋体" w:eastAsia="宋体" w:cs="宋体"/>
                <w:sz w:val="20"/>
                <w:szCs w:val="20"/>
                <w:shd w:val="clear" w:color="auto" w:fill="FFFFFF"/>
              </w:rPr>
              <w:t>实现全台播出节目切、测、管、控，构成的全台流程网络化、智能化的综合播控系统。</w:t>
            </w:r>
            <w:r>
              <w:rPr>
                <w:rFonts w:hint="eastAsia" w:ascii="宋体" w:hAnsi="宋体" w:eastAsia="宋体" w:cs="宋体"/>
                <w:sz w:val="20"/>
                <w:szCs w:val="20"/>
              </w:rPr>
              <w:t xml:space="preserve"> </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4</w:t>
            </w:r>
            <w:r>
              <w:rPr>
                <w:rFonts w:hint="eastAsia" w:ascii="宋体" w:hAnsi="宋体" w:eastAsia="宋体" w:cs="宋体"/>
                <w:color w:val="auto"/>
                <w:kern w:val="0"/>
                <w:sz w:val="20"/>
                <w:szCs w:val="20"/>
              </w:rPr>
              <w:t>：</w:t>
            </w:r>
            <w:r>
              <w:rPr>
                <w:rFonts w:hint="eastAsia" w:ascii="宋体" w:hAnsi="宋体" w:eastAsia="宋体" w:cs="宋体"/>
                <w:sz w:val="20"/>
                <w:szCs w:val="20"/>
                <w:shd w:val="clear" w:color="auto" w:fill="FFFFFF"/>
              </w:rPr>
              <w:t>新闻稿件能实时在线和新疆电视台、昌吉电视台新闻稿件系统共享互联互通。</w:t>
            </w:r>
            <w:r>
              <w:rPr>
                <w:rFonts w:hint="eastAsia" w:ascii="宋体" w:hAnsi="宋体" w:eastAsia="宋体" w:cs="宋体"/>
                <w:sz w:val="20"/>
                <w:szCs w:val="20"/>
              </w:rPr>
              <w:t xml:space="preserve"> </w:t>
            </w:r>
            <w:r>
              <w:rPr>
                <w:rFonts w:hint="eastAsia" w:ascii="宋体" w:hAnsi="宋体" w:eastAsia="宋体" w:cs="宋体"/>
                <w:color w:val="auto"/>
                <w:kern w:val="0"/>
                <w:sz w:val="20"/>
                <w:szCs w:val="20"/>
              </w:rPr>
              <w:t>目标</w:t>
            </w:r>
            <w:r>
              <w:rPr>
                <w:rFonts w:hint="eastAsia" w:ascii="宋体" w:hAnsi="宋体" w:eastAsia="宋体" w:cs="宋体"/>
                <w:color w:val="auto"/>
                <w:kern w:val="0"/>
                <w:sz w:val="20"/>
                <w:szCs w:val="20"/>
                <w:lang w:val="en-US" w:eastAsia="zh-CN"/>
              </w:rPr>
              <w:t>5</w:t>
            </w:r>
            <w:r>
              <w:rPr>
                <w:rFonts w:hint="eastAsia" w:ascii="宋体" w:hAnsi="宋体" w:eastAsia="宋体" w:cs="宋体"/>
                <w:color w:val="auto"/>
                <w:kern w:val="0"/>
                <w:sz w:val="20"/>
                <w:szCs w:val="20"/>
              </w:rPr>
              <w:t>：</w:t>
            </w:r>
            <w:r>
              <w:rPr>
                <w:rFonts w:hint="eastAsia" w:ascii="宋体" w:hAnsi="宋体" w:eastAsia="宋体" w:cs="宋体"/>
                <w:sz w:val="20"/>
                <w:szCs w:val="20"/>
              </w:rPr>
              <w:t>有效的改善我台自办频道播出存在多年的音视频质量差，安全播出无保障方面的问题</w:t>
            </w:r>
            <w:r>
              <w:rPr>
                <w:rFonts w:hint="eastAsia" w:ascii="宋体" w:hAnsi="宋体" w:eastAsia="宋体" w:cs="宋体"/>
                <w:sz w:val="20"/>
                <w:szCs w:val="20"/>
                <w:lang w:eastAsia="zh-CN"/>
              </w:rPr>
              <w:t>。</w:t>
            </w:r>
          </w:p>
        </w:tc>
      </w:tr>
      <w:tr>
        <w:tblPrEx>
          <w:tblLayout w:type="fixed"/>
          <w:tblCellMar>
            <w:top w:w="0" w:type="dxa"/>
            <w:left w:w="108" w:type="dxa"/>
            <w:bottom w:w="0" w:type="dxa"/>
            <w:right w:w="108" w:type="dxa"/>
          </w:tblCellMar>
        </w:tblPrEx>
        <w:trPr>
          <w:trHeight w:val="720" w:hRule="atLeast"/>
        </w:trPr>
        <w:tc>
          <w:tcPr>
            <w:tcW w:w="1082"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年度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绩效</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指标</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完成</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情况</w:t>
            </w:r>
          </w:p>
        </w:tc>
        <w:tc>
          <w:tcPr>
            <w:tcW w:w="1140"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二级指标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三级指标</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预期指标值（包含数字及文字描述）</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数量指标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指标1：按照合同要求完成改造设备数量</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lang w:val="en-US" w:eastAsia="zh-CN"/>
              </w:rPr>
            </w:pPr>
            <w:r>
              <w:rPr>
                <w:rFonts w:hint="eastAsia" w:ascii="宋体" w:hAnsi="宋体" w:eastAsia="宋体" w:cs="宋体"/>
                <w:i w:val="0"/>
                <w:color w:val="auto"/>
                <w:kern w:val="0"/>
                <w:sz w:val="20"/>
                <w:szCs w:val="20"/>
                <w:u w:val="none"/>
                <w:lang w:val="en-US" w:eastAsia="zh-CN" w:bidi="ar"/>
              </w:rPr>
              <w:t>100%</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指标2：按照合同要求完成改造系统数量</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质量指标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 xml:space="preserve"> 指标1：设备验收合格率</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lang w:val="en-US" w:eastAsia="zh-CN"/>
              </w:rPr>
            </w:pPr>
            <w:r>
              <w:rPr>
                <w:rFonts w:hint="eastAsia" w:ascii="宋体" w:hAnsi="宋体" w:eastAsia="宋体" w:cs="宋体"/>
                <w:i w:val="0"/>
                <w:color w:val="auto"/>
                <w:kern w:val="0"/>
                <w:sz w:val="20"/>
                <w:szCs w:val="20"/>
                <w:u w:val="none"/>
                <w:lang w:val="en-US" w:eastAsia="zh-CN" w:bidi="ar"/>
              </w:rPr>
              <w:t xml:space="preserve"> 指标2：与招标文件所载产品质量指标</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时效指标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指标1：设备每天达到17小时运行</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≧17小时</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≧17小时</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指标2：开展时间</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2018年1月</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2018年1月</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指标3：结束时间</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2018年12月</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2018年12月</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成本指标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指标1：项目投入资金</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200万元</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200万元</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社会效益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指标1：设备提升改造后，群众收看电视效果</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95%</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指标2：设备提升改造后，群众收听广播效果</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100%</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95%</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可持续影响</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指标1：合理配置播发设备，提升覆盖效率</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≧15年</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≧15年</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指标2：优化播出时效，保证不间断播出</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≧15年</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auto"/>
                <w:kern w:val="0"/>
                <w:sz w:val="20"/>
                <w:szCs w:val="20"/>
                <w:u w:val="none"/>
                <w:lang w:val="en-US" w:eastAsia="zh-CN" w:bidi="ar"/>
              </w:rPr>
              <w:t>≧15年</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满意度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满意度指标</w:t>
            </w: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指标1：县城群众收听收看广播电视满意度</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≧90%</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≧90%</w:t>
            </w:r>
          </w:p>
        </w:tc>
      </w:tr>
      <w:tr>
        <w:tblPrEx>
          <w:tblLayout w:type="fixed"/>
          <w:tblCellMar>
            <w:top w:w="0" w:type="dxa"/>
            <w:left w:w="108" w:type="dxa"/>
            <w:bottom w:w="0" w:type="dxa"/>
            <w:right w:w="108" w:type="dxa"/>
          </w:tblCellMar>
        </w:tblPrEx>
        <w:trPr>
          <w:trHeight w:val="480" w:hRule="atLeast"/>
        </w:trPr>
        <w:tc>
          <w:tcPr>
            <w:tcW w:w="108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kern w:val="0"/>
                <w:sz w:val="20"/>
                <w:szCs w:val="20"/>
              </w:rPr>
            </w:pPr>
          </w:p>
        </w:tc>
        <w:tc>
          <w:tcPr>
            <w:tcW w:w="174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指标2：乡镇群众收听收看广播电视满意度</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≧85%</w:t>
            </w:r>
          </w:p>
        </w:tc>
        <w:tc>
          <w:tcPr>
            <w:tcW w:w="204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≧85%</w:t>
            </w:r>
          </w:p>
        </w:tc>
      </w:tr>
    </w:tbl>
    <w:p>
      <w:pPr>
        <w:keepNext w:val="0"/>
        <w:keepLines w:val="0"/>
        <w:pageBreakBefore w:val="0"/>
        <w:kinsoku/>
        <w:wordWrap/>
        <w:overflowPunct/>
        <w:topLinePunct w:val="0"/>
        <w:autoSpaceDE/>
        <w:autoSpaceDN/>
        <w:bidi w:val="0"/>
        <w:adjustRightInd/>
        <w:snapToGrid/>
        <w:spacing w:line="520" w:lineRule="exact"/>
        <w:ind w:firstLine="567"/>
        <w:textAlignment w:val="auto"/>
        <w:rPr>
          <w:rStyle w:val="19"/>
          <w:rFonts w:hint="eastAsia" w:ascii="宋体" w:hAnsi="宋体" w:eastAsia="宋体" w:cs="宋体"/>
          <w:b w:val="0"/>
          <w:color w:val="auto"/>
          <w:spacing w:val="-4"/>
          <w:sz w:val="20"/>
          <w:szCs w:val="20"/>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85F74"/>
    <w:rsid w:val="001B3A40"/>
    <w:rsid w:val="003C18BC"/>
    <w:rsid w:val="004366A8"/>
    <w:rsid w:val="00464900"/>
    <w:rsid w:val="004D7616"/>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D05268"/>
    <w:rsid w:val="02884E67"/>
    <w:rsid w:val="044D3579"/>
    <w:rsid w:val="04ED0699"/>
    <w:rsid w:val="081B3942"/>
    <w:rsid w:val="097D08EC"/>
    <w:rsid w:val="0FA71AA6"/>
    <w:rsid w:val="13A2555B"/>
    <w:rsid w:val="14F366DD"/>
    <w:rsid w:val="1554052B"/>
    <w:rsid w:val="17FA3F5E"/>
    <w:rsid w:val="19C673E4"/>
    <w:rsid w:val="1DFC6CBB"/>
    <w:rsid w:val="1E973E76"/>
    <w:rsid w:val="1EEC39ED"/>
    <w:rsid w:val="203E0354"/>
    <w:rsid w:val="20932197"/>
    <w:rsid w:val="214025D6"/>
    <w:rsid w:val="22242034"/>
    <w:rsid w:val="22F617DC"/>
    <w:rsid w:val="26A75FAB"/>
    <w:rsid w:val="27CA051B"/>
    <w:rsid w:val="2B5D665B"/>
    <w:rsid w:val="2E95697A"/>
    <w:rsid w:val="2EAC7C2A"/>
    <w:rsid w:val="2F3B53F1"/>
    <w:rsid w:val="30716EBC"/>
    <w:rsid w:val="30FD5565"/>
    <w:rsid w:val="328C74E1"/>
    <w:rsid w:val="349125F5"/>
    <w:rsid w:val="355F6423"/>
    <w:rsid w:val="374A5F4F"/>
    <w:rsid w:val="37776061"/>
    <w:rsid w:val="39427115"/>
    <w:rsid w:val="39F348C6"/>
    <w:rsid w:val="3BE17302"/>
    <w:rsid w:val="3E450297"/>
    <w:rsid w:val="3F2519C9"/>
    <w:rsid w:val="45CF7D5E"/>
    <w:rsid w:val="48067A36"/>
    <w:rsid w:val="488104EA"/>
    <w:rsid w:val="48C61568"/>
    <w:rsid w:val="4979482D"/>
    <w:rsid w:val="49B91F19"/>
    <w:rsid w:val="4A755EAC"/>
    <w:rsid w:val="4AF24ABF"/>
    <w:rsid w:val="500B1E1D"/>
    <w:rsid w:val="51C275D6"/>
    <w:rsid w:val="538F48AA"/>
    <w:rsid w:val="53FA55A9"/>
    <w:rsid w:val="544D62C4"/>
    <w:rsid w:val="54F31741"/>
    <w:rsid w:val="553C40C4"/>
    <w:rsid w:val="5AE656A9"/>
    <w:rsid w:val="5E4B13D0"/>
    <w:rsid w:val="5E821823"/>
    <w:rsid w:val="5FD41491"/>
    <w:rsid w:val="60373E07"/>
    <w:rsid w:val="623F1744"/>
    <w:rsid w:val="63B55C56"/>
    <w:rsid w:val="63C42FF6"/>
    <w:rsid w:val="67400615"/>
    <w:rsid w:val="67E84902"/>
    <w:rsid w:val="6C774A9A"/>
    <w:rsid w:val="71134997"/>
    <w:rsid w:val="71E80F2C"/>
    <w:rsid w:val="75934A75"/>
    <w:rsid w:val="76072529"/>
    <w:rsid w:val="774B62FC"/>
    <w:rsid w:val="77CD0E66"/>
    <w:rsid w:val="79277E3E"/>
    <w:rsid w:val="7A643A77"/>
    <w:rsid w:val="7AA76FC5"/>
    <w:rsid w:val="7ACF55EC"/>
    <w:rsid w:val="7D454A3F"/>
    <w:rsid w:val="7E285FE8"/>
    <w:rsid w:val="7F615C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26</TotalTime>
  <ScaleCrop>false</ScaleCrop>
  <LinksUpToDate>false</LinksUpToDate>
  <CharactersWithSpaces>1366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2024-03-28T10:44:11Z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