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wordWrap/>
        <w:adjustRightInd/>
        <w:snapToGrid/>
        <w:spacing w:before="0" w:after="0" w:line="560" w:lineRule="exact"/>
        <w:ind w:left="0" w:leftChars="0" w:right="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wordWrap/>
        <w:adjustRightInd/>
        <w:snapToGrid/>
        <w:spacing w:before="0" w:after="0" w:line="560" w:lineRule="exact"/>
        <w:ind w:left="0" w:leftChars="0" w:right="0"/>
        <w:jc w:val="center"/>
        <w:textAlignment w:val="auto"/>
        <w:outlineLvl w:val="9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wordWrap/>
        <w:adjustRightInd/>
        <w:snapToGrid/>
        <w:spacing w:before="0" w:after="0" w:line="560" w:lineRule="exact"/>
        <w:ind w:left="0" w:leftChars="0" w:right="0"/>
        <w:jc w:val="center"/>
        <w:textAlignment w:val="auto"/>
        <w:outlineLvl w:val="9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wordWrap/>
        <w:adjustRightInd/>
        <w:snapToGrid/>
        <w:spacing w:before="0" w:after="0" w:line="560" w:lineRule="exact"/>
        <w:ind w:left="0" w:leftChars="0" w:right="0"/>
        <w:jc w:val="center"/>
        <w:textAlignment w:val="auto"/>
        <w:outlineLvl w:val="9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wordWrap/>
        <w:adjustRightInd/>
        <w:snapToGrid/>
        <w:spacing w:before="0" w:after="0" w:line="560" w:lineRule="exact"/>
        <w:ind w:left="0" w:leftChars="0" w:right="0"/>
        <w:jc w:val="center"/>
        <w:textAlignment w:val="auto"/>
        <w:outlineLvl w:val="9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wordWrap/>
        <w:adjustRightInd/>
        <w:snapToGrid/>
        <w:spacing w:before="0" w:after="0" w:line="560" w:lineRule="exact"/>
        <w:ind w:left="0" w:leftChars="0" w:right="0"/>
        <w:jc w:val="center"/>
        <w:textAlignment w:val="auto"/>
        <w:outlineLvl w:val="9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wordWrap/>
        <w:adjustRightInd/>
        <w:snapToGrid/>
        <w:spacing w:before="0" w:after="0" w:line="560" w:lineRule="exact"/>
        <w:ind w:left="0" w:leftChars="0" w:right="0"/>
        <w:jc w:val="center"/>
        <w:textAlignment w:val="auto"/>
        <w:outlineLvl w:val="9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wordWrap/>
        <w:adjustRightInd/>
        <w:snapToGrid/>
        <w:spacing w:before="0" w:after="0" w:line="560" w:lineRule="exact"/>
        <w:ind w:left="0" w:leftChars="0" w:right="0"/>
        <w:jc w:val="center"/>
        <w:textAlignment w:val="auto"/>
        <w:outlineLvl w:val="9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lang w:eastAsia="zh-CN"/>
        </w:rPr>
        <w:t>玛纳斯县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财政项目支出绩效自评报告</w:t>
      </w:r>
    </w:p>
    <w:p>
      <w:pPr>
        <w:wordWrap/>
        <w:adjustRightInd/>
        <w:snapToGrid/>
        <w:spacing w:before="0" w:after="0" w:line="560" w:lineRule="exact"/>
        <w:ind w:left="0" w:leftChars="0" w:right="0"/>
        <w:jc w:val="center"/>
        <w:textAlignment w:val="auto"/>
        <w:outlineLvl w:val="9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wordWrap/>
        <w:adjustRightInd/>
        <w:snapToGrid/>
        <w:spacing w:before="0" w:after="0" w:line="560" w:lineRule="exact"/>
        <w:ind w:left="0" w:leftChars="0" w:right="0"/>
        <w:jc w:val="center"/>
        <w:textAlignment w:val="auto"/>
        <w:outlineLvl w:val="9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wordWrap/>
        <w:adjustRightInd/>
        <w:snapToGrid/>
        <w:spacing w:before="0" w:after="0" w:line="560" w:lineRule="exact"/>
        <w:ind w:left="0" w:leftChars="0" w:right="0"/>
        <w:jc w:val="center"/>
        <w:textAlignment w:val="auto"/>
        <w:outlineLvl w:val="9"/>
        <w:rPr>
          <w:rFonts w:hAnsi="宋体" w:eastAsia="仿宋_GB2312" w:cs="宋体"/>
          <w:kern w:val="0"/>
          <w:sz w:val="30"/>
          <w:szCs w:val="30"/>
        </w:rPr>
      </w:pPr>
    </w:p>
    <w:p>
      <w:pPr>
        <w:wordWrap/>
        <w:adjustRightInd/>
        <w:snapToGrid/>
        <w:spacing w:before="0" w:after="0" w:line="560" w:lineRule="exact"/>
        <w:ind w:left="0" w:leftChars="0" w:right="0"/>
        <w:jc w:val="center"/>
        <w:textAlignment w:val="auto"/>
        <w:outlineLvl w:val="9"/>
        <w:rPr>
          <w:rFonts w:hAnsi="宋体" w:eastAsia="仿宋_GB2312" w:cs="宋体"/>
          <w:kern w:val="0"/>
          <w:sz w:val="30"/>
          <w:szCs w:val="30"/>
        </w:rPr>
      </w:pPr>
    </w:p>
    <w:p>
      <w:pPr>
        <w:wordWrap/>
        <w:adjustRightInd/>
        <w:snapToGrid/>
        <w:spacing w:before="0" w:after="0" w:line="560" w:lineRule="exact"/>
        <w:ind w:left="0" w:leftChars="0" w:right="0"/>
        <w:jc w:val="both"/>
        <w:textAlignment w:val="auto"/>
        <w:outlineLvl w:val="9"/>
        <w:rPr>
          <w:rFonts w:ascii="方正小标宋_GBK" w:hAnsi="宋体" w:eastAsia="方正小标宋_GBK" w:cs="宋体"/>
          <w:kern w:val="0"/>
          <w:sz w:val="36"/>
          <w:szCs w:val="36"/>
        </w:rPr>
      </w:pPr>
    </w:p>
    <w:p>
      <w:pPr>
        <w:wordWrap/>
        <w:adjustRightInd/>
        <w:snapToGrid/>
        <w:spacing w:before="0" w:after="0" w:line="560" w:lineRule="exact"/>
        <w:ind w:left="0" w:leftChars="0" w:right="0"/>
        <w:jc w:val="center"/>
        <w:textAlignment w:val="auto"/>
        <w:outlineLvl w:val="9"/>
        <w:rPr>
          <w:rFonts w:hAnsi="宋体" w:eastAsia="仿宋_GB2312" w:cs="宋体"/>
          <w:kern w:val="0"/>
          <w:sz w:val="30"/>
          <w:szCs w:val="30"/>
        </w:rPr>
      </w:pPr>
    </w:p>
    <w:p>
      <w:pPr>
        <w:wordWrap/>
        <w:adjustRightInd/>
        <w:snapToGrid/>
        <w:spacing w:before="0" w:after="0" w:line="560" w:lineRule="exact"/>
        <w:ind w:left="0" w:leftChars="0" w:right="0"/>
        <w:jc w:val="center"/>
        <w:textAlignment w:val="auto"/>
        <w:outlineLvl w:val="9"/>
        <w:rPr>
          <w:rFonts w:hAnsi="宋体" w:eastAsia="仿宋_GB2312" w:cs="宋体"/>
          <w:kern w:val="0"/>
          <w:sz w:val="30"/>
          <w:szCs w:val="30"/>
        </w:rPr>
      </w:pPr>
    </w:p>
    <w:p>
      <w:pPr>
        <w:wordWrap/>
        <w:adjustRightInd/>
        <w:snapToGrid/>
        <w:spacing w:before="0" w:after="0" w:line="560" w:lineRule="exact"/>
        <w:ind w:left="0" w:leftChars="0" w:right="0"/>
        <w:jc w:val="center"/>
        <w:textAlignment w:val="auto"/>
        <w:outlineLvl w:val="9"/>
        <w:rPr>
          <w:rFonts w:hAnsi="宋体" w:eastAsia="仿宋_GB2312" w:cs="宋体"/>
          <w:kern w:val="0"/>
          <w:sz w:val="30"/>
          <w:szCs w:val="30"/>
        </w:rPr>
      </w:pPr>
    </w:p>
    <w:p>
      <w:pPr>
        <w:wordWrap/>
        <w:adjustRightInd/>
        <w:snapToGrid/>
        <w:spacing w:before="0" w:after="0" w:line="560" w:lineRule="exact"/>
        <w:ind w:left="0" w:leftChars="0" w:right="0"/>
        <w:textAlignment w:val="auto"/>
        <w:outlineLvl w:val="9"/>
        <w:rPr>
          <w:rFonts w:hAnsi="宋体" w:eastAsia="仿宋_GB2312" w:cs="宋体"/>
          <w:kern w:val="0"/>
          <w:sz w:val="30"/>
          <w:szCs w:val="30"/>
        </w:rPr>
      </w:pPr>
    </w:p>
    <w:p>
      <w:pPr>
        <w:wordWrap/>
        <w:adjustRightInd/>
        <w:snapToGrid/>
        <w:spacing w:before="0" w:after="0" w:line="560" w:lineRule="exact"/>
        <w:ind w:left="0" w:leftChars="0" w:right="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32"/>
          <w:szCs w:val="32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ascii="仿宋" w:hAnsi="仿宋" w:eastAsia="仿宋" w:cs="仿宋"/>
          <w:kern w:val="0"/>
          <w:sz w:val="32"/>
          <w:szCs w:val="32"/>
        </w:rPr>
        <w:t>项目名称：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玛纳斯县学生饮用奶补助项目</w:t>
      </w:r>
    </w:p>
    <w:p>
      <w:pPr>
        <w:wordWrap/>
        <w:adjustRightInd/>
        <w:snapToGrid/>
        <w:spacing w:before="0" w:after="0" w:line="560" w:lineRule="exact"/>
        <w:ind w:left="0" w:leftChars="0" w:right="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 实施单位（公章）：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玛纳斯县畜牧兽医局</w:t>
      </w:r>
    </w:p>
    <w:p>
      <w:pPr>
        <w:wordWrap/>
        <w:adjustRightInd/>
        <w:snapToGrid/>
        <w:spacing w:before="0" w:after="0" w:line="560" w:lineRule="exact"/>
        <w:ind w:left="0" w:leftChars="0" w:right="0" w:firstLine="849" w:firstLineChars="236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主管部门（公章）：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玛纳斯县畜牧兽医局</w:t>
      </w:r>
    </w:p>
    <w:p>
      <w:pPr>
        <w:wordWrap/>
        <w:adjustRightInd/>
        <w:snapToGrid/>
        <w:spacing w:before="0" w:after="0" w:line="560" w:lineRule="exact"/>
        <w:ind w:left="0" w:leftChars="0" w:right="0" w:firstLine="849" w:firstLineChars="236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项目负责人（签章）：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吕彦庆</w:t>
      </w:r>
    </w:p>
    <w:p>
      <w:pPr>
        <w:wordWrap/>
        <w:adjustRightInd/>
        <w:snapToGrid/>
        <w:spacing w:before="0" w:after="0" w:line="560" w:lineRule="exact"/>
        <w:ind w:left="0" w:leftChars="0" w:right="0" w:firstLine="849" w:firstLineChars="236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填报时间：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2019</w:t>
      </w:r>
      <w:r>
        <w:rPr>
          <w:rFonts w:hint="eastAsia" w:ascii="仿宋" w:hAnsi="仿宋" w:eastAsia="仿宋" w:cs="仿宋"/>
          <w:kern w:val="0"/>
          <w:sz w:val="32"/>
          <w:szCs w:val="32"/>
        </w:rPr>
        <w:t>年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kern w:val="0"/>
          <w:sz w:val="32"/>
          <w:szCs w:val="32"/>
        </w:rPr>
        <w:t>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16</w:t>
      </w:r>
      <w:r>
        <w:rPr>
          <w:rFonts w:hint="eastAsia" w:ascii="仿宋" w:hAnsi="仿宋" w:eastAsia="仿宋" w:cs="仿宋"/>
          <w:kern w:val="0"/>
          <w:sz w:val="32"/>
          <w:szCs w:val="32"/>
        </w:rPr>
        <w:t>日</w:t>
      </w:r>
    </w:p>
    <w:p>
      <w:pPr>
        <w:wordWrap/>
        <w:adjustRightInd/>
        <w:snapToGrid/>
        <w:spacing w:before="0" w:after="0" w:line="560" w:lineRule="exact"/>
        <w:ind w:left="0" w:leftChars="0" w:right="0"/>
        <w:jc w:val="center"/>
        <w:textAlignment w:val="auto"/>
        <w:outlineLvl w:val="9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wordWrap/>
        <w:adjustRightInd/>
        <w:snapToGrid/>
        <w:spacing w:before="0" w:after="0" w:line="560" w:lineRule="exact"/>
        <w:ind w:left="0" w:leftChars="0" w:right="0"/>
        <w:textAlignment w:val="auto"/>
        <w:outlineLvl w:val="9"/>
        <w:rPr>
          <w:rStyle w:val="4"/>
          <w:rFonts w:ascii="黑体" w:hAnsi="黑体" w:eastAsia="黑体"/>
          <w:b w:val="0"/>
          <w:spacing w:val="-4"/>
          <w:sz w:val="32"/>
          <w:szCs w:val="32"/>
        </w:rPr>
      </w:pPr>
    </w:p>
    <w:p>
      <w:pPr>
        <w:wordWrap/>
        <w:adjustRightInd/>
        <w:snapToGrid/>
        <w:spacing w:before="0" w:after="0" w:line="560" w:lineRule="exact"/>
        <w:ind w:left="0" w:leftChars="0" w:right="0" w:firstLine="640"/>
        <w:textAlignment w:val="auto"/>
        <w:outlineLvl w:val="9"/>
        <w:rPr>
          <w:rStyle w:val="4"/>
          <w:rFonts w:hint="eastAsia" w:ascii="黑体" w:hAnsi="黑体" w:eastAsia="黑体"/>
          <w:b w:val="0"/>
          <w:spacing w:val="-4"/>
          <w:sz w:val="32"/>
          <w:szCs w:val="32"/>
        </w:rPr>
      </w:pPr>
    </w:p>
    <w:p>
      <w:pPr>
        <w:wordWrap/>
        <w:adjustRightInd/>
        <w:snapToGrid/>
        <w:spacing w:before="0" w:after="0" w:line="560" w:lineRule="exact"/>
        <w:ind w:left="0" w:leftChars="0" w:right="0" w:firstLine="640"/>
        <w:textAlignment w:val="auto"/>
        <w:outlineLvl w:val="9"/>
        <w:rPr>
          <w:rStyle w:val="4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4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wordWrap/>
        <w:adjustRightInd/>
        <w:snapToGrid/>
        <w:spacing w:before="0" w:after="0" w:line="560" w:lineRule="exact"/>
        <w:ind w:left="0" w:leftChars="0" w:right="0" w:firstLine="567"/>
        <w:textAlignment w:val="auto"/>
        <w:outlineLvl w:val="9"/>
        <w:rPr>
          <w:rStyle w:val="4"/>
          <w:rFonts w:ascii="楷体" w:hAnsi="楷体" w:eastAsia="楷体"/>
          <w:spacing w:val="-4"/>
          <w:sz w:val="32"/>
          <w:szCs w:val="32"/>
        </w:rPr>
      </w:pPr>
      <w:r>
        <w:rPr>
          <w:rStyle w:val="4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widowControl/>
        <w:wordWrap/>
        <w:adjustRightInd/>
        <w:snapToGrid/>
        <w:spacing w:before="0" w:after="0" w:line="560" w:lineRule="exact"/>
        <w:ind w:left="0" w:leftChars="0" w:right="0" w:firstLine="640" w:firstLineChars="200"/>
        <w:jc w:val="left"/>
        <w:textAlignment w:val="auto"/>
        <w:outlineLvl w:val="9"/>
        <w:rPr>
          <w:rStyle w:val="4"/>
          <w:rFonts w:ascii="楷体" w:hAnsi="楷体" w:eastAsia="楷体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玛纳斯县畜牧局是玛纳斯县人民政府主管畜牧业的职能部门。主要任务与职能是贯彻执行国家及区、州发展畜牧业的方针、政策、法规，负责研究拟订全县畜牧业中长期发展规划和年度计划，提出畜牧业发展重大技术措施并负责实施。负责全县畜牧业生产、抗灾保畜、畜产品基地建设工作，实施全县草业发展，草原管理，草场资源保护管理的规划。指导全县种畜禽改良工作。组织实施重大疫情的预防、发布、扑灭工作，作好畜禽疾病的防治工作等。</w:t>
      </w:r>
    </w:p>
    <w:p>
      <w:pPr>
        <w:wordWrap/>
        <w:adjustRightInd/>
        <w:snapToGrid/>
        <w:spacing w:before="0" w:after="0" w:line="560" w:lineRule="exact"/>
        <w:ind w:left="0" w:leftChars="0" w:right="0" w:firstLine="567" w:firstLineChars="181"/>
        <w:textAlignment w:val="auto"/>
        <w:outlineLvl w:val="9"/>
        <w:rPr>
          <w:rStyle w:val="4"/>
          <w:rFonts w:ascii="楷体" w:hAnsi="楷体" w:eastAsia="楷体"/>
          <w:spacing w:val="-4"/>
          <w:sz w:val="32"/>
          <w:szCs w:val="32"/>
        </w:rPr>
      </w:pPr>
      <w:r>
        <w:rPr>
          <w:rStyle w:val="4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4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4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wordWrap/>
        <w:adjustRightInd/>
        <w:snapToGrid/>
        <w:spacing w:before="0" w:after="0" w:line="56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为了增强学生体质、认真落实自治区有关文件精神及县教委有关政策措施，实施“学生饮用奶计划”，改善我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县</w:t>
      </w:r>
      <w:r>
        <w:rPr>
          <w:rFonts w:hint="eastAsia" w:ascii="仿宋_GB2312" w:hAnsi="仿宋_GB2312" w:eastAsia="仿宋_GB2312" w:cs="仿宋_GB2312"/>
          <w:sz w:val="32"/>
          <w:szCs w:val="32"/>
        </w:rPr>
        <w:t>少年儿童营养健康状况。我县共有义务段学校19所，11718余名城镇义务段在校学生受益。</w:t>
      </w:r>
    </w:p>
    <w:p>
      <w:pPr>
        <w:wordWrap/>
        <w:adjustRightInd/>
        <w:snapToGrid/>
        <w:spacing w:before="0" w:after="0" w:line="560" w:lineRule="exact"/>
        <w:ind w:left="0" w:leftChars="0" w:right="0" w:firstLine="640"/>
        <w:textAlignment w:val="auto"/>
        <w:outlineLvl w:val="9"/>
        <w:rPr>
          <w:rStyle w:val="4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4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wordWrap/>
        <w:adjustRightInd/>
        <w:snapToGrid/>
        <w:spacing w:before="0" w:after="0" w:line="560" w:lineRule="exact"/>
        <w:ind w:left="0" w:leftChars="0" w:right="0" w:firstLine="567" w:firstLineChars="181"/>
        <w:textAlignment w:val="auto"/>
        <w:outlineLvl w:val="9"/>
        <w:rPr>
          <w:rStyle w:val="4"/>
          <w:rFonts w:ascii="楷体" w:hAnsi="楷体" w:eastAsia="楷体"/>
          <w:spacing w:val="-4"/>
          <w:sz w:val="32"/>
          <w:szCs w:val="32"/>
        </w:rPr>
      </w:pPr>
      <w:r>
        <w:rPr>
          <w:rStyle w:val="4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wordWrap/>
        <w:adjustRightInd/>
        <w:snapToGrid/>
        <w:spacing w:before="0" w:after="0" w:line="560" w:lineRule="exact"/>
        <w:ind w:left="0" w:leftChars="0" w:right="0" w:firstLine="624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4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20178年全年中央</w:t>
      </w:r>
      <w:r>
        <w:rPr>
          <w:rStyle w:val="4"/>
          <w:rFonts w:hint="eastAsia" w:ascii="仿宋" w:hAnsi="仿宋" w:eastAsia="仿宋"/>
          <w:b w:val="0"/>
          <w:spacing w:val="-4"/>
          <w:sz w:val="32"/>
          <w:szCs w:val="32"/>
        </w:rPr>
        <w:t>财政资金</w:t>
      </w:r>
      <w:r>
        <w:rPr>
          <w:rStyle w:val="4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补助</w:t>
      </w:r>
      <w:r>
        <w:rPr>
          <w:rStyle w:val="4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73.9万元。</w:t>
      </w:r>
    </w:p>
    <w:p>
      <w:pPr>
        <w:wordWrap/>
        <w:adjustRightInd/>
        <w:snapToGrid/>
        <w:spacing w:before="0" w:after="0" w:line="560" w:lineRule="exact"/>
        <w:ind w:left="0" w:leftChars="0" w:right="0" w:firstLine="567" w:firstLineChars="181"/>
        <w:textAlignment w:val="auto"/>
        <w:outlineLvl w:val="9"/>
        <w:rPr>
          <w:rStyle w:val="4"/>
          <w:rFonts w:ascii="楷体" w:hAnsi="楷体" w:eastAsia="楷体"/>
          <w:spacing w:val="-4"/>
          <w:sz w:val="32"/>
          <w:szCs w:val="32"/>
        </w:rPr>
      </w:pPr>
      <w:r>
        <w:rPr>
          <w:rStyle w:val="4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wordWrap/>
        <w:adjustRightInd/>
        <w:snapToGrid/>
        <w:spacing w:before="0" w:after="0" w:line="560" w:lineRule="exact"/>
        <w:ind w:left="0" w:leftChars="0" w:right="0" w:firstLine="624" w:firstLineChars="200"/>
        <w:textAlignment w:val="auto"/>
        <w:outlineLvl w:val="9"/>
        <w:rPr>
          <w:rStyle w:val="4"/>
          <w:rFonts w:hint="eastAsia" w:ascii="仿宋" w:hAnsi="仿宋" w:eastAsia="仿宋_GB2312"/>
          <w:b w:val="0"/>
          <w:spacing w:val="-4"/>
          <w:sz w:val="32"/>
          <w:szCs w:val="32"/>
          <w:lang w:eastAsia="zh-CN"/>
        </w:rPr>
      </w:pPr>
      <w:r>
        <w:rPr>
          <w:rStyle w:val="4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2018年全年中央</w:t>
      </w:r>
      <w:r>
        <w:rPr>
          <w:rStyle w:val="4"/>
          <w:rFonts w:hint="eastAsia" w:ascii="仿宋" w:hAnsi="仿宋" w:eastAsia="仿宋"/>
          <w:b w:val="0"/>
          <w:spacing w:val="-4"/>
          <w:sz w:val="32"/>
          <w:szCs w:val="32"/>
        </w:rPr>
        <w:t>财政资金</w:t>
      </w:r>
      <w:r>
        <w:rPr>
          <w:rStyle w:val="4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补助</w:t>
      </w:r>
      <w:r>
        <w:rPr>
          <w:rStyle w:val="4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73.9万元全部补助给</w:t>
      </w:r>
      <w:r>
        <w:rPr>
          <w:rFonts w:hint="eastAsia" w:ascii="仿宋_GB2312" w:hAnsi="仿宋_GB2312" w:eastAsia="仿宋_GB2312" w:cs="仿宋_GB2312"/>
          <w:sz w:val="32"/>
          <w:szCs w:val="32"/>
        </w:rPr>
        <w:t>麦趣尔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公司。</w:t>
      </w:r>
    </w:p>
    <w:p>
      <w:pPr>
        <w:numPr>
          <w:ilvl w:val="0"/>
          <w:numId w:val="1"/>
        </w:numPr>
        <w:wordWrap/>
        <w:adjustRightInd/>
        <w:snapToGrid/>
        <w:spacing w:before="0" w:after="0" w:line="560" w:lineRule="exact"/>
        <w:ind w:left="0" w:leftChars="0" w:right="0" w:firstLine="567" w:firstLineChars="181"/>
        <w:textAlignment w:val="auto"/>
        <w:outlineLvl w:val="9"/>
        <w:rPr>
          <w:rStyle w:val="4"/>
          <w:rFonts w:hint="eastAsia" w:ascii="楷体" w:hAnsi="楷体" w:eastAsia="楷体"/>
          <w:spacing w:val="-4"/>
          <w:sz w:val="32"/>
          <w:szCs w:val="32"/>
        </w:rPr>
      </w:pPr>
      <w:r>
        <w:rPr>
          <w:rStyle w:val="4"/>
          <w:rFonts w:hint="eastAsia" w:ascii="楷体" w:hAnsi="楷体" w:eastAsia="楷体"/>
          <w:spacing w:val="-4"/>
          <w:sz w:val="32"/>
          <w:szCs w:val="32"/>
        </w:rPr>
        <w:t>项目资金管理情况分析</w:t>
      </w:r>
    </w:p>
    <w:p>
      <w:pPr>
        <w:wordWrap/>
        <w:adjustRightInd/>
        <w:snapToGrid/>
        <w:spacing w:before="0" w:after="0" w:line="560" w:lineRule="exact"/>
        <w:ind w:left="0" w:leftChars="0" w:right="0" w:firstLine="624" w:firstLineChars="200"/>
        <w:textAlignment w:val="auto"/>
        <w:outlineLvl w:val="9"/>
        <w:rPr>
          <w:rStyle w:val="4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4"/>
          <w:rFonts w:hint="eastAsia" w:ascii="仿宋" w:hAnsi="仿宋" w:eastAsia="仿宋"/>
          <w:b w:val="0"/>
          <w:spacing w:val="-4"/>
          <w:sz w:val="32"/>
          <w:szCs w:val="32"/>
        </w:rPr>
        <w:t>建立资金管理领导小组，对项目实施方案进行严格审查，制定资金管理制度及岗位责任制，严格监督项目实施过程中的资金使用情况，强化资金使用的事前审查、事中跟踪、事后监督等工作，做到全过程掌控资金的使用动态。</w:t>
      </w:r>
    </w:p>
    <w:p>
      <w:pPr>
        <w:wordWrap/>
        <w:adjustRightInd/>
        <w:snapToGrid/>
        <w:spacing w:before="0" w:after="0" w:line="560" w:lineRule="exact"/>
        <w:ind w:left="0" w:leftChars="0" w:right="0" w:firstLine="640"/>
        <w:textAlignment w:val="auto"/>
        <w:outlineLvl w:val="9"/>
        <w:rPr>
          <w:rStyle w:val="4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4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wordWrap/>
        <w:adjustRightInd/>
        <w:snapToGrid/>
        <w:spacing w:before="0" w:after="0" w:line="560" w:lineRule="exact"/>
        <w:ind w:left="0" w:leftChars="0" w:right="0" w:firstLine="567" w:firstLineChars="181"/>
        <w:textAlignment w:val="auto"/>
        <w:outlineLvl w:val="9"/>
        <w:rPr>
          <w:rStyle w:val="4"/>
          <w:rFonts w:ascii="楷体" w:hAnsi="楷体" w:eastAsia="楷体"/>
          <w:spacing w:val="-4"/>
          <w:sz w:val="32"/>
          <w:szCs w:val="32"/>
        </w:rPr>
      </w:pPr>
      <w:r>
        <w:rPr>
          <w:rStyle w:val="4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wordWrap/>
        <w:adjustRightInd/>
        <w:snapToGrid/>
        <w:spacing w:before="0" w:after="0" w:line="560" w:lineRule="exact"/>
        <w:ind w:left="0" w:leftChars="0" w:right="0" w:firstLine="564" w:firstLineChars="181"/>
        <w:textAlignment w:val="auto"/>
        <w:outlineLvl w:val="9"/>
        <w:rPr>
          <w:rStyle w:val="4"/>
          <w:rFonts w:hint="eastAsia" w:ascii="楷体" w:hAnsi="楷体" w:eastAsia="仿宋"/>
          <w:spacing w:val="-4"/>
          <w:sz w:val="32"/>
          <w:szCs w:val="32"/>
          <w:lang w:eastAsia="zh-CN"/>
        </w:rPr>
      </w:pPr>
      <w:r>
        <w:rPr>
          <w:rStyle w:val="4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学生饮用奶</w:t>
      </w:r>
      <w:r>
        <w:rPr>
          <w:rStyle w:val="4"/>
          <w:rFonts w:hint="eastAsia" w:ascii="仿宋" w:hAnsi="仿宋" w:eastAsia="仿宋"/>
          <w:b w:val="0"/>
          <w:spacing w:val="-4"/>
          <w:sz w:val="32"/>
          <w:szCs w:val="32"/>
        </w:rPr>
        <w:t>项目</w:t>
      </w:r>
      <w:r>
        <w:rPr>
          <w:rStyle w:val="4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严格执行招</w:t>
      </w:r>
      <w:r>
        <w:rPr>
          <w:rStyle w:val="4"/>
          <w:rFonts w:hint="eastAsia" w:ascii="仿宋" w:hAnsi="仿宋" w:eastAsia="仿宋"/>
          <w:b w:val="0"/>
          <w:spacing w:val="-4"/>
          <w:sz w:val="32"/>
          <w:szCs w:val="32"/>
        </w:rPr>
        <w:t>投</w:t>
      </w:r>
      <w:r>
        <w:rPr>
          <w:rStyle w:val="4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标程序，由</w:t>
      </w:r>
      <w:r>
        <w:rPr>
          <w:rFonts w:hint="eastAsia" w:ascii="仿宋_GB2312" w:hAnsi="仿宋_GB2312" w:eastAsia="仿宋_GB2312" w:cs="仿宋_GB2312"/>
          <w:sz w:val="32"/>
          <w:szCs w:val="32"/>
        </w:rPr>
        <w:t>麦趣尔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公司中标。供应全县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学校，各学校和教科局组织</w:t>
      </w:r>
      <w:r>
        <w:rPr>
          <w:rStyle w:val="4"/>
          <w:rFonts w:hint="eastAsia" w:ascii="仿宋" w:hAnsi="仿宋" w:eastAsia="仿宋"/>
          <w:b w:val="0"/>
          <w:spacing w:val="-4"/>
          <w:sz w:val="32"/>
          <w:szCs w:val="32"/>
        </w:rPr>
        <w:t>完成验收</w:t>
      </w:r>
      <w:r>
        <w:rPr>
          <w:rStyle w:val="4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工作，畜牧兽医局负责申请兑现中央补助资金。</w:t>
      </w:r>
    </w:p>
    <w:p>
      <w:pPr>
        <w:wordWrap/>
        <w:adjustRightInd/>
        <w:snapToGrid/>
        <w:spacing w:before="0" w:after="0" w:line="560" w:lineRule="exact"/>
        <w:ind w:left="0" w:leftChars="0" w:right="0" w:firstLine="567" w:firstLineChars="181"/>
        <w:textAlignment w:val="auto"/>
        <w:outlineLvl w:val="9"/>
        <w:rPr>
          <w:rStyle w:val="4"/>
          <w:rFonts w:ascii="楷体" w:hAnsi="楷体" w:eastAsia="楷体"/>
          <w:spacing w:val="-4"/>
          <w:sz w:val="32"/>
          <w:szCs w:val="32"/>
        </w:rPr>
      </w:pPr>
      <w:r>
        <w:rPr>
          <w:rStyle w:val="4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wordWrap/>
        <w:adjustRightInd/>
        <w:snapToGrid/>
        <w:spacing w:before="0" w:after="0" w:line="560" w:lineRule="exact"/>
        <w:ind w:left="0" w:leftChars="0" w:right="0" w:firstLine="640"/>
        <w:textAlignment w:val="auto"/>
        <w:outlineLvl w:val="9"/>
        <w:rPr>
          <w:rStyle w:val="4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4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严格执行岗位责任制，充分论证项目实施方案可操作性，督促目标完成，加强对资金使用情况的管理。</w:t>
      </w:r>
    </w:p>
    <w:p>
      <w:pPr>
        <w:wordWrap/>
        <w:adjustRightInd/>
        <w:snapToGrid/>
        <w:spacing w:before="0" w:after="0" w:line="560" w:lineRule="exact"/>
        <w:ind w:left="0" w:leftChars="0" w:right="0" w:firstLine="640"/>
        <w:textAlignment w:val="auto"/>
        <w:outlineLvl w:val="9"/>
        <w:rPr>
          <w:rStyle w:val="4"/>
          <w:rFonts w:ascii="黑体" w:hAnsi="黑体" w:eastAsia="黑体"/>
        </w:rPr>
      </w:pPr>
      <w:r>
        <w:rPr>
          <w:rStyle w:val="4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4"/>
          <w:rFonts w:hint="eastAsia" w:ascii="黑体" w:hAnsi="黑体" w:eastAsia="黑体"/>
        </w:rPr>
        <w:t xml:space="preserve"> </w:t>
      </w:r>
    </w:p>
    <w:p>
      <w:pPr>
        <w:wordWrap/>
        <w:adjustRightInd/>
        <w:snapToGrid/>
        <w:spacing w:before="0" w:after="0" w:line="560" w:lineRule="exact"/>
        <w:ind w:left="0" w:leftChars="0" w:right="0" w:firstLine="567" w:firstLineChars="181"/>
        <w:textAlignment w:val="auto"/>
        <w:outlineLvl w:val="9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wordWrap/>
        <w:adjustRightInd/>
        <w:snapToGrid/>
        <w:spacing w:before="0" w:after="0" w:line="560" w:lineRule="exact"/>
        <w:ind w:left="0" w:leftChars="0" w:right="0" w:firstLine="579" w:firstLineChars="181"/>
        <w:textAlignment w:val="auto"/>
        <w:outlineLvl w:val="9"/>
        <w:rPr>
          <w:rStyle w:val="4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color="070000" w:fill="FFFFFF"/>
        </w:rPr>
        <w:t>学生饮用奶是国家提供给学生的一项福利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color="070000" w:fill="FFFFFF"/>
          <w:lang w:eastAsia="zh-CN"/>
        </w:rPr>
        <w:t>，主要是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color="070000" w:fill="FFFFFF"/>
        </w:rPr>
        <w:t>安全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color="070000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color="070000" w:fill="FFFFFF"/>
        </w:rPr>
        <w:t>营养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color="070000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070000" w:fill="FFFFFF"/>
        </w:rPr>
        <w:t>方便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070000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070000" w:fill="FFFFFF"/>
        </w:rPr>
        <w:t>价廉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070000" w:fill="FFFFFF"/>
          <w:lang w:eastAsia="zh-CN"/>
        </w:rPr>
        <w:t>。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070000" w:fill="FFFFFF"/>
        </w:rPr>
        <w:t>牛奶是温饱之后小康来临时的健康食品，不仅小孩喝，老人喝，最重要的是中小学生都要喝上牛奶，提升整个中华民族的身体素质。实施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color="090000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color="090000" w:fill="FFFFFF"/>
        </w:rPr>
        <w:instrText xml:space="preserve"> HYPERLINK "https://baike.so.com/doc/6911298-7133155.html" \t "https://baike.so.com/doc/_blank"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color="090000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color="0A0000" w:fill="FFFFFF"/>
        </w:rPr>
        <w:t>学生奶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color="090000" w:fill="FFFFFF"/>
        </w:rPr>
        <w:fldChar w:fldCharType="end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070000" w:fill="FFFFFF"/>
        </w:rPr>
        <w:t>计划，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color="070000" w:fill="FFFFFF"/>
        </w:rPr>
        <w:t>是世界上许多国家为改善学生营养和健康状况，而采取的一项通用有效的措施。牛奶是大自然赋予人类最完善的营养食品，被称之为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color="070000" w:fill="FFFFFF"/>
          <w:lang w:eastAsia="zh-CN"/>
        </w:rPr>
        <w:t>“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color="070000" w:fill="FFFFFF"/>
        </w:rPr>
        <w:t>白色血液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color="070000" w:fill="FFFFFF"/>
          <w:lang w:eastAsia="zh-CN"/>
        </w:rPr>
        <w:t>”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color="070000" w:fill="FFFFFF"/>
        </w:rPr>
        <w:t>，是补充蛋白质、氨基酸、维生素特别是钙质的最佳补品。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070000" w:fill="FFFFFF"/>
        </w:rPr>
        <w:t>全面加强幼儿园、中小学的卫生与健康工作，加强健康知识宣传力度，有针对性地实施贫困地区学生营养餐或营养包行动，保障学生生长发育，为实现中华民族伟大复兴的中国梦打下坚实的健康基础。</w:t>
      </w:r>
    </w:p>
    <w:p>
      <w:pPr>
        <w:wordWrap/>
        <w:adjustRightInd/>
        <w:snapToGrid/>
        <w:spacing w:before="0" w:after="0" w:line="560" w:lineRule="exact"/>
        <w:ind w:left="0" w:leftChars="0" w:right="0" w:firstLine="567" w:firstLineChars="181"/>
        <w:textAlignment w:val="auto"/>
        <w:outlineLvl w:val="9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wordWrap/>
        <w:adjustRightInd/>
        <w:snapToGrid/>
        <w:spacing w:before="0" w:after="0" w:line="560" w:lineRule="exact"/>
        <w:ind w:left="0" w:leftChars="0" w:right="0" w:firstLine="640"/>
        <w:textAlignment w:val="auto"/>
        <w:outlineLvl w:val="9"/>
        <w:rPr>
          <w:rStyle w:val="4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eastAsia="zh-CN"/>
        </w:rPr>
      </w:pPr>
      <w:r>
        <w:rPr>
          <w:rStyle w:val="4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eastAsia="zh-CN"/>
        </w:rPr>
        <w:t>已经按照年度计划实施完毕。</w:t>
      </w:r>
    </w:p>
    <w:p>
      <w:pPr>
        <w:wordWrap/>
        <w:adjustRightInd/>
        <w:snapToGrid/>
        <w:spacing w:before="0" w:after="0" w:line="560" w:lineRule="exact"/>
        <w:ind w:left="0" w:leftChars="0" w:right="0" w:firstLine="640"/>
        <w:textAlignment w:val="auto"/>
        <w:outlineLvl w:val="9"/>
        <w:rPr>
          <w:rStyle w:val="4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4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wordWrap/>
        <w:adjustRightInd/>
        <w:snapToGrid/>
        <w:spacing w:before="0" w:after="0" w:line="560" w:lineRule="exact"/>
        <w:ind w:left="0" w:leftChars="0" w:right="0" w:firstLine="567" w:firstLineChars="181"/>
        <w:textAlignment w:val="auto"/>
        <w:outlineLvl w:val="9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wordWrap/>
        <w:adjustRightInd/>
        <w:snapToGrid/>
        <w:spacing w:before="0" w:after="0" w:line="560" w:lineRule="exact"/>
        <w:ind w:left="0" w:leftChars="0" w:right="0" w:firstLine="564" w:firstLineChars="181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2019年按照国家七部委要求，继续给全县19所小学供应学生饮用奶。</w:t>
      </w:r>
    </w:p>
    <w:p>
      <w:pPr>
        <w:wordWrap/>
        <w:adjustRightInd/>
        <w:snapToGrid/>
        <w:spacing w:before="0" w:after="0" w:line="560" w:lineRule="exact"/>
        <w:ind w:left="0" w:leftChars="0" w:right="0" w:firstLine="567" w:firstLineChars="181"/>
        <w:textAlignment w:val="auto"/>
        <w:outlineLvl w:val="9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wordWrap/>
        <w:adjustRightInd/>
        <w:snapToGrid/>
        <w:spacing w:before="0" w:after="0" w:line="56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为把这项惠民工程做好，我县根据实际情况采取两种发放形式：一种学校附近增设发放点学生拿奶票自行领取，二种是农牧区较远的学校由麦趣尔公司直接发放的形式。</w:t>
      </w:r>
    </w:p>
    <w:p>
      <w:pPr>
        <w:wordWrap/>
        <w:adjustRightInd/>
        <w:snapToGrid/>
        <w:spacing w:before="0" w:after="0" w:line="56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玛纳斯县教科局</w:t>
      </w:r>
      <w:r>
        <w:rPr>
          <w:rFonts w:hint="eastAsia" w:ascii="仿宋_GB2312" w:hAnsi="仿宋_GB2312" w:eastAsia="仿宋_GB2312" w:cs="仿宋_GB2312"/>
          <w:sz w:val="32"/>
          <w:szCs w:val="32"/>
        </w:rPr>
        <w:t>按时统计好每月学生奶的配送数量和实际饮用数量，月底及时向上级领导和麦趣尔服务中心报送。</w:t>
      </w:r>
    </w:p>
    <w:p>
      <w:pPr>
        <w:wordWrap/>
        <w:adjustRightInd/>
        <w:snapToGrid/>
        <w:spacing w:before="0" w:after="0" w:line="56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各学校学校成立由校长任组长的实施学生饮用奶工程领导小组，具体负责本校饮用奶组织管理和实施，做到每年有计划，年终有总结，期期有关于学生饮用奶的宣传报道。</w:t>
      </w:r>
    </w:p>
    <w:p>
      <w:pPr>
        <w:widowControl/>
        <w:wordWrap/>
        <w:adjustRightInd/>
        <w:snapToGrid/>
        <w:spacing w:before="0" w:after="0" w:line="560" w:lineRule="exact"/>
        <w:ind w:left="0" w:leftChars="0" w:righ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玛纳斯县县畜牧兽医局根据县教科局的统计报表和</w:t>
      </w:r>
      <w:r>
        <w:rPr>
          <w:rFonts w:hint="eastAsia" w:ascii="仿宋_GB2312" w:hAnsi="仿宋_GB2312" w:eastAsia="仿宋_GB2312" w:cs="仿宋_GB2312"/>
          <w:sz w:val="32"/>
          <w:szCs w:val="32"/>
        </w:rPr>
        <w:t>麦趣尔公司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供应的发票，向县财政局申请资金，由财政局直接拨付给</w:t>
      </w:r>
      <w:r>
        <w:rPr>
          <w:rFonts w:hint="eastAsia" w:ascii="仿宋_GB2312" w:hAnsi="仿宋_GB2312" w:eastAsia="仿宋_GB2312" w:cs="仿宋_GB2312"/>
          <w:sz w:val="32"/>
          <w:szCs w:val="32"/>
        </w:rPr>
        <w:t>麦趣尔公司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widowControl/>
        <w:wordWrap/>
        <w:adjustRightInd/>
        <w:snapToGrid/>
        <w:spacing w:before="0" w:after="0" w:line="560" w:lineRule="exact"/>
        <w:ind w:left="0" w:leftChars="0" w:righ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存在问题：</w:t>
      </w:r>
      <w:r>
        <w:rPr>
          <w:rFonts w:hint="eastAsia" w:ascii="仿宋_GB2312" w:hAnsi="仿宋_GB2312" w:eastAsia="仿宋_GB2312" w:cs="仿宋_GB2312"/>
          <w:sz w:val="32"/>
          <w:szCs w:val="32"/>
        </w:rPr>
        <w:t>在每月学生奶领取的过程中难免会出现学生丢失奶券、不按时领取等问题。</w:t>
      </w:r>
    </w:p>
    <w:p>
      <w:pPr>
        <w:wordWrap/>
        <w:adjustRightInd/>
        <w:snapToGrid/>
        <w:spacing w:before="0" w:after="0" w:line="560" w:lineRule="exact"/>
        <w:ind w:left="0" w:leftChars="0" w:right="0" w:firstLine="567" w:firstLineChars="181"/>
        <w:textAlignment w:val="auto"/>
        <w:outlineLvl w:val="9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wordWrap/>
        <w:adjustRightInd/>
        <w:snapToGrid/>
        <w:spacing w:before="0" w:after="0" w:line="560" w:lineRule="exact"/>
        <w:ind w:left="0" w:leftChars="0" w:right="0" w:firstLine="564" w:firstLineChars="181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无。</w:t>
      </w:r>
    </w:p>
    <w:p>
      <w:pPr>
        <w:wordWrap/>
        <w:adjustRightInd/>
        <w:snapToGrid/>
        <w:spacing w:before="0" w:after="0" w:line="560" w:lineRule="exact"/>
        <w:ind w:left="0" w:leftChars="0" w:right="0" w:firstLine="640"/>
        <w:textAlignment w:val="auto"/>
        <w:outlineLvl w:val="9"/>
        <w:rPr>
          <w:rStyle w:val="4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4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wordWrap/>
        <w:adjustRightInd/>
        <w:snapToGrid/>
        <w:spacing w:before="0" w:after="0" w:line="560" w:lineRule="exact"/>
        <w:ind w:left="0" w:leftChars="0" w:right="0" w:firstLine="624" w:firstLineChars="200"/>
        <w:textAlignment w:val="auto"/>
        <w:outlineLvl w:val="9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包括评价基础数据收集、资料来源和依据等佐证材料情况，项目现场勘验检查核实等情况</w:t>
      </w:r>
    </w:p>
    <w:p>
      <w:pPr>
        <w:wordWrap/>
        <w:adjustRightInd/>
        <w:snapToGrid/>
        <w:spacing w:before="0" w:after="0" w:line="560" w:lineRule="exact"/>
        <w:ind w:left="0" w:leftChars="0" w:right="0" w:firstLine="640"/>
        <w:textAlignment w:val="auto"/>
        <w:outlineLvl w:val="9"/>
        <w:rPr>
          <w:rStyle w:val="4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4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wordWrap/>
        <w:adjustRightInd/>
        <w:snapToGrid/>
        <w:spacing w:before="0" w:after="0" w:line="560" w:lineRule="exact"/>
        <w:ind w:left="0" w:leftChars="0" w:right="0" w:firstLine="567"/>
        <w:textAlignment w:val="auto"/>
        <w:outlineLvl w:val="9"/>
        <w:rPr>
          <w:rStyle w:val="4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4"/>
          <w:rFonts w:hint="eastAsia" w:ascii="仿宋" w:hAnsi="仿宋" w:eastAsia="仿宋"/>
          <w:b w:val="0"/>
          <w:spacing w:val="-4"/>
          <w:sz w:val="32"/>
          <w:szCs w:val="32"/>
        </w:rPr>
        <w:t>《</w:t>
      </w:r>
      <w:r>
        <w:rPr>
          <w:rStyle w:val="4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玛纳斯县</w:t>
      </w:r>
      <w:r>
        <w:rPr>
          <w:rStyle w:val="4"/>
          <w:rFonts w:hint="eastAsia" w:ascii="仿宋" w:hAnsi="仿宋" w:eastAsia="仿宋"/>
          <w:b w:val="0"/>
          <w:spacing w:val="-4"/>
          <w:sz w:val="32"/>
          <w:szCs w:val="32"/>
        </w:rPr>
        <w:t>财政项目支出绩效自评表</w:t>
      </w:r>
      <w:r>
        <w:rPr>
          <w:rStyle w:val="4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》</w:t>
      </w:r>
      <w:bookmarkStart w:id="0" w:name="_GoBack"/>
      <w:bookmarkEnd w:id="0"/>
    </w:p>
    <w:p>
      <w:pPr>
        <w:wordWrap/>
        <w:adjustRightInd/>
        <w:snapToGrid/>
        <w:spacing w:before="0" w:after="0" w:line="560" w:lineRule="exact"/>
        <w:ind w:right="0"/>
        <w:textAlignment w:val="auto"/>
        <w:outlineLvl w:val="9"/>
        <w:rPr>
          <w:rStyle w:val="4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6"/>
        <w:tblW w:w="902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1125"/>
        <w:gridCol w:w="1084"/>
        <w:gridCol w:w="356"/>
        <w:gridCol w:w="2115"/>
        <w:gridCol w:w="1549"/>
        <w:gridCol w:w="206"/>
        <w:gridCol w:w="157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center"/>
              <w:textAlignment w:val="auto"/>
              <w:outlineLvl w:val="9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eastAsia="zh-CN"/>
              </w:rPr>
              <w:t>玛纳斯县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2018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玛纳斯县学生饮用奶补助项目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玛纳斯县畜牧兽医局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01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预算执行情况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24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73.9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万元</w:t>
            </w:r>
          </w:p>
        </w:tc>
        <w:tc>
          <w:tcPr>
            <w:tcW w:w="15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righ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73.9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0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righ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24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73.9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righ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righ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73.9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righ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24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49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righ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righ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01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年度目标完成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3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10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ordWrap/>
              <w:adjustRightInd/>
              <w:snapToGrid/>
              <w:spacing w:before="0" w:after="0" w:line="560" w:lineRule="exact"/>
              <w:ind w:right="0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计划全县义务段学校19所，11718余名城镇义务段在校学生受益。</w:t>
            </w:r>
          </w:p>
        </w:tc>
        <w:tc>
          <w:tcPr>
            <w:tcW w:w="33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完成全县义务段学校19所，11718余名城镇义务段在校学生受益。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</w:trPr>
        <w:tc>
          <w:tcPr>
            <w:tcW w:w="101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2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1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2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学校总数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19所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19所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101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指标2：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受益学生人数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11718余名学生</w:t>
            </w:r>
          </w:p>
        </w:tc>
        <w:tc>
          <w:tcPr>
            <w:tcW w:w="1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11718余名学生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1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2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保证质量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1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2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时限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1年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01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2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补贴金额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73.9万元</w:t>
            </w:r>
          </w:p>
        </w:tc>
        <w:tc>
          <w:tcPr>
            <w:tcW w:w="1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73.9万元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01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2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增强学生体质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增强学生体质</w:t>
            </w:r>
          </w:p>
        </w:tc>
        <w:tc>
          <w:tcPr>
            <w:tcW w:w="1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增强学生体质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10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2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提升学生身体素质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提升</w:t>
            </w:r>
          </w:p>
        </w:tc>
        <w:tc>
          <w:tcPr>
            <w:tcW w:w="1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提升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44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2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学生家长满意度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1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60" w:lineRule="exact"/>
              <w:ind w:left="0" w:leftChars="0" w:right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≥95%</w:t>
            </w:r>
          </w:p>
        </w:tc>
      </w:tr>
    </w:tbl>
    <w:p>
      <w:pPr>
        <w:wordWrap/>
        <w:adjustRightInd/>
        <w:snapToGrid/>
        <w:spacing w:before="0" w:after="0" w:line="560" w:lineRule="exact"/>
        <w:ind w:left="0" w:leftChars="0" w:right="0"/>
        <w:textAlignment w:val="auto"/>
        <w:outlineLvl w:val="9"/>
      </w:pPr>
    </w:p>
    <w:sectPr>
      <w:pgSz w:w="11906" w:h="16838"/>
      <w:pgMar w:top="1417" w:right="1417" w:bottom="1417" w:left="141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0">
    <w:nsid w:val="0000000A"/>
    <w:multiLevelType w:val="singleLevel"/>
    <w:tmpl w:val="0000000A"/>
    <w:lvl w:ilvl="0" w:tentative="1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2D5543"/>
    <w:rsid w:val="38256711"/>
    <w:rsid w:val="46F6782D"/>
    <w:rsid w:val="657E6D7E"/>
    <w:rsid w:val="6A3F725D"/>
    <w:rsid w:val="7FCC6B28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kern w:val="2"/>
      <w:sz w:val="18"/>
      <w:szCs w:val="18"/>
    </w:rPr>
  </w:style>
  <w:style w:type="character" w:styleId="4">
    <w:name w:val="Strong"/>
    <w:basedOn w:val="3"/>
    <w:qFormat/>
    <w:uiPriority w:val="0"/>
    <w:rPr>
      <w:b/>
      <w:bCs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2019-01-16T13:17:00Z</dcterms:created>
  <dc:creator>吕彦庆</dc:creator>
  <cp:lastModifiedBy>Administrator</cp:lastModifiedBy>
  <cp:lastPrinted>2019-01-16T15:44:00Z</cp:lastPrinted>
  <dcterms:modified xsi:type="dcterms:W3CDTF">2019-02-25T13:39:44Z</dcterms:modified>
  <dc:title>吕彦庆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