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玛纳斯县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1080" w:hanging="1080" w:hangingChars="300"/>
        <w:jc w:val="left"/>
        <w:rPr>
          <w:rFonts w:hint="eastAsia" w:hAnsi="宋体" w:eastAsia="仿宋_GB2312" w:cs="宋体"/>
          <w:kern w:val="0"/>
          <w:sz w:val="36"/>
          <w:szCs w:val="36"/>
        </w:rPr>
      </w:pPr>
      <w:r>
        <w:rPr>
          <w:rFonts w:hint="eastAsia" w:hAnsi="宋体" w:eastAsia="仿宋_GB2312" w:cs="宋体"/>
          <w:kern w:val="0"/>
          <w:sz w:val="36"/>
          <w:szCs w:val="36"/>
        </w:rPr>
        <w:t xml:space="preserve">     项目名称：201</w:t>
      </w:r>
      <w:r>
        <w:rPr>
          <w:rFonts w:hint="eastAsia" w:hAnsi="宋体" w:eastAsia="仿宋_GB2312" w:cs="宋体"/>
          <w:kern w:val="0"/>
          <w:sz w:val="36"/>
          <w:szCs w:val="36"/>
          <w:lang w:val="en-US" w:eastAsia="zh-CN"/>
        </w:rPr>
        <w:t>8</w:t>
      </w:r>
      <w:r>
        <w:rPr>
          <w:rFonts w:hint="eastAsia" w:hAnsi="宋体" w:eastAsia="仿宋_GB2312" w:cs="宋体"/>
          <w:kern w:val="0"/>
          <w:sz w:val="36"/>
          <w:szCs w:val="36"/>
        </w:rPr>
        <w:t xml:space="preserve">年广播电视节目无线覆盖运行维护    </w:t>
      </w:r>
    </w:p>
    <w:p>
      <w:pPr>
        <w:spacing w:line="700" w:lineRule="exact"/>
        <w:ind w:firstLine="720" w:firstLineChars="200"/>
        <w:jc w:val="left"/>
        <w:rPr>
          <w:rFonts w:hint="eastAsia" w:hAnsi="宋体" w:eastAsia="仿宋_GB2312" w:cs="宋体"/>
          <w:kern w:val="0"/>
          <w:sz w:val="36"/>
          <w:szCs w:val="36"/>
          <w:lang w:eastAsia="zh-CN"/>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玛纳斯县广播电视台</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玛纳斯县文旅广新局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吕海滨</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 xml:space="preserve"> 1 </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 xml:space="preserve"> 20</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keepNext w:val="0"/>
        <w:keepLines w:val="0"/>
        <w:pageBreakBefore w:val="0"/>
        <w:kinsoku/>
        <w:wordWrap/>
        <w:overflowPunct/>
        <w:topLinePunct w:val="0"/>
        <w:autoSpaceDE/>
        <w:autoSpaceDN/>
        <w:bidi w:val="0"/>
        <w:adjustRightInd/>
        <w:snapToGrid/>
        <w:spacing w:line="540" w:lineRule="exact"/>
        <w:ind w:firstLine="640"/>
        <w:textAlignment w:val="auto"/>
        <w:outlineLvl w:val="9"/>
        <w:rPr>
          <w:rStyle w:val="19"/>
          <w:rFonts w:hint="eastAsia" w:ascii="黑体" w:hAnsi="黑体" w:eastAsia="黑体"/>
          <w:b w:val="0"/>
          <w:spacing w:val="-4"/>
          <w:sz w:val="32"/>
          <w:szCs w:val="32"/>
          <w:lang w:eastAsia="zh-CN"/>
        </w:rPr>
      </w:pPr>
      <w:r>
        <w:rPr>
          <w:rStyle w:val="19"/>
          <w:rFonts w:hint="eastAsia" w:ascii="黑体" w:hAnsi="黑体" w:eastAsia="黑体"/>
          <w:b w:val="0"/>
          <w:spacing w:val="-4"/>
          <w:sz w:val="32"/>
          <w:szCs w:val="32"/>
          <w:lang w:eastAsia="zh-CN"/>
        </w:rPr>
        <w:t>一、项目概况</w:t>
      </w:r>
    </w:p>
    <w:p>
      <w:pPr>
        <w:keepNext w:val="0"/>
        <w:keepLines w:val="0"/>
        <w:pageBreakBefore w:val="0"/>
        <w:kinsoku/>
        <w:wordWrap/>
        <w:overflowPunct/>
        <w:topLinePunct w:val="0"/>
        <w:autoSpaceDE/>
        <w:autoSpaceDN/>
        <w:bidi w:val="0"/>
        <w:adjustRightInd/>
        <w:snapToGrid/>
        <w:spacing w:line="540" w:lineRule="exact"/>
        <w:ind w:firstLine="567"/>
        <w:textAlignment w:val="auto"/>
        <w:outlineLvl w:val="9"/>
        <w:rPr>
          <w:rStyle w:val="19"/>
          <w:rFonts w:ascii="楷体" w:hAnsi="楷体" w:eastAsia="楷体"/>
          <w:color w:val="auto"/>
          <w:spacing w:val="-4"/>
          <w:sz w:val="32"/>
          <w:szCs w:val="32"/>
        </w:rPr>
      </w:pPr>
      <w:r>
        <w:rPr>
          <w:rStyle w:val="19"/>
          <w:rFonts w:hint="eastAsia" w:ascii="楷体" w:hAnsi="楷体" w:eastAsia="楷体"/>
          <w:color w:val="auto"/>
          <w:spacing w:val="-4"/>
          <w:sz w:val="32"/>
          <w:szCs w:val="32"/>
        </w:rPr>
        <w:t>（一）项目单位基本情况</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624" w:firstLineChars="200"/>
        <w:jc w:val="both"/>
        <w:textAlignment w:val="auto"/>
        <w:outlineLvl w:val="9"/>
        <w:rPr>
          <w:rStyle w:val="19"/>
          <w:rFonts w:hint="eastAsia" w:ascii="仿宋" w:hAnsi="仿宋" w:eastAsia="仿宋"/>
          <w:b w:val="0"/>
          <w:spacing w:val="-4"/>
          <w:kern w:val="2"/>
          <w:sz w:val="32"/>
          <w:szCs w:val="32"/>
          <w:lang w:val="en-US" w:eastAsia="zh-CN" w:bidi="ar-SA"/>
        </w:rPr>
      </w:pPr>
      <w:r>
        <w:rPr>
          <w:rStyle w:val="19"/>
          <w:rFonts w:hint="eastAsia" w:ascii="仿宋" w:hAnsi="仿宋" w:eastAsia="仿宋"/>
          <w:b w:val="0"/>
          <w:spacing w:val="-4"/>
          <w:kern w:val="2"/>
          <w:sz w:val="32"/>
          <w:szCs w:val="32"/>
          <w:lang w:val="en-US" w:eastAsia="zh-CN" w:bidi="ar-SA"/>
        </w:rPr>
        <w:t>1、机构类别：公益二类</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624" w:firstLineChars="200"/>
        <w:jc w:val="both"/>
        <w:textAlignment w:val="auto"/>
        <w:outlineLvl w:val="9"/>
        <w:rPr>
          <w:rStyle w:val="19"/>
          <w:rFonts w:hint="eastAsia" w:ascii="仿宋" w:hAnsi="仿宋" w:eastAsia="仿宋"/>
          <w:b w:val="0"/>
          <w:spacing w:val="-4"/>
          <w:kern w:val="2"/>
          <w:sz w:val="32"/>
          <w:szCs w:val="32"/>
          <w:lang w:val="en-US" w:eastAsia="zh-CN" w:bidi="ar-SA"/>
        </w:rPr>
      </w:pPr>
      <w:r>
        <w:rPr>
          <w:rStyle w:val="19"/>
          <w:rFonts w:hint="eastAsia" w:ascii="仿宋" w:hAnsi="仿宋" w:eastAsia="仿宋"/>
          <w:b w:val="0"/>
          <w:spacing w:val="-4"/>
          <w:kern w:val="2"/>
          <w:sz w:val="32"/>
          <w:szCs w:val="32"/>
          <w:lang w:val="en-US" w:eastAsia="zh-CN" w:bidi="ar-SA"/>
        </w:rPr>
        <w:t>2、主要职责任务：负责对广播电台、有线电视台、地面卫星接收转播节目及本县自办节目进行监督管理；承担县文化宣传、新闻采编、对外宣传、电视节目制作、信息广告等相关社会服务。</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624" w:firstLineChars="200"/>
        <w:jc w:val="both"/>
        <w:textAlignment w:val="auto"/>
        <w:outlineLvl w:val="9"/>
        <w:rPr>
          <w:rStyle w:val="19"/>
          <w:rFonts w:hint="eastAsia" w:ascii="仿宋" w:hAnsi="仿宋" w:eastAsia="仿宋"/>
          <w:b w:val="0"/>
          <w:spacing w:val="-4"/>
          <w:kern w:val="2"/>
          <w:sz w:val="32"/>
          <w:szCs w:val="32"/>
          <w:lang w:val="en-US" w:eastAsia="zh-CN" w:bidi="ar-SA"/>
        </w:rPr>
      </w:pPr>
      <w:r>
        <w:rPr>
          <w:rStyle w:val="19"/>
          <w:rFonts w:hint="eastAsia" w:ascii="仿宋" w:hAnsi="仿宋" w:eastAsia="仿宋"/>
          <w:b w:val="0"/>
          <w:spacing w:val="-4"/>
          <w:kern w:val="2"/>
          <w:sz w:val="32"/>
          <w:szCs w:val="32"/>
          <w:lang w:val="en-US" w:eastAsia="zh-CN" w:bidi="ar-SA"/>
        </w:rPr>
        <w:t>3、机构规格、内设机构、人员编制、领导职数：玛纳斯县广播电视台，机构规格相当于科级，玛纳斯县广播电视台设总编室、新闻部、社教部、技术部、文艺部、外宣部、电台节目部、网站等8个内设机构，核定事业编制28名，其中领导职数2名。</w:t>
      </w:r>
    </w:p>
    <w:p>
      <w:pPr>
        <w:keepNext w:val="0"/>
        <w:keepLines w:val="0"/>
        <w:pageBreakBefore w:val="0"/>
        <w:kinsoku/>
        <w:wordWrap/>
        <w:overflowPunct/>
        <w:topLinePunct w:val="0"/>
        <w:autoSpaceDE/>
        <w:autoSpaceDN/>
        <w:bidi w:val="0"/>
        <w:adjustRightInd/>
        <w:snapToGrid/>
        <w:spacing w:line="540" w:lineRule="exact"/>
        <w:ind w:firstLine="567" w:firstLineChars="181"/>
        <w:textAlignment w:val="auto"/>
        <w:outlineLvl w:val="9"/>
        <w:rPr>
          <w:rStyle w:val="19"/>
          <w:rFonts w:ascii="楷体" w:hAnsi="楷体" w:eastAsia="楷体"/>
          <w:color w:val="auto"/>
          <w:spacing w:val="-4"/>
          <w:sz w:val="32"/>
          <w:szCs w:val="32"/>
        </w:rPr>
      </w:pPr>
      <w:r>
        <w:rPr>
          <w:rStyle w:val="19"/>
          <w:rFonts w:hint="eastAsia" w:ascii="楷体" w:hAnsi="楷体" w:eastAsia="楷体"/>
          <w:color w:val="auto"/>
          <w:spacing w:val="-4"/>
          <w:sz w:val="32"/>
          <w:szCs w:val="32"/>
        </w:rPr>
        <w:t>（二）项目预算</w:t>
      </w:r>
      <w:r>
        <w:rPr>
          <w:rStyle w:val="19"/>
          <w:rFonts w:ascii="楷体" w:hAnsi="楷体" w:eastAsia="楷体"/>
          <w:color w:val="auto"/>
          <w:spacing w:val="-4"/>
          <w:sz w:val="32"/>
          <w:szCs w:val="32"/>
        </w:rPr>
        <w:t>绩效目标</w:t>
      </w:r>
      <w:r>
        <w:rPr>
          <w:rStyle w:val="19"/>
          <w:rFonts w:hint="eastAsia" w:ascii="楷体" w:hAnsi="楷体" w:eastAsia="楷体"/>
          <w:color w:val="auto"/>
          <w:spacing w:val="-4"/>
          <w:sz w:val="32"/>
          <w:szCs w:val="32"/>
        </w:rPr>
        <w:t>设定情况</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624" w:firstLineChars="200"/>
        <w:jc w:val="both"/>
        <w:textAlignment w:val="auto"/>
        <w:outlineLvl w:val="9"/>
        <w:rPr>
          <w:rStyle w:val="19"/>
          <w:rFonts w:hint="eastAsia" w:ascii="仿宋" w:hAnsi="仿宋" w:eastAsia="仿宋"/>
          <w:b w:val="0"/>
          <w:spacing w:val="-4"/>
          <w:kern w:val="2"/>
          <w:sz w:val="32"/>
          <w:szCs w:val="32"/>
          <w:lang w:val="en-US" w:eastAsia="zh-CN" w:bidi="ar-SA"/>
        </w:rPr>
      </w:pPr>
      <w:r>
        <w:rPr>
          <w:rStyle w:val="19"/>
          <w:rFonts w:hint="eastAsia" w:ascii="仿宋" w:hAnsi="仿宋" w:eastAsia="仿宋"/>
          <w:b w:val="0"/>
          <w:spacing w:val="-4"/>
          <w:kern w:val="2"/>
          <w:sz w:val="32"/>
          <w:szCs w:val="32"/>
          <w:lang w:val="en-US" w:eastAsia="zh-CN" w:bidi="ar-SA"/>
        </w:rPr>
        <w:t>鉴于我台的广播电视发射设备运行多年，部分设备陈旧老化、故障频出，需要随时监控，定期维护。为提高玛纳斯广播电视节目播出质量,提升玛纳斯形象, 我台按照区州上级部门要求对发射系统设备进行维护。</w:t>
      </w:r>
    </w:p>
    <w:p>
      <w:pPr>
        <w:keepNext w:val="0"/>
        <w:keepLines w:val="0"/>
        <w:pageBreakBefore w:val="0"/>
        <w:kinsoku/>
        <w:wordWrap/>
        <w:overflowPunct/>
        <w:topLinePunct w:val="0"/>
        <w:autoSpaceDE/>
        <w:autoSpaceDN/>
        <w:bidi w:val="0"/>
        <w:adjustRightInd/>
        <w:snapToGrid/>
        <w:spacing w:line="540" w:lineRule="exact"/>
        <w:ind w:firstLine="640"/>
        <w:textAlignment w:val="auto"/>
        <w:outlineLvl w:val="9"/>
        <w:rPr>
          <w:rStyle w:val="19"/>
          <w:rFonts w:hint="eastAsia" w:ascii="黑体" w:hAnsi="黑体" w:eastAsia="黑体"/>
          <w:b w:val="0"/>
          <w:spacing w:val="-4"/>
          <w:sz w:val="32"/>
          <w:szCs w:val="32"/>
          <w:lang w:eastAsia="zh-CN"/>
        </w:rPr>
      </w:pPr>
      <w:r>
        <w:rPr>
          <w:rStyle w:val="19"/>
          <w:rFonts w:hint="eastAsia" w:ascii="黑体" w:hAnsi="黑体" w:eastAsia="黑体"/>
          <w:b w:val="0"/>
          <w:spacing w:val="-4"/>
          <w:sz w:val="32"/>
          <w:szCs w:val="32"/>
          <w:lang w:eastAsia="zh-CN"/>
        </w:rPr>
        <w:t>二、项目资金使用及管理情况</w:t>
      </w:r>
    </w:p>
    <w:p>
      <w:pPr>
        <w:keepNext w:val="0"/>
        <w:keepLines w:val="0"/>
        <w:pageBreakBefore w:val="0"/>
        <w:kinsoku/>
        <w:wordWrap/>
        <w:overflowPunct/>
        <w:topLinePunct w:val="0"/>
        <w:autoSpaceDE/>
        <w:autoSpaceDN/>
        <w:bidi w:val="0"/>
        <w:adjustRightInd/>
        <w:snapToGrid/>
        <w:spacing w:line="540" w:lineRule="exact"/>
        <w:ind w:firstLine="567" w:firstLineChars="181"/>
        <w:textAlignment w:val="auto"/>
        <w:outlineLvl w:val="9"/>
        <w:rPr>
          <w:rStyle w:val="19"/>
          <w:rFonts w:hint="eastAsia" w:ascii="楷体" w:hAnsi="楷体" w:eastAsia="楷体"/>
          <w:color w:val="auto"/>
          <w:spacing w:val="-4"/>
          <w:sz w:val="32"/>
          <w:szCs w:val="32"/>
        </w:rPr>
      </w:pPr>
      <w:r>
        <w:rPr>
          <w:rStyle w:val="19"/>
          <w:rFonts w:hint="eastAsia" w:ascii="楷体" w:hAnsi="楷体" w:eastAsia="楷体"/>
          <w:color w:val="auto"/>
          <w:spacing w:val="-4"/>
          <w:sz w:val="32"/>
          <w:szCs w:val="32"/>
        </w:rPr>
        <w:t>（一）项目资金安排落实、总投入等情况分析</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624" w:firstLineChars="200"/>
        <w:jc w:val="both"/>
        <w:textAlignment w:val="auto"/>
        <w:outlineLvl w:val="9"/>
        <w:rPr>
          <w:rStyle w:val="19"/>
          <w:rFonts w:hint="eastAsia" w:ascii="仿宋" w:hAnsi="仿宋" w:eastAsia="仿宋"/>
          <w:b w:val="0"/>
          <w:spacing w:val="-4"/>
          <w:kern w:val="2"/>
          <w:sz w:val="32"/>
          <w:szCs w:val="32"/>
          <w:lang w:val="en-US" w:eastAsia="zh-CN" w:bidi="ar-SA"/>
        </w:rPr>
      </w:pPr>
      <w:r>
        <w:rPr>
          <w:rStyle w:val="19"/>
          <w:rFonts w:hint="eastAsia" w:ascii="仿宋" w:hAnsi="仿宋" w:eastAsia="仿宋"/>
          <w:b w:val="0"/>
          <w:spacing w:val="-4"/>
          <w:kern w:val="2"/>
          <w:sz w:val="32"/>
          <w:szCs w:val="32"/>
          <w:lang w:val="en-US" w:eastAsia="zh-CN" w:bidi="ar-SA"/>
        </w:rPr>
        <w:t>昌州财教【2018】15号文件，下达2018年中央补助地方公共文化服务体系建设专项资金(中央广播电视节目无线覆盖(模拟)运行维护费)9.9万元；昌州财教【2018】15号文件，下达2018年中央补助地方公共文化服务体系建设专项资金的通知(中央广播电视节目无线覆盖(数字)运行维护费)31.20万元。昌州财教【2018】24号文件，下达自治区广播电视节目无线覆盖运行维护经费21.96万元。</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624" w:firstLineChars="200"/>
        <w:jc w:val="both"/>
        <w:textAlignment w:val="auto"/>
        <w:outlineLvl w:val="9"/>
        <w:rPr>
          <w:rStyle w:val="19"/>
          <w:rFonts w:hint="eastAsia" w:ascii="仿宋" w:hAnsi="仿宋" w:eastAsia="仿宋"/>
          <w:b w:val="0"/>
          <w:spacing w:val="-4"/>
          <w:kern w:val="2"/>
          <w:sz w:val="32"/>
          <w:szCs w:val="32"/>
          <w:lang w:val="en-US" w:eastAsia="zh-CN" w:bidi="ar-SA"/>
        </w:rPr>
      </w:pPr>
      <w:r>
        <w:rPr>
          <w:rStyle w:val="19"/>
          <w:rFonts w:hint="eastAsia" w:ascii="仿宋" w:hAnsi="仿宋" w:eastAsia="仿宋"/>
          <w:b w:val="0"/>
          <w:spacing w:val="-4"/>
          <w:kern w:val="2"/>
          <w:sz w:val="32"/>
          <w:szCs w:val="32"/>
          <w:lang w:val="en-US" w:eastAsia="zh-CN" w:bidi="ar-SA"/>
        </w:rPr>
        <w:t>2018年度总计下达无线覆盖运行维护专项资金63.06万元，上年结余资金101.44万元，县级33.94万元，总计投入198.03万元。</w:t>
      </w:r>
    </w:p>
    <w:p>
      <w:pPr>
        <w:keepNext w:val="0"/>
        <w:keepLines w:val="0"/>
        <w:pageBreakBefore w:val="0"/>
        <w:kinsoku/>
        <w:wordWrap/>
        <w:overflowPunct/>
        <w:topLinePunct w:val="0"/>
        <w:autoSpaceDE/>
        <w:autoSpaceDN/>
        <w:bidi w:val="0"/>
        <w:adjustRightInd/>
        <w:snapToGrid/>
        <w:spacing w:line="540" w:lineRule="exact"/>
        <w:ind w:firstLine="567" w:firstLineChars="181"/>
        <w:textAlignment w:val="auto"/>
        <w:outlineLvl w:val="9"/>
        <w:rPr>
          <w:rStyle w:val="19"/>
          <w:rFonts w:ascii="楷体" w:hAnsi="楷体" w:eastAsia="楷体"/>
          <w:b/>
          <w:bCs/>
          <w:color w:val="auto"/>
          <w:spacing w:val="-4"/>
          <w:sz w:val="32"/>
          <w:szCs w:val="32"/>
        </w:rPr>
      </w:pPr>
      <w:r>
        <w:rPr>
          <w:rStyle w:val="19"/>
          <w:rFonts w:hint="eastAsia" w:ascii="楷体" w:hAnsi="楷体" w:eastAsia="楷体"/>
          <w:b/>
          <w:bCs/>
          <w:color w:val="auto"/>
          <w:spacing w:val="-4"/>
          <w:sz w:val="32"/>
          <w:szCs w:val="32"/>
        </w:rPr>
        <w:t>（二）项目资金实际使用情况分析</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624" w:firstLineChars="200"/>
        <w:jc w:val="both"/>
        <w:textAlignment w:val="auto"/>
        <w:outlineLvl w:val="9"/>
        <w:rPr>
          <w:rStyle w:val="19"/>
          <w:rFonts w:hint="eastAsia" w:ascii="仿宋" w:hAnsi="仿宋" w:eastAsia="仿宋"/>
          <w:b w:val="0"/>
          <w:spacing w:val="-4"/>
          <w:kern w:val="2"/>
          <w:sz w:val="32"/>
          <w:szCs w:val="32"/>
          <w:lang w:val="en-US" w:eastAsia="zh-CN" w:bidi="ar-SA"/>
        </w:rPr>
      </w:pPr>
      <w:r>
        <w:rPr>
          <w:rStyle w:val="19"/>
          <w:rFonts w:hint="eastAsia" w:ascii="仿宋" w:hAnsi="仿宋" w:eastAsia="仿宋"/>
          <w:b w:val="0"/>
          <w:spacing w:val="-4"/>
          <w:kern w:val="2"/>
          <w:sz w:val="32"/>
          <w:szCs w:val="32"/>
          <w:lang w:val="en-US" w:eastAsia="zh-CN" w:bidi="ar-SA"/>
        </w:rPr>
        <w:t>1、2018年度广播电视节目无线覆盖运行维护费支付发射设备运行电费48.44万元；</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624" w:firstLineChars="200"/>
        <w:jc w:val="both"/>
        <w:textAlignment w:val="auto"/>
        <w:outlineLvl w:val="9"/>
        <w:rPr>
          <w:rStyle w:val="19"/>
          <w:rFonts w:hint="eastAsia" w:ascii="仿宋" w:hAnsi="仿宋" w:eastAsia="仿宋"/>
          <w:b w:val="0"/>
          <w:spacing w:val="-4"/>
          <w:kern w:val="2"/>
          <w:sz w:val="32"/>
          <w:szCs w:val="32"/>
          <w:lang w:val="en-US" w:eastAsia="zh-CN" w:bidi="ar-SA"/>
        </w:rPr>
      </w:pPr>
      <w:r>
        <w:rPr>
          <w:rStyle w:val="19"/>
          <w:rFonts w:hint="eastAsia" w:ascii="仿宋" w:hAnsi="仿宋" w:eastAsia="仿宋"/>
          <w:b w:val="0"/>
          <w:spacing w:val="-4"/>
          <w:kern w:val="2"/>
          <w:sz w:val="32"/>
          <w:szCs w:val="32"/>
          <w:lang w:val="en-US" w:eastAsia="zh-CN" w:bidi="ar-SA"/>
        </w:rPr>
        <w:t>2、2018年度广播电视节目无线覆盖运行维护费支付无线发射塔危塔维修费用149.59万元。</w:t>
      </w:r>
    </w:p>
    <w:p>
      <w:pPr>
        <w:keepNext w:val="0"/>
        <w:keepLines w:val="0"/>
        <w:pageBreakBefore w:val="0"/>
        <w:kinsoku/>
        <w:wordWrap/>
        <w:overflowPunct/>
        <w:topLinePunct w:val="0"/>
        <w:autoSpaceDE/>
        <w:autoSpaceDN/>
        <w:bidi w:val="0"/>
        <w:adjustRightInd/>
        <w:snapToGrid/>
        <w:spacing w:line="540" w:lineRule="exact"/>
        <w:ind w:firstLine="567" w:firstLineChars="181"/>
        <w:textAlignment w:val="auto"/>
        <w:outlineLvl w:val="9"/>
        <w:rPr>
          <w:rStyle w:val="19"/>
          <w:rFonts w:ascii="楷体" w:hAnsi="楷体" w:eastAsia="楷体"/>
          <w:color w:val="auto"/>
          <w:spacing w:val="-4"/>
          <w:sz w:val="32"/>
          <w:szCs w:val="32"/>
        </w:rPr>
      </w:pPr>
      <w:r>
        <w:rPr>
          <w:rStyle w:val="19"/>
          <w:rFonts w:hint="eastAsia" w:ascii="楷体" w:hAnsi="楷体" w:eastAsia="楷体"/>
          <w:color w:val="auto"/>
          <w:spacing w:val="-4"/>
          <w:sz w:val="32"/>
          <w:szCs w:val="32"/>
        </w:rPr>
        <w:t>（三）项目资金管理情况分析</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624" w:firstLineChars="200"/>
        <w:jc w:val="both"/>
        <w:textAlignment w:val="auto"/>
        <w:outlineLvl w:val="9"/>
        <w:rPr>
          <w:rStyle w:val="19"/>
          <w:rFonts w:hint="eastAsia" w:ascii="仿宋" w:hAnsi="仿宋" w:eastAsia="仿宋"/>
          <w:b w:val="0"/>
          <w:spacing w:val="-4"/>
          <w:kern w:val="2"/>
          <w:sz w:val="32"/>
          <w:szCs w:val="32"/>
          <w:lang w:val="en-US" w:eastAsia="zh-CN" w:bidi="ar-SA"/>
        </w:rPr>
      </w:pPr>
      <w:r>
        <w:rPr>
          <w:rStyle w:val="19"/>
          <w:rFonts w:hint="eastAsia" w:ascii="仿宋" w:hAnsi="仿宋" w:eastAsia="仿宋"/>
          <w:b w:val="0"/>
          <w:spacing w:val="-4"/>
          <w:kern w:val="2"/>
          <w:sz w:val="32"/>
          <w:szCs w:val="32"/>
          <w:lang w:val="en-US" w:eastAsia="zh-CN" w:bidi="ar-SA"/>
        </w:rPr>
        <w:t>专项资金管理和使用遵循“统一规划、分级负责、明确目标、注重绩效、规范管理、专款专用”的原则。</w:t>
      </w:r>
    </w:p>
    <w:p>
      <w:pPr>
        <w:keepNext w:val="0"/>
        <w:keepLines w:val="0"/>
        <w:pageBreakBefore w:val="0"/>
        <w:kinsoku/>
        <w:wordWrap/>
        <w:overflowPunct/>
        <w:topLinePunct w:val="0"/>
        <w:autoSpaceDE/>
        <w:autoSpaceDN/>
        <w:bidi w:val="0"/>
        <w:adjustRightInd/>
        <w:snapToGrid/>
        <w:spacing w:line="540" w:lineRule="exact"/>
        <w:ind w:firstLine="640"/>
        <w:textAlignment w:val="auto"/>
        <w:outlineLvl w:val="9"/>
        <w:rPr>
          <w:rStyle w:val="19"/>
          <w:rFonts w:ascii="黑体" w:hAnsi="黑体" w:eastAsia="黑体"/>
          <w:b w:val="0"/>
          <w:color w:val="auto"/>
          <w:spacing w:val="-4"/>
          <w:sz w:val="32"/>
          <w:szCs w:val="32"/>
        </w:rPr>
      </w:pPr>
      <w:r>
        <w:rPr>
          <w:rStyle w:val="19"/>
          <w:rFonts w:hint="eastAsia" w:ascii="黑体" w:hAnsi="黑体" w:eastAsia="黑体"/>
          <w:b w:val="0"/>
          <w:color w:val="auto"/>
          <w:spacing w:val="-4"/>
          <w:sz w:val="32"/>
          <w:szCs w:val="32"/>
        </w:rPr>
        <w:t>三、项目组织实施情况</w:t>
      </w:r>
    </w:p>
    <w:p>
      <w:pPr>
        <w:keepNext w:val="0"/>
        <w:keepLines w:val="0"/>
        <w:pageBreakBefore w:val="0"/>
        <w:kinsoku/>
        <w:wordWrap/>
        <w:overflowPunct/>
        <w:topLinePunct w:val="0"/>
        <w:autoSpaceDE/>
        <w:autoSpaceDN/>
        <w:bidi w:val="0"/>
        <w:adjustRightInd/>
        <w:snapToGrid/>
        <w:spacing w:line="540" w:lineRule="exact"/>
        <w:ind w:firstLine="567" w:firstLineChars="181"/>
        <w:textAlignment w:val="auto"/>
        <w:outlineLvl w:val="9"/>
        <w:rPr>
          <w:rStyle w:val="19"/>
          <w:rFonts w:ascii="楷体" w:hAnsi="楷体" w:eastAsia="楷体"/>
          <w:color w:val="auto"/>
          <w:spacing w:val="-4"/>
          <w:sz w:val="32"/>
          <w:szCs w:val="32"/>
        </w:rPr>
      </w:pPr>
      <w:r>
        <w:rPr>
          <w:rStyle w:val="19"/>
          <w:rFonts w:hint="eastAsia" w:ascii="楷体" w:hAnsi="楷体" w:eastAsia="楷体"/>
          <w:color w:val="auto"/>
          <w:spacing w:val="-4"/>
          <w:sz w:val="32"/>
          <w:szCs w:val="32"/>
        </w:rPr>
        <w:t>（一）项目组织情况分析</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624" w:firstLineChars="200"/>
        <w:jc w:val="both"/>
        <w:textAlignment w:val="auto"/>
        <w:outlineLvl w:val="9"/>
        <w:rPr>
          <w:rStyle w:val="19"/>
          <w:rFonts w:hint="eastAsia" w:ascii="仿宋" w:hAnsi="仿宋" w:eastAsia="仿宋"/>
          <w:b w:val="0"/>
          <w:spacing w:val="-4"/>
          <w:kern w:val="2"/>
          <w:sz w:val="32"/>
          <w:szCs w:val="32"/>
          <w:lang w:val="en-US" w:eastAsia="zh-CN" w:bidi="ar-SA"/>
        </w:rPr>
      </w:pPr>
      <w:r>
        <w:rPr>
          <w:rStyle w:val="19"/>
          <w:rFonts w:hint="eastAsia" w:ascii="仿宋" w:hAnsi="仿宋" w:eastAsia="仿宋"/>
          <w:b w:val="0"/>
          <w:spacing w:val="-4"/>
          <w:kern w:val="2"/>
          <w:sz w:val="32"/>
          <w:szCs w:val="32"/>
          <w:lang w:val="en-US" w:eastAsia="zh-CN" w:bidi="ar-SA"/>
        </w:rPr>
        <w:t>项目全程在财政监督下完成，履行正规程序，完成验收。资金使用严格执行各项规章制度，资金落实到位，不拖欠，不做项目外的其他支出。</w:t>
      </w:r>
    </w:p>
    <w:p>
      <w:pPr>
        <w:keepNext w:val="0"/>
        <w:keepLines w:val="0"/>
        <w:pageBreakBefore w:val="0"/>
        <w:kinsoku/>
        <w:wordWrap/>
        <w:overflowPunct/>
        <w:topLinePunct w:val="0"/>
        <w:autoSpaceDE/>
        <w:autoSpaceDN/>
        <w:bidi w:val="0"/>
        <w:adjustRightInd/>
        <w:snapToGrid/>
        <w:spacing w:line="540" w:lineRule="exact"/>
        <w:ind w:firstLine="567" w:firstLineChars="181"/>
        <w:textAlignment w:val="auto"/>
        <w:outlineLvl w:val="9"/>
        <w:rPr>
          <w:rStyle w:val="19"/>
          <w:rFonts w:ascii="楷体" w:hAnsi="楷体" w:eastAsia="楷体"/>
          <w:color w:val="auto"/>
          <w:spacing w:val="-4"/>
          <w:sz w:val="32"/>
          <w:szCs w:val="32"/>
        </w:rPr>
      </w:pPr>
      <w:r>
        <w:rPr>
          <w:rStyle w:val="19"/>
          <w:rFonts w:hint="eastAsia" w:ascii="楷体" w:hAnsi="楷体" w:eastAsia="楷体"/>
          <w:color w:val="auto"/>
          <w:spacing w:val="-4"/>
          <w:sz w:val="32"/>
          <w:szCs w:val="32"/>
        </w:rPr>
        <w:t>（二）项目管理情况分析</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624" w:firstLineChars="200"/>
        <w:jc w:val="both"/>
        <w:textAlignment w:val="auto"/>
        <w:outlineLvl w:val="9"/>
        <w:rPr>
          <w:rStyle w:val="19"/>
          <w:rFonts w:hint="eastAsia" w:ascii="仿宋" w:hAnsi="仿宋" w:eastAsia="仿宋"/>
          <w:b w:val="0"/>
          <w:spacing w:val="-4"/>
          <w:kern w:val="2"/>
          <w:sz w:val="32"/>
          <w:szCs w:val="32"/>
          <w:lang w:val="en-US" w:eastAsia="zh-CN" w:bidi="ar-SA"/>
        </w:rPr>
      </w:pPr>
      <w:r>
        <w:rPr>
          <w:rStyle w:val="19"/>
          <w:rFonts w:hint="eastAsia" w:ascii="仿宋" w:hAnsi="仿宋" w:eastAsia="仿宋"/>
          <w:b w:val="0"/>
          <w:spacing w:val="-4"/>
          <w:kern w:val="2"/>
          <w:sz w:val="32"/>
          <w:szCs w:val="32"/>
          <w:lang w:val="en-US" w:eastAsia="zh-CN" w:bidi="ar-SA"/>
        </w:rPr>
        <w:t>我台项目资金使用严格执行“三重一大”管理制度，对本台重大支出上会讨论，经办人具体实施，主管领导监督，台委会审核，进行层层监督管理。把资金的使用落到实处。</w:t>
      </w:r>
    </w:p>
    <w:p>
      <w:pPr>
        <w:keepNext w:val="0"/>
        <w:keepLines w:val="0"/>
        <w:pageBreakBefore w:val="0"/>
        <w:kinsoku/>
        <w:wordWrap/>
        <w:overflowPunct/>
        <w:topLinePunct w:val="0"/>
        <w:autoSpaceDE/>
        <w:autoSpaceDN/>
        <w:bidi w:val="0"/>
        <w:adjustRightInd/>
        <w:snapToGrid/>
        <w:spacing w:line="540" w:lineRule="exact"/>
        <w:ind w:firstLine="640"/>
        <w:textAlignment w:val="auto"/>
        <w:outlineLvl w:val="9"/>
        <w:rPr>
          <w:rStyle w:val="19"/>
          <w:rFonts w:ascii="黑体" w:hAnsi="黑体" w:eastAsia="黑体"/>
          <w:color w:val="auto"/>
        </w:rPr>
      </w:pPr>
      <w:r>
        <w:rPr>
          <w:rStyle w:val="19"/>
          <w:rFonts w:hint="eastAsia" w:ascii="黑体" w:hAnsi="黑体" w:eastAsia="黑体"/>
          <w:b w:val="0"/>
          <w:color w:val="auto"/>
          <w:spacing w:val="-4"/>
          <w:sz w:val="32"/>
          <w:szCs w:val="32"/>
        </w:rPr>
        <w:t>四、项目绩效情况</w:t>
      </w:r>
      <w:r>
        <w:rPr>
          <w:rStyle w:val="19"/>
          <w:rFonts w:hint="eastAsia" w:ascii="黑体" w:hAnsi="黑体" w:eastAsia="黑体"/>
          <w:color w:val="auto"/>
        </w:rPr>
        <w:t xml:space="preserve"> </w:t>
      </w:r>
    </w:p>
    <w:p>
      <w:pPr>
        <w:keepNext w:val="0"/>
        <w:keepLines w:val="0"/>
        <w:pageBreakBefore w:val="0"/>
        <w:kinsoku/>
        <w:wordWrap/>
        <w:overflowPunct/>
        <w:topLinePunct w:val="0"/>
        <w:autoSpaceDE/>
        <w:autoSpaceDN/>
        <w:bidi w:val="0"/>
        <w:adjustRightInd/>
        <w:snapToGrid/>
        <w:spacing w:line="540" w:lineRule="exact"/>
        <w:ind w:firstLine="567" w:firstLineChars="181"/>
        <w:textAlignment w:val="auto"/>
        <w:outlineLvl w:val="9"/>
        <w:rPr>
          <w:rFonts w:ascii="楷体" w:hAnsi="楷体" w:eastAsia="楷体"/>
          <w:b/>
          <w:color w:val="auto"/>
          <w:spacing w:val="-4"/>
          <w:sz w:val="32"/>
          <w:szCs w:val="32"/>
        </w:rPr>
      </w:pPr>
      <w:r>
        <w:rPr>
          <w:rFonts w:hint="eastAsia" w:ascii="楷体" w:hAnsi="楷体" w:eastAsia="楷体"/>
          <w:b/>
          <w:color w:val="auto"/>
          <w:spacing w:val="-4"/>
          <w:sz w:val="32"/>
          <w:szCs w:val="32"/>
        </w:rPr>
        <w:t>（一）项目绩效目标完成情况分析</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624" w:firstLineChars="200"/>
        <w:jc w:val="both"/>
        <w:textAlignment w:val="auto"/>
        <w:outlineLvl w:val="9"/>
        <w:rPr>
          <w:rStyle w:val="19"/>
          <w:rFonts w:hint="eastAsia" w:ascii="仿宋" w:hAnsi="仿宋" w:eastAsia="仿宋"/>
          <w:b w:val="0"/>
          <w:spacing w:val="-4"/>
          <w:kern w:val="2"/>
          <w:sz w:val="32"/>
          <w:szCs w:val="32"/>
          <w:lang w:val="en-US" w:eastAsia="zh-CN" w:bidi="ar-SA"/>
        </w:rPr>
      </w:pPr>
      <w:r>
        <w:rPr>
          <w:rStyle w:val="19"/>
          <w:rFonts w:hint="eastAsia" w:ascii="仿宋" w:hAnsi="仿宋" w:eastAsia="仿宋"/>
          <w:b w:val="0"/>
          <w:spacing w:val="-4"/>
          <w:kern w:val="2"/>
          <w:sz w:val="32"/>
          <w:szCs w:val="32"/>
          <w:lang w:val="en-US" w:eastAsia="zh-CN" w:bidi="ar-SA"/>
        </w:rPr>
        <w:t>2018年我台项目资金专款专用，全部用于项目建设。</w:t>
      </w:r>
    </w:p>
    <w:p>
      <w:pPr>
        <w:keepNext w:val="0"/>
        <w:keepLines w:val="0"/>
        <w:pageBreakBefore w:val="0"/>
        <w:kinsoku/>
        <w:wordWrap/>
        <w:overflowPunct/>
        <w:topLinePunct w:val="0"/>
        <w:autoSpaceDE/>
        <w:autoSpaceDN/>
        <w:bidi w:val="0"/>
        <w:adjustRightInd/>
        <w:snapToGrid/>
        <w:spacing w:line="540" w:lineRule="exact"/>
        <w:ind w:firstLine="567" w:firstLineChars="181"/>
        <w:textAlignment w:val="auto"/>
        <w:outlineLvl w:val="9"/>
        <w:rPr>
          <w:rFonts w:ascii="楷体" w:hAnsi="楷体" w:eastAsia="楷体"/>
          <w:b/>
          <w:color w:val="auto"/>
          <w:spacing w:val="-4"/>
          <w:sz w:val="32"/>
          <w:szCs w:val="32"/>
        </w:rPr>
      </w:pPr>
      <w:r>
        <w:rPr>
          <w:rFonts w:hint="eastAsia" w:ascii="楷体" w:hAnsi="楷体" w:eastAsia="楷体"/>
          <w:b/>
          <w:color w:val="auto"/>
          <w:spacing w:val="-4"/>
          <w:sz w:val="32"/>
          <w:szCs w:val="32"/>
        </w:rPr>
        <w:t>（二）项目绩效目标未完成原因分析</w:t>
      </w:r>
    </w:p>
    <w:p>
      <w:pPr>
        <w:keepNext w:val="0"/>
        <w:keepLines w:val="0"/>
        <w:pageBreakBefore w:val="0"/>
        <w:kinsoku/>
        <w:wordWrap/>
        <w:overflowPunct/>
        <w:topLinePunct w:val="0"/>
        <w:autoSpaceDE/>
        <w:autoSpaceDN/>
        <w:bidi w:val="0"/>
        <w:adjustRightInd/>
        <w:snapToGrid/>
        <w:spacing w:line="540" w:lineRule="exact"/>
        <w:ind w:firstLine="640"/>
        <w:textAlignment w:val="auto"/>
        <w:outlineLvl w:val="9"/>
        <w:rPr>
          <w:rFonts w:hint="eastAsia" w:ascii="仿宋" w:hAnsi="仿宋" w:eastAsia="仿宋"/>
          <w:color w:val="auto"/>
          <w:spacing w:val="-4"/>
          <w:sz w:val="32"/>
          <w:szCs w:val="32"/>
          <w:lang w:eastAsia="zh-CN"/>
        </w:rPr>
      </w:pPr>
      <w:r>
        <w:rPr>
          <w:rFonts w:hint="eastAsia" w:ascii="仿宋" w:hAnsi="仿宋" w:eastAsia="仿宋"/>
          <w:color w:val="auto"/>
          <w:spacing w:val="-4"/>
          <w:sz w:val="32"/>
          <w:szCs w:val="32"/>
          <w:lang w:eastAsia="zh-CN"/>
        </w:rPr>
        <w:t>无</w:t>
      </w:r>
    </w:p>
    <w:p>
      <w:pPr>
        <w:keepNext w:val="0"/>
        <w:keepLines w:val="0"/>
        <w:pageBreakBefore w:val="0"/>
        <w:kinsoku/>
        <w:wordWrap/>
        <w:overflowPunct/>
        <w:topLinePunct w:val="0"/>
        <w:autoSpaceDE/>
        <w:autoSpaceDN/>
        <w:bidi w:val="0"/>
        <w:adjustRightInd/>
        <w:snapToGrid/>
        <w:spacing w:line="540" w:lineRule="exact"/>
        <w:ind w:firstLine="640"/>
        <w:textAlignment w:val="auto"/>
        <w:outlineLvl w:val="9"/>
        <w:rPr>
          <w:rStyle w:val="19"/>
          <w:rFonts w:ascii="黑体" w:hAnsi="黑体" w:eastAsia="黑体"/>
          <w:b w:val="0"/>
          <w:color w:val="auto"/>
          <w:spacing w:val="-4"/>
          <w:sz w:val="32"/>
          <w:szCs w:val="32"/>
        </w:rPr>
      </w:pPr>
      <w:r>
        <w:rPr>
          <w:rStyle w:val="19"/>
          <w:rFonts w:hint="eastAsia" w:ascii="黑体" w:hAnsi="黑体" w:eastAsia="黑体"/>
          <w:b w:val="0"/>
          <w:color w:val="auto"/>
          <w:spacing w:val="-4"/>
          <w:sz w:val="32"/>
          <w:szCs w:val="32"/>
        </w:rPr>
        <w:t>五、其他需要说明的问题</w:t>
      </w:r>
    </w:p>
    <w:p>
      <w:pPr>
        <w:keepNext w:val="0"/>
        <w:keepLines w:val="0"/>
        <w:pageBreakBefore w:val="0"/>
        <w:kinsoku/>
        <w:wordWrap/>
        <w:overflowPunct/>
        <w:topLinePunct w:val="0"/>
        <w:autoSpaceDE/>
        <w:autoSpaceDN/>
        <w:bidi w:val="0"/>
        <w:adjustRightInd/>
        <w:snapToGrid/>
        <w:spacing w:line="540" w:lineRule="exact"/>
        <w:ind w:firstLine="567" w:firstLineChars="181"/>
        <w:textAlignment w:val="auto"/>
        <w:outlineLvl w:val="9"/>
        <w:rPr>
          <w:rFonts w:hint="eastAsia" w:ascii="楷体" w:hAnsi="楷体" w:eastAsia="楷体"/>
          <w:b/>
          <w:color w:val="auto"/>
          <w:spacing w:val="-4"/>
          <w:sz w:val="32"/>
          <w:szCs w:val="32"/>
        </w:rPr>
      </w:pPr>
      <w:r>
        <w:rPr>
          <w:rFonts w:hint="eastAsia" w:ascii="楷体" w:hAnsi="楷体" w:eastAsia="楷体"/>
          <w:b/>
          <w:color w:val="auto"/>
          <w:spacing w:val="-4"/>
          <w:sz w:val="32"/>
          <w:szCs w:val="32"/>
        </w:rPr>
        <w:t>（一）后续工作计划</w:t>
      </w:r>
    </w:p>
    <w:p>
      <w:pPr>
        <w:keepNext w:val="0"/>
        <w:keepLines w:val="0"/>
        <w:pageBreakBefore w:val="0"/>
        <w:kinsoku/>
        <w:wordWrap/>
        <w:overflowPunct/>
        <w:topLinePunct w:val="0"/>
        <w:autoSpaceDE/>
        <w:autoSpaceDN/>
        <w:bidi w:val="0"/>
        <w:adjustRightInd/>
        <w:snapToGrid/>
        <w:spacing w:line="540" w:lineRule="exact"/>
        <w:ind w:firstLine="564" w:firstLineChars="181"/>
        <w:textAlignment w:val="auto"/>
        <w:outlineLvl w:val="9"/>
        <w:rPr>
          <w:rFonts w:hint="eastAsia" w:ascii="楷体" w:hAnsi="楷体" w:eastAsia="楷体"/>
          <w:b w:val="0"/>
          <w:bCs/>
          <w:color w:val="auto"/>
          <w:spacing w:val="-4"/>
          <w:sz w:val="32"/>
          <w:szCs w:val="32"/>
        </w:rPr>
      </w:pPr>
      <w:r>
        <w:rPr>
          <w:rStyle w:val="19"/>
          <w:rFonts w:hint="eastAsia" w:ascii="仿宋" w:hAnsi="仿宋" w:eastAsia="仿宋"/>
          <w:b w:val="0"/>
          <w:spacing w:val="-4"/>
          <w:kern w:val="2"/>
          <w:sz w:val="32"/>
          <w:szCs w:val="32"/>
          <w:lang w:val="en-US" w:eastAsia="zh-CN" w:bidi="ar-SA"/>
        </w:rPr>
        <w:t>昌州财教【2018】15号文件，下达2018年中央补助地方公共文化服务体系建设专项资金(中央广播电视节目无线覆盖(模拟)运行维护费)文件精神，对资金进行绩效监控。</w:t>
      </w:r>
    </w:p>
    <w:p>
      <w:pPr>
        <w:keepNext w:val="0"/>
        <w:keepLines w:val="0"/>
        <w:pageBreakBefore w:val="0"/>
        <w:kinsoku/>
        <w:wordWrap/>
        <w:overflowPunct/>
        <w:topLinePunct w:val="0"/>
        <w:autoSpaceDE/>
        <w:autoSpaceDN/>
        <w:bidi w:val="0"/>
        <w:adjustRightInd/>
        <w:snapToGrid/>
        <w:spacing w:line="540" w:lineRule="exact"/>
        <w:ind w:firstLine="567" w:firstLineChars="181"/>
        <w:textAlignment w:val="auto"/>
        <w:outlineLvl w:val="9"/>
        <w:rPr>
          <w:rFonts w:ascii="楷体" w:hAnsi="楷体" w:eastAsia="楷体"/>
          <w:b/>
          <w:color w:val="auto"/>
          <w:spacing w:val="-4"/>
          <w:sz w:val="32"/>
          <w:szCs w:val="32"/>
        </w:rPr>
      </w:pPr>
      <w:r>
        <w:rPr>
          <w:rFonts w:hint="eastAsia" w:ascii="楷体" w:hAnsi="楷体" w:eastAsia="楷体"/>
          <w:b/>
          <w:color w:val="auto"/>
          <w:spacing w:val="-4"/>
          <w:sz w:val="32"/>
          <w:szCs w:val="32"/>
        </w:rPr>
        <w:t>（二）主要经验及做法、存在问题和建议</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624" w:firstLineChars="200"/>
        <w:jc w:val="both"/>
        <w:textAlignment w:val="auto"/>
        <w:outlineLvl w:val="9"/>
        <w:rPr>
          <w:rFonts w:hint="eastAsia" w:ascii="楷体" w:hAnsi="楷体" w:eastAsia="楷体"/>
          <w:b/>
          <w:color w:val="auto"/>
          <w:spacing w:val="-4"/>
          <w:sz w:val="32"/>
          <w:szCs w:val="32"/>
        </w:rPr>
      </w:pPr>
      <w:r>
        <w:rPr>
          <w:rStyle w:val="19"/>
          <w:rFonts w:hint="eastAsia" w:ascii="仿宋" w:hAnsi="仿宋" w:eastAsia="仿宋"/>
          <w:b w:val="0"/>
          <w:spacing w:val="-4"/>
          <w:kern w:val="2"/>
          <w:sz w:val="32"/>
          <w:szCs w:val="32"/>
          <w:lang w:val="en-US" w:eastAsia="zh-CN" w:bidi="ar-SA"/>
        </w:rPr>
        <w:t>我台项目资金使用严格执行“三重一大”管理制度，对本台重大支出上会讨论，经办人具体实施，主管领导监督，台委会审核，进行层层监督管理。把资金的使用落到实处。</w:t>
      </w:r>
    </w:p>
    <w:p>
      <w:pPr>
        <w:keepNext w:val="0"/>
        <w:keepLines w:val="0"/>
        <w:pageBreakBefore w:val="0"/>
        <w:kinsoku/>
        <w:wordWrap/>
        <w:overflowPunct/>
        <w:topLinePunct w:val="0"/>
        <w:autoSpaceDE/>
        <w:autoSpaceDN/>
        <w:bidi w:val="0"/>
        <w:adjustRightInd/>
        <w:snapToGrid/>
        <w:spacing w:line="540" w:lineRule="exact"/>
        <w:ind w:firstLine="567" w:firstLineChars="181"/>
        <w:textAlignment w:val="auto"/>
        <w:outlineLvl w:val="9"/>
        <w:rPr>
          <w:rFonts w:hint="eastAsia" w:ascii="楷体" w:hAnsi="楷体" w:eastAsia="楷体"/>
          <w:b/>
          <w:color w:val="auto"/>
          <w:spacing w:val="-4"/>
          <w:sz w:val="32"/>
          <w:szCs w:val="32"/>
        </w:rPr>
      </w:pPr>
      <w:r>
        <w:rPr>
          <w:rFonts w:hint="eastAsia" w:ascii="楷体" w:hAnsi="楷体" w:eastAsia="楷体"/>
          <w:b/>
          <w:color w:val="auto"/>
          <w:spacing w:val="-4"/>
          <w:sz w:val="32"/>
          <w:szCs w:val="32"/>
        </w:rPr>
        <w:t>（三）其他</w:t>
      </w:r>
    </w:p>
    <w:p>
      <w:pPr>
        <w:keepNext w:val="0"/>
        <w:keepLines w:val="0"/>
        <w:pageBreakBefore w:val="0"/>
        <w:kinsoku/>
        <w:wordWrap/>
        <w:overflowPunct/>
        <w:topLinePunct w:val="0"/>
        <w:autoSpaceDE/>
        <w:autoSpaceDN/>
        <w:bidi w:val="0"/>
        <w:adjustRightInd/>
        <w:snapToGrid/>
        <w:spacing w:line="540" w:lineRule="exact"/>
        <w:ind w:firstLine="564" w:firstLineChars="181"/>
        <w:textAlignment w:val="auto"/>
        <w:outlineLvl w:val="9"/>
        <w:rPr>
          <w:rStyle w:val="19"/>
          <w:rFonts w:hint="eastAsia" w:ascii="仿宋" w:hAnsi="仿宋" w:eastAsia="仿宋" w:cs="宋体"/>
          <w:b w:val="0"/>
          <w:bCs w:val="0"/>
          <w:spacing w:val="-4"/>
          <w:kern w:val="2"/>
          <w:sz w:val="32"/>
          <w:szCs w:val="32"/>
          <w:lang w:val="en-US" w:eastAsia="zh-CN" w:bidi="ar-SA"/>
        </w:rPr>
      </w:pPr>
      <w:r>
        <w:rPr>
          <w:rStyle w:val="19"/>
          <w:rFonts w:hint="eastAsia" w:ascii="仿宋" w:hAnsi="仿宋" w:eastAsia="仿宋" w:cs="宋体"/>
          <w:b w:val="0"/>
          <w:bCs w:val="0"/>
          <w:spacing w:val="-4"/>
          <w:kern w:val="2"/>
          <w:sz w:val="32"/>
          <w:szCs w:val="32"/>
          <w:lang w:val="en-US" w:eastAsia="zh-CN" w:bidi="ar-SA"/>
        </w:rPr>
        <w:t>无</w:t>
      </w:r>
    </w:p>
    <w:p>
      <w:pPr>
        <w:keepNext w:val="0"/>
        <w:keepLines w:val="0"/>
        <w:pageBreakBefore w:val="0"/>
        <w:kinsoku/>
        <w:wordWrap/>
        <w:overflowPunct/>
        <w:topLinePunct w:val="0"/>
        <w:autoSpaceDE/>
        <w:autoSpaceDN/>
        <w:bidi w:val="0"/>
        <w:adjustRightInd/>
        <w:snapToGrid/>
        <w:spacing w:line="540" w:lineRule="exact"/>
        <w:ind w:firstLine="640"/>
        <w:textAlignment w:val="auto"/>
        <w:outlineLvl w:val="9"/>
        <w:rPr>
          <w:rStyle w:val="19"/>
          <w:rFonts w:ascii="黑体" w:hAnsi="黑体" w:eastAsia="黑体"/>
          <w:b w:val="0"/>
          <w:color w:val="auto"/>
          <w:spacing w:val="-4"/>
          <w:sz w:val="32"/>
          <w:szCs w:val="32"/>
        </w:rPr>
      </w:pPr>
      <w:r>
        <w:rPr>
          <w:rStyle w:val="19"/>
          <w:rFonts w:hint="eastAsia" w:ascii="黑体" w:hAnsi="黑体" w:eastAsia="黑体"/>
          <w:b w:val="0"/>
          <w:color w:val="auto"/>
          <w:spacing w:val="-4"/>
          <w:sz w:val="32"/>
          <w:szCs w:val="32"/>
        </w:rPr>
        <w:t>六、项目评价工作情况</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624" w:firstLineChars="200"/>
        <w:jc w:val="both"/>
        <w:textAlignment w:val="auto"/>
        <w:outlineLvl w:val="9"/>
        <w:rPr>
          <w:rStyle w:val="19"/>
          <w:rFonts w:hint="eastAsia" w:ascii="仿宋" w:hAnsi="仿宋" w:eastAsia="仿宋"/>
          <w:b w:val="0"/>
          <w:spacing w:val="-4"/>
          <w:kern w:val="2"/>
          <w:sz w:val="32"/>
          <w:szCs w:val="32"/>
          <w:lang w:val="en-US" w:eastAsia="zh-CN" w:bidi="ar-SA"/>
        </w:rPr>
      </w:pPr>
      <w:r>
        <w:rPr>
          <w:rStyle w:val="19"/>
          <w:rFonts w:hint="eastAsia" w:ascii="仿宋" w:hAnsi="仿宋" w:eastAsia="仿宋"/>
          <w:b w:val="0"/>
          <w:spacing w:val="-4"/>
          <w:kern w:val="2"/>
          <w:sz w:val="32"/>
          <w:szCs w:val="32"/>
          <w:lang w:val="en-US" w:eastAsia="zh-CN" w:bidi="ar-SA"/>
        </w:rPr>
        <w:t>1.社会效益：广播电视发射系统的运行维护，大大提升了广播电视的文化服务能力，对于宣传党和国家的方针政策，传播先进文化，普及科学知识，提高各族群众的思想道德和科学文化素质，促进经济社会协调发展，具有十分重要的作用。</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624" w:firstLineChars="200"/>
        <w:jc w:val="both"/>
        <w:textAlignment w:val="auto"/>
        <w:outlineLvl w:val="9"/>
        <w:rPr>
          <w:rStyle w:val="19"/>
          <w:rFonts w:hint="eastAsia" w:ascii="仿宋" w:hAnsi="仿宋" w:eastAsia="仿宋"/>
          <w:b w:val="0"/>
          <w:spacing w:val="-4"/>
          <w:kern w:val="2"/>
          <w:sz w:val="32"/>
          <w:szCs w:val="32"/>
          <w:lang w:val="en-US" w:eastAsia="zh-CN" w:bidi="ar-SA"/>
        </w:rPr>
      </w:pPr>
      <w:r>
        <w:rPr>
          <w:rStyle w:val="19"/>
          <w:rFonts w:hint="eastAsia" w:ascii="仿宋" w:hAnsi="仿宋" w:eastAsia="仿宋"/>
          <w:b w:val="0"/>
          <w:spacing w:val="-4"/>
          <w:kern w:val="2"/>
          <w:sz w:val="32"/>
          <w:szCs w:val="32"/>
          <w:lang w:val="en-US" w:eastAsia="zh-CN" w:bidi="ar-SA"/>
        </w:rPr>
        <w:t>2.群众满意程度情况分析：广播电视发射系统的运行维护在广播电视安全播出方面将得到很大的提升，也使县委、县人民政府的声音安全高效的传递到各族老百姓中去，使各族群众收听收看到高质量的电视节目。</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624" w:firstLineChars="200"/>
        <w:jc w:val="both"/>
        <w:textAlignment w:val="auto"/>
        <w:outlineLvl w:val="9"/>
        <w:rPr>
          <w:rStyle w:val="19"/>
          <w:rFonts w:hint="eastAsia" w:ascii="仿宋" w:hAnsi="仿宋" w:eastAsia="仿宋"/>
          <w:b w:val="0"/>
          <w:spacing w:val="-4"/>
          <w:kern w:val="2"/>
          <w:sz w:val="32"/>
          <w:szCs w:val="32"/>
          <w:lang w:val="en-US" w:eastAsia="zh-CN" w:bidi="ar-SA"/>
        </w:rPr>
      </w:pPr>
      <w:r>
        <w:rPr>
          <w:rStyle w:val="19"/>
          <w:rFonts w:hint="eastAsia" w:ascii="仿宋" w:hAnsi="仿宋" w:eastAsia="仿宋"/>
          <w:b w:val="0"/>
          <w:spacing w:val="-4"/>
          <w:kern w:val="2"/>
          <w:sz w:val="32"/>
          <w:szCs w:val="32"/>
          <w:lang w:val="en-US" w:eastAsia="zh-CN" w:bidi="ar-SA"/>
        </w:rPr>
        <w:t>通过对2018年广播电视发射系统的运行维护项目的实施和社会群众走访调查，社会群体大部分认为这是一项惠及各族群众的民心工程，是提高我县调频广播的覆盖率，使我县各族群众收听到高质量的广播节目，发展壮大</w:t>
      </w:r>
      <w:bookmarkStart w:id="0" w:name="_GoBack"/>
      <w:bookmarkEnd w:id="0"/>
      <w:r>
        <w:rPr>
          <w:rStyle w:val="19"/>
          <w:rFonts w:hint="eastAsia" w:ascii="仿宋" w:hAnsi="仿宋" w:eastAsia="仿宋"/>
          <w:b w:val="0"/>
          <w:spacing w:val="-4"/>
          <w:kern w:val="2"/>
          <w:sz w:val="32"/>
          <w:szCs w:val="32"/>
          <w:lang w:val="en-US" w:eastAsia="zh-CN" w:bidi="ar-SA"/>
        </w:rPr>
        <w:t>我县广播电视产业的有效途径。是深受各族群众欢迎的民心工程，对于宣传党和国家的方针政策，传播先进文化，普及科学知识，提高农民群众的思想道德和科学文化素质，促进经济社会协调发展，具有十分重要的作用。</w:t>
      </w:r>
    </w:p>
    <w:p>
      <w:pPr>
        <w:keepNext w:val="0"/>
        <w:keepLines w:val="0"/>
        <w:pageBreakBefore w:val="0"/>
        <w:numPr>
          <w:ilvl w:val="0"/>
          <w:numId w:val="1"/>
        </w:numPr>
        <w:kinsoku/>
        <w:wordWrap/>
        <w:overflowPunct/>
        <w:topLinePunct w:val="0"/>
        <w:autoSpaceDE/>
        <w:autoSpaceDN/>
        <w:bidi w:val="0"/>
        <w:adjustRightInd/>
        <w:snapToGrid/>
        <w:spacing w:line="520" w:lineRule="exact"/>
        <w:ind w:firstLine="624" w:firstLineChars="200"/>
        <w:textAlignment w:val="auto"/>
        <w:rPr>
          <w:rStyle w:val="19"/>
          <w:rFonts w:hint="eastAsia" w:ascii="黑体" w:hAnsi="黑体" w:eastAsia="黑体"/>
          <w:b w:val="0"/>
          <w:color w:val="auto"/>
          <w:spacing w:val="-4"/>
          <w:sz w:val="32"/>
          <w:szCs w:val="32"/>
        </w:rPr>
      </w:pPr>
      <w:r>
        <w:rPr>
          <w:rStyle w:val="19"/>
          <w:rFonts w:hint="eastAsia" w:ascii="黑体" w:hAnsi="黑体" w:eastAsia="黑体"/>
          <w:b w:val="0"/>
          <w:color w:val="auto"/>
          <w:spacing w:val="-4"/>
          <w:sz w:val="32"/>
          <w:szCs w:val="32"/>
        </w:rPr>
        <w:t>附表</w:t>
      </w:r>
    </w:p>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624" w:firstLineChars="200"/>
        <w:jc w:val="both"/>
        <w:textAlignment w:val="auto"/>
        <w:outlineLvl w:val="9"/>
        <w:rPr>
          <w:rStyle w:val="19"/>
          <w:rFonts w:ascii="仿宋" w:hAnsi="仿宋" w:eastAsia="仿宋"/>
          <w:b w:val="0"/>
          <w:color w:val="auto"/>
          <w:spacing w:val="-4"/>
          <w:sz w:val="32"/>
          <w:szCs w:val="32"/>
        </w:rPr>
      </w:pPr>
      <w:r>
        <w:rPr>
          <w:rStyle w:val="19"/>
          <w:rFonts w:hint="eastAsia" w:ascii="仿宋" w:hAnsi="仿宋" w:eastAsia="仿宋" w:cs="宋体"/>
          <w:b w:val="0"/>
          <w:bCs w:val="0"/>
          <w:spacing w:val="-4"/>
          <w:kern w:val="2"/>
          <w:sz w:val="32"/>
          <w:szCs w:val="32"/>
          <w:lang w:val="en-US" w:eastAsia="zh-CN" w:bidi="ar-SA"/>
        </w:rPr>
        <w:t>《玛纳斯县财政项目支出绩效自评表》</w:t>
      </w:r>
    </w:p>
    <w:tbl>
      <w:tblPr>
        <w:tblStyle w:val="17"/>
        <w:tblW w:w="9020" w:type="dxa"/>
        <w:tblInd w:w="93" w:type="dxa"/>
        <w:tblLayout w:type="fixed"/>
        <w:tblCellMar>
          <w:top w:w="0" w:type="dxa"/>
          <w:left w:w="108" w:type="dxa"/>
          <w:bottom w:w="0" w:type="dxa"/>
          <w:right w:w="108" w:type="dxa"/>
        </w:tblCellMar>
      </w:tblPr>
      <w:tblGrid>
        <w:gridCol w:w="720"/>
        <w:gridCol w:w="212"/>
        <w:gridCol w:w="928"/>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8"/>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b/>
                <w:bCs/>
                <w:color w:val="auto"/>
                <w:kern w:val="0"/>
                <w:sz w:val="32"/>
                <w:szCs w:val="32"/>
              </w:rPr>
            </w:pPr>
            <w:r>
              <w:rPr>
                <w:rFonts w:hint="eastAsia" w:ascii="宋体" w:hAnsi="宋体" w:cs="宋体"/>
                <w:b/>
                <w:bCs/>
                <w:color w:val="auto"/>
                <w:kern w:val="0"/>
                <w:sz w:val="32"/>
                <w:szCs w:val="32"/>
                <w:lang w:eastAsia="zh-CN"/>
              </w:rPr>
              <w:t>玛纳斯县</w:t>
            </w:r>
            <w:r>
              <w:rPr>
                <w:rFonts w:hint="eastAsia" w:ascii="宋体" w:hAnsi="宋体" w:cs="宋体"/>
                <w:b/>
                <w:bCs/>
                <w:color w:val="auto"/>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8"/>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4"/>
              </w:rPr>
            </w:pPr>
            <w:r>
              <w:rPr>
                <w:rFonts w:hint="eastAsia" w:ascii="宋体" w:hAnsi="宋体" w:cs="宋体"/>
                <w:color w:val="auto"/>
                <w:kern w:val="0"/>
                <w:sz w:val="24"/>
              </w:rPr>
              <w:t>（</w:t>
            </w:r>
            <w:r>
              <w:rPr>
                <w:rFonts w:hint="eastAsia"/>
                <w:color w:val="auto"/>
                <w:kern w:val="0"/>
                <w:sz w:val="24"/>
                <w:lang w:val="en-US" w:eastAsia="zh-CN"/>
              </w:rPr>
              <w:t>2018</w:t>
            </w:r>
            <w:r>
              <w:rPr>
                <w:rFonts w:hint="eastAsia" w:ascii="宋体" w:hAnsi="宋体" w:cs="宋体"/>
                <w:color w:val="auto"/>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4"/>
              </w:rPr>
            </w:pPr>
          </w:p>
        </w:tc>
        <w:tc>
          <w:tcPr>
            <w:tcW w:w="1140" w:type="dxa"/>
            <w:gridSpan w:val="2"/>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4"/>
              </w:rPr>
            </w:pPr>
          </w:p>
        </w:tc>
        <w:tc>
          <w:tcPr>
            <w:tcW w:w="1360" w:type="dxa"/>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4"/>
              </w:rPr>
            </w:pPr>
          </w:p>
        </w:tc>
        <w:tc>
          <w:tcPr>
            <w:tcW w:w="1080" w:type="dxa"/>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4"/>
              </w:rPr>
            </w:pPr>
          </w:p>
        </w:tc>
        <w:tc>
          <w:tcPr>
            <w:tcW w:w="880" w:type="dxa"/>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4"/>
              </w:rPr>
            </w:pPr>
          </w:p>
        </w:tc>
        <w:tc>
          <w:tcPr>
            <w:tcW w:w="2060" w:type="dxa"/>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4"/>
              </w:rPr>
            </w:pPr>
          </w:p>
        </w:tc>
        <w:tc>
          <w:tcPr>
            <w:tcW w:w="1780" w:type="dxa"/>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hAnsi="宋体" w:eastAsia="仿宋_GB2312" w:cs="宋体"/>
                <w:kern w:val="0"/>
                <w:sz w:val="28"/>
                <w:szCs w:val="28"/>
              </w:rPr>
              <w:t>201</w:t>
            </w:r>
            <w:r>
              <w:rPr>
                <w:rFonts w:hint="eastAsia" w:hAnsi="宋体" w:eastAsia="仿宋_GB2312" w:cs="宋体"/>
                <w:kern w:val="0"/>
                <w:sz w:val="28"/>
                <w:szCs w:val="28"/>
                <w:lang w:val="en-US" w:eastAsia="zh-CN"/>
              </w:rPr>
              <w:t>8</w:t>
            </w:r>
            <w:r>
              <w:rPr>
                <w:rFonts w:hint="eastAsia" w:hAnsi="宋体" w:eastAsia="仿宋_GB2312" w:cs="宋体"/>
                <w:kern w:val="0"/>
                <w:sz w:val="28"/>
                <w:szCs w:val="28"/>
              </w:rPr>
              <w:t>年广播电视节目无线覆盖运行维护</w:t>
            </w: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35" w:hRule="atLeast"/>
        </w:trPr>
        <w:tc>
          <w:tcPr>
            <w:tcW w:w="322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lang w:eastAsia="zh-CN"/>
              </w:rPr>
              <w:t>玛纳斯县广播电视台</w:t>
            </w: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65" w:hRule="atLeast"/>
        </w:trPr>
        <w:tc>
          <w:tcPr>
            <w:tcW w:w="932" w:type="dxa"/>
            <w:gridSpan w:val="2"/>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预算</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执行</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情况</w:t>
            </w:r>
            <w:r>
              <w:rPr>
                <w:rFonts w:hint="eastAsia" w:ascii="宋体" w:hAnsi="宋体" w:cs="宋体"/>
                <w:color w:val="auto"/>
                <w:kern w:val="0"/>
                <w:sz w:val="20"/>
                <w:szCs w:val="20"/>
              </w:rPr>
              <w:br w:type="textWrapping"/>
            </w:r>
            <w:r>
              <w:rPr>
                <w:rFonts w:hint="eastAsia" w:ascii="宋体" w:hAnsi="宋体" w:cs="宋体"/>
                <w:color w:val="auto"/>
                <w:kern w:val="0"/>
                <w:sz w:val="20"/>
                <w:szCs w:val="20"/>
              </w:rPr>
              <w:t>（万元）</w:t>
            </w:r>
          </w:p>
        </w:tc>
        <w:tc>
          <w:tcPr>
            <w:tcW w:w="228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198.03</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right"/>
              <w:textAlignment w:val="auto"/>
              <w:rPr>
                <w:rFonts w:ascii="宋体" w:hAnsi="宋体" w:cs="宋体"/>
                <w:color w:val="auto"/>
                <w:kern w:val="0"/>
                <w:sz w:val="20"/>
                <w:szCs w:val="20"/>
              </w:rPr>
            </w:pPr>
            <w:r>
              <w:rPr>
                <w:rFonts w:hint="eastAsia" w:ascii="宋体" w:hAnsi="宋体" w:cs="宋体"/>
                <w:color w:val="auto"/>
                <w:kern w:val="0"/>
                <w:sz w:val="20"/>
                <w:szCs w:val="20"/>
                <w:lang w:val="en-US" w:eastAsia="zh-CN"/>
              </w:rPr>
              <w:t>198.03</w:t>
            </w:r>
          </w:p>
        </w:tc>
      </w:tr>
      <w:tr>
        <w:tblPrEx>
          <w:tblLayout w:type="fixed"/>
          <w:tblCellMar>
            <w:top w:w="0" w:type="dxa"/>
            <w:left w:w="108" w:type="dxa"/>
            <w:bottom w:w="0" w:type="dxa"/>
            <w:right w:w="108" w:type="dxa"/>
          </w:tblCellMar>
        </w:tblPrEx>
        <w:trPr>
          <w:trHeight w:val="509" w:hRule="atLeast"/>
        </w:trPr>
        <w:tc>
          <w:tcPr>
            <w:tcW w:w="932" w:type="dxa"/>
            <w:gridSpan w:val="2"/>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228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right"/>
              <w:textAlignment w:val="auto"/>
              <w:rPr>
                <w:rFonts w:ascii="宋体" w:hAnsi="宋体" w:cs="宋体"/>
                <w:color w:val="auto"/>
                <w:kern w:val="0"/>
                <w:sz w:val="20"/>
                <w:szCs w:val="20"/>
              </w:rPr>
            </w:pPr>
            <w:r>
              <w:rPr>
                <w:rFonts w:hint="eastAsia" w:ascii="宋体" w:hAnsi="宋体" w:cs="宋体"/>
                <w:color w:val="auto"/>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198.03</w:t>
            </w:r>
          </w:p>
        </w:tc>
        <w:tc>
          <w:tcPr>
            <w:tcW w:w="2060" w:type="dxa"/>
            <w:tcBorders>
              <w:top w:val="nil"/>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right"/>
              <w:textAlignment w:val="auto"/>
              <w:rPr>
                <w:rFonts w:ascii="宋体" w:hAnsi="宋体" w:cs="宋体"/>
                <w:color w:val="auto"/>
                <w:kern w:val="0"/>
                <w:sz w:val="20"/>
                <w:szCs w:val="20"/>
              </w:rPr>
            </w:pPr>
            <w:r>
              <w:rPr>
                <w:rFonts w:hint="eastAsia" w:ascii="宋体" w:hAnsi="宋体" w:cs="宋体"/>
                <w:color w:val="auto"/>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right"/>
              <w:textAlignment w:val="auto"/>
              <w:rPr>
                <w:rFonts w:ascii="宋体" w:hAnsi="宋体" w:cs="宋体"/>
                <w:color w:val="auto"/>
                <w:kern w:val="0"/>
                <w:sz w:val="20"/>
                <w:szCs w:val="20"/>
              </w:rPr>
            </w:pPr>
            <w:r>
              <w:rPr>
                <w:rFonts w:hint="eastAsia" w:ascii="宋体" w:hAnsi="宋体" w:cs="宋体"/>
                <w:color w:val="auto"/>
                <w:kern w:val="0"/>
                <w:sz w:val="20"/>
                <w:szCs w:val="20"/>
                <w:lang w:val="en-US" w:eastAsia="zh-CN"/>
              </w:rPr>
              <w:t>198.03</w:t>
            </w:r>
          </w:p>
        </w:tc>
      </w:tr>
      <w:tr>
        <w:tblPrEx>
          <w:tblLayout w:type="fixed"/>
          <w:tblCellMar>
            <w:top w:w="0" w:type="dxa"/>
            <w:left w:w="108" w:type="dxa"/>
            <w:bottom w:w="0" w:type="dxa"/>
            <w:right w:w="108" w:type="dxa"/>
          </w:tblCellMar>
        </w:tblPrEx>
        <w:trPr>
          <w:trHeight w:val="433" w:hRule="atLeast"/>
        </w:trPr>
        <w:tc>
          <w:tcPr>
            <w:tcW w:w="932" w:type="dxa"/>
            <w:gridSpan w:val="2"/>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228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right"/>
              <w:textAlignment w:val="auto"/>
              <w:rPr>
                <w:rFonts w:ascii="宋体" w:hAnsi="宋体" w:cs="宋体"/>
                <w:color w:val="auto"/>
                <w:kern w:val="0"/>
                <w:sz w:val="20"/>
                <w:szCs w:val="20"/>
              </w:rPr>
            </w:pPr>
            <w:r>
              <w:rPr>
                <w:rFonts w:hint="eastAsia" w:ascii="宋体" w:hAnsi="宋体" w:cs="宋体"/>
                <w:color w:val="auto"/>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　</w:t>
            </w:r>
            <w:r>
              <w:rPr>
                <w:rFonts w:hint="eastAsia" w:ascii="宋体" w:hAnsi="宋体" w:cs="宋体"/>
                <w:color w:val="auto"/>
                <w:kern w:val="0"/>
                <w:sz w:val="20"/>
                <w:szCs w:val="20"/>
                <w:lang w:val="en-US" w:eastAsia="zh-CN"/>
              </w:rPr>
              <w:t>0</w:t>
            </w:r>
          </w:p>
        </w:tc>
        <w:tc>
          <w:tcPr>
            <w:tcW w:w="2060"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right"/>
              <w:textAlignment w:val="auto"/>
              <w:rPr>
                <w:rFonts w:ascii="宋体" w:hAnsi="宋体" w:cs="宋体"/>
                <w:color w:val="auto"/>
                <w:kern w:val="0"/>
                <w:sz w:val="20"/>
                <w:szCs w:val="20"/>
              </w:rPr>
            </w:pPr>
            <w:r>
              <w:rPr>
                <w:rFonts w:hint="eastAsia" w:ascii="宋体" w:hAnsi="宋体" w:cs="宋体"/>
                <w:color w:val="auto"/>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right"/>
              <w:textAlignment w:val="auto"/>
              <w:rPr>
                <w:rFonts w:ascii="宋体" w:hAnsi="宋体" w:cs="宋体"/>
                <w:color w:val="auto"/>
                <w:kern w:val="0"/>
                <w:sz w:val="20"/>
                <w:szCs w:val="20"/>
              </w:rPr>
            </w:pPr>
            <w:r>
              <w:rPr>
                <w:rFonts w:hint="eastAsia" w:ascii="宋体" w:hAnsi="宋体" w:cs="宋体"/>
                <w:color w:val="auto"/>
                <w:kern w:val="0"/>
                <w:sz w:val="20"/>
                <w:szCs w:val="20"/>
                <w:lang w:val="en-US" w:eastAsia="zh-CN"/>
              </w:rPr>
              <w:t>0</w:t>
            </w: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932" w:type="dxa"/>
            <w:gridSpan w:val="2"/>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年度</w:t>
            </w:r>
            <w:r>
              <w:rPr>
                <w:rFonts w:hint="eastAsia" w:ascii="宋体" w:hAnsi="宋体" w:cs="宋体"/>
                <w:color w:val="auto"/>
                <w:kern w:val="0"/>
                <w:sz w:val="20"/>
                <w:szCs w:val="20"/>
              </w:rPr>
              <w:br w:type="textWrapping"/>
            </w:r>
            <w:r>
              <w:rPr>
                <w:rFonts w:hint="eastAsia" w:ascii="宋体" w:hAnsi="宋体" w:cs="宋体"/>
                <w:color w:val="auto"/>
                <w:kern w:val="0"/>
                <w:sz w:val="20"/>
                <w:szCs w:val="20"/>
              </w:rPr>
              <w:t>目标</w:t>
            </w:r>
            <w:r>
              <w:rPr>
                <w:rFonts w:hint="eastAsia" w:ascii="宋体" w:hAnsi="宋体" w:cs="宋体"/>
                <w:color w:val="auto"/>
                <w:kern w:val="0"/>
                <w:sz w:val="20"/>
                <w:szCs w:val="20"/>
              </w:rPr>
              <w:br w:type="textWrapping"/>
            </w:r>
            <w:r>
              <w:rPr>
                <w:rFonts w:hint="eastAsia" w:ascii="宋体" w:hAnsi="宋体" w:cs="宋体"/>
                <w:color w:val="auto"/>
                <w:kern w:val="0"/>
                <w:sz w:val="20"/>
                <w:szCs w:val="20"/>
              </w:rPr>
              <w:t>完成</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情况</w:t>
            </w:r>
          </w:p>
        </w:tc>
        <w:tc>
          <w:tcPr>
            <w:tcW w:w="4248"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932" w:type="dxa"/>
            <w:gridSpan w:val="2"/>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4248" w:type="dxa"/>
            <w:gridSpan w:val="4"/>
            <w:tcBorders>
              <w:top w:val="single" w:color="auto" w:sz="4" w:space="0"/>
              <w:left w:val="nil"/>
              <w:bottom w:val="single" w:color="auto" w:sz="4" w:space="0"/>
              <w:right w:val="single" w:color="000000" w:sz="4" w:space="0"/>
            </w:tcBorders>
            <w:shd w:val="clear" w:color="auto" w:fill="auto"/>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cs="宋体"/>
                <w:color w:val="auto"/>
                <w:kern w:val="0"/>
                <w:sz w:val="20"/>
                <w:szCs w:val="20"/>
              </w:rPr>
            </w:pPr>
            <w:r>
              <w:rPr>
                <w:rFonts w:hint="eastAsia" w:ascii="宋体" w:hAnsi="宋体" w:cs="宋体"/>
                <w:color w:val="auto"/>
                <w:kern w:val="0"/>
                <w:sz w:val="20"/>
                <w:szCs w:val="20"/>
              </w:rPr>
              <w:t>　目标1：2018年-2020年实现广播电视安全播出，确保达到满功率、满时间、满调制度发射。 目标2：三年内广播电视覆盖整个县域及各乡镇场，全面提升广大用户的收视收听品质。</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xml:space="preserve"> </w:t>
            </w:r>
          </w:p>
        </w:tc>
        <w:tc>
          <w:tcPr>
            <w:tcW w:w="3840" w:type="dxa"/>
            <w:gridSpan w:val="2"/>
            <w:tcBorders>
              <w:top w:val="single" w:color="auto" w:sz="4" w:space="0"/>
              <w:left w:val="nil"/>
              <w:bottom w:val="single" w:color="auto" w:sz="4" w:space="0"/>
              <w:right w:val="single" w:color="000000" w:sz="4" w:space="0"/>
            </w:tcBorders>
            <w:shd w:val="clear" w:color="auto" w:fill="auto"/>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cs="宋体"/>
                <w:color w:val="auto"/>
                <w:kern w:val="0"/>
                <w:sz w:val="20"/>
                <w:szCs w:val="20"/>
              </w:rPr>
            </w:pPr>
            <w:r>
              <w:rPr>
                <w:rFonts w:hint="eastAsia" w:ascii="宋体" w:hAnsi="宋体" w:cs="宋体"/>
                <w:color w:val="auto"/>
                <w:kern w:val="0"/>
                <w:sz w:val="20"/>
                <w:szCs w:val="20"/>
              </w:rPr>
              <w:t>目标1：2018年-2020年实现广播电视安全播出，确保达到满功率、满时间、满调制度发射。 目标2：三年内广播电视覆盖整个县域及各乡镇场，全面提升广大用户的收视收听品质。</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xml:space="preserve"> </w:t>
            </w:r>
          </w:p>
        </w:tc>
      </w:tr>
      <w:tr>
        <w:tblPrEx>
          <w:tblLayout w:type="fixed"/>
          <w:tblCellMar>
            <w:top w:w="0" w:type="dxa"/>
            <w:left w:w="108" w:type="dxa"/>
            <w:bottom w:w="0" w:type="dxa"/>
            <w:right w:w="108" w:type="dxa"/>
          </w:tblCellMar>
        </w:tblPrEx>
        <w:trPr>
          <w:trHeight w:val="720" w:hRule="atLeast"/>
        </w:trPr>
        <w:tc>
          <w:tcPr>
            <w:tcW w:w="93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年度</w:t>
            </w:r>
            <w:r>
              <w:rPr>
                <w:rFonts w:hint="eastAsia" w:ascii="宋体" w:hAnsi="宋体" w:cs="宋体"/>
                <w:color w:val="auto"/>
                <w:kern w:val="0"/>
                <w:sz w:val="20"/>
                <w:szCs w:val="20"/>
              </w:rPr>
              <w:br w:type="textWrapping"/>
            </w:r>
            <w:r>
              <w:rPr>
                <w:rFonts w:hint="eastAsia" w:ascii="宋体" w:hAnsi="宋体" w:cs="宋体"/>
                <w:color w:val="auto"/>
                <w:kern w:val="0"/>
                <w:sz w:val="20"/>
                <w:szCs w:val="20"/>
              </w:rPr>
              <w:t>绩效</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指标</w:t>
            </w:r>
            <w:r>
              <w:rPr>
                <w:rFonts w:hint="eastAsia" w:ascii="宋体" w:hAnsi="宋体" w:cs="宋体"/>
                <w:color w:val="auto"/>
                <w:kern w:val="0"/>
                <w:sz w:val="20"/>
                <w:szCs w:val="20"/>
              </w:rPr>
              <w:br w:type="textWrapping"/>
            </w:r>
            <w:r>
              <w:rPr>
                <w:rFonts w:hint="eastAsia" w:ascii="宋体" w:hAnsi="宋体" w:cs="宋体"/>
                <w:color w:val="auto"/>
                <w:kern w:val="0"/>
                <w:sz w:val="20"/>
                <w:szCs w:val="20"/>
              </w:rPr>
              <w:t>完成</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情况</w:t>
            </w:r>
          </w:p>
        </w:tc>
        <w:tc>
          <w:tcPr>
            <w:tcW w:w="928" w:type="dxa"/>
            <w:tcBorders>
              <w:top w:val="nil"/>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 xml:space="preserve"> 指标1：维护模拟发射机数量</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 xml:space="preserve">  </w:t>
            </w:r>
            <w:r>
              <w:rPr>
                <w:rFonts w:hint="eastAsia" w:ascii="宋体" w:hAnsi="宋体" w:cs="宋体"/>
                <w:i w:val="0"/>
                <w:color w:val="000000"/>
                <w:kern w:val="0"/>
                <w:sz w:val="20"/>
                <w:szCs w:val="20"/>
                <w:u w:val="none"/>
                <w:lang w:val="en-US" w:eastAsia="zh-CN" w:bidi="ar"/>
              </w:rPr>
              <w:t>5</w:t>
            </w:r>
            <w:r>
              <w:rPr>
                <w:rFonts w:hint="eastAsia" w:ascii="宋体" w:hAnsi="宋体" w:eastAsia="宋体" w:cs="宋体"/>
                <w:i w:val="0"/>
                <w:color w:val="000000"/>
                <w:kern w:val="0"/>
                <w:sz w:val="20"/>
                <w:szCs w:val="20"/>
                <w:u w:val="none"/>
                <w:lang w:val="en-US" w:eastAsia="zh-CN" w:bidi="ar"/>
              </w:rPr>
              <w:t>台</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 xml:space="preserve"> </w:t>
            </w:r>
            <w:r>
              <w:rPr>
                <w:rFonts w:hint="eastAsia" w:ascii="宋体" w:hAnsi="宋体" w:cs="宋体"/>
                <w:i w:val="0"/>
                <w:color w:val="000000"/>
                <w:kern w:val="0"/>
                <w:sz w:val="20"/>
                <w:szCs w:val="20"/>
                <w:u w:val="none"/>
                <w:lang w:val="en-US" w:eastAsia="zh-CN" w:bidi="ar"/>
              </w:rPr>
              <w:t>5</w:t>
            </w:r>
            <w:r>
              <w:rPr>
                <w:rFonts w:hint="eastAsia" w:ascii="宋体" w:hAnsi="宋体" w:eastAsia="宋体" w:cs="宋体"/>
                <w:i w:val="0"/>
                <w:color w:val="000000"/>
                <w:kern w:val="0"/>
                <w:sz w:val="20"/>
                <w:szCs w:val="20"/>
                <w:u w:val="none"/>
                <w:lang w:val="en-US" w:eastAsia="zh-CN" w:bidi="ar"/>
              </w:rPr>
              <w:t>台</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 xml:space="preserve"> 指标2：维护数字发射机数量</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 xml:space="preserve">  </w:t>
            </w:r>
            <w:r>
              <w:rPr>
                <w:rFonts w:hint="eastAsia" w:ascii="宋体" w:hAnsi="宋体" w:cs="宋体"/>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台</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 xml:space="preserve">  </w:t>
            </w:r>
            <w:r>
              <w:rPr>
                <w:rFonts w:hint="eastAsia" w:ascii="宋体" w:hAnsi="宋体" w:cs="宋体"/>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台</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 xml:space="preserve"> 指标1：广播电视实现三满运行</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100%</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100%</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 xml:space="preserve"> 指标2：发射机设备使用率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cs="宋体"/>
                <w:i w:val="0"/>
                <w:color w:val="000000"/>
                <w:kern w:val="0"/>
                <w:sz w:val="20"/>
                <w:szCs w:val="20"/>
                <w:u w:val="none"/>
                <w:lang w:val="en-US" w:eastAsia="zh-CN" w:bidi="ar"/>
              </w:rPr>
              <w:t>100</w:t>
            </w:r>
            <w:r>
              <w:rPr>
                <w:rFonts w:hint="eastAsia" w:ascii="宋体" w:hAnsi="宋体" w:eastAsia="宋体" w:cs="宋体"/>
                <w:i w:val="0"/>
                <w:color w:val="000000"/>
                <w:kern w:val="0"/>
                <w:sz w:val="20"/>
                <w:szCs w:val="20"/>
                <w:u w:val="none"/>
                <w:lang w:val="en-US" w:eastAsia="zh-CN" w:bidi="ar"/>
              </w:rPr>
              <w:t>%</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95%</w:t>
            </w:r>
          </w:p>
        </w:tc>
      </w:tr>
      <w:tr>
        <w:tblPrEx>
          <w:tblLayout w:type="fixed"/>
          <w:tblCellMar>
            <w:top w:w="0" w:type="dxa"/>
            <w:left w:w="108" w:type="dxa"/>
            <w:bottom w:w="0" w:type="dxa"/>
            <w:right w:w="108" w:type="dxa"/>
          </w:tblCellMar>
        </w:tblPrEx>
        <w:trPr>
          <w:trHeight w:val="480" w:hRule="atLeast"/>
        </w:trPr>
        <w:tc>
          <w:tcPr>
            <w:tcW w:w="932" w:type="dxa"/>
            <w:gridSpan w:val="2"/>
            <w:tcBorders>
              <w:top w:val="nil"/>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 xml:space="preserve"> 指标3：维护模拟发射机设备验收合格率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cs="宋体"/>
                <w:i w:val="0"/>
                <w:color w:val="000000"/>
                <w:kern w:val="0"/>
                <w:sz w:val="20"/>
                <w:szCs w:val="20"/>
                <w:u w:val="none"/>
                <w:lang w:val="en-US" w:eastAsia="zh-CN" w:bidi="ar"/>
              </w:rPr>
              <w:t>100</w:t>
            </w:r>
            <w:r>
              <w:rPr>
                <w:rFonts w:hint="eastAsia" w:ascii="宋体" w:hAnsi="宋体" w:eastAsia="宋体" w:cs="宋体"/>
                <w:i w:val="0"/>
                <w:color w:val="000000"/>
                <w:kern w:val="0"/>
                <w:sz w:val="20"/>
                <w:szCs w:val="20"/>
                <w:u w:val="none"/>
                <w:lang w:val="en-US" w:eastAsia="zh-CN" w:bidi="ar"/>
              </w:rPr>
              <w:t>%</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95%</w:t>
            </w:r>
          </w:p>
        </w:tc>
      </w:tr>
      <w:tr>
        <w:tblPrEx>
          <w:tblLayout w:type="fixed"/>
          <w:tblCellMar>
            <w:top w:w="0" w:type="dxa"/>
            <w:left w:w="108" w:type="dxa"/>
            <w:bottom w:w="0" w:type="dxa"/>
            <w:right w:w="108" w:type="dxa"/>
          </w:tblCellMar>
        </w:tblPrEx>
        <w:trPr>
          <w:trHeight w:val="480" w:hRule="atLeast"/>
        </w:trPr>
        <w:tc>
          <w:tcPr>
            <w:tcW w:w="932" w:type="dxa"/>
            <w:gridSpan w:val="2"/>
            <w:vMerge w:val="restart"/>
            <w:tcBorders>
              <w:top w:val="nil"/>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指标1：电视每天达到17小时播出</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仿宋" w:hAnsi="仿宋" w:eastAsia="仿宋" w:cs="仿宋"/>
                <w:i w:val="0"/>
                <w:color w:val="000000"/>
                <w:kern w:val="0"/>
                <w:sz w:val="20"/>
                <w:szCs w:val="20"/>
                <w:u w:val="none"/>
                <w:lang w:val="en-US" w:eastAsia="zh-CN" w:bidi="ar"/>
              </w:rPr>
              <w:t>≧17小时</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仿宋" w:hAnsi="仿宋" w:eastAsia="仿宋" w:cs="仿宋"/>
                <w:i w:val="0"/>
                <w:color w:val="000000"/>
                <w:kern w:val="0"/>
                <w:sz w:val="20"/>
                <w:szCs w:val="20"/>
                <w:u w:val="none"/>
                <w:lang w:val="en-US" w:eastAsia="zh-CN" w:bidi="ar"/>
              </w:rPr>
              <w:t>≧17小时</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指标2：开展时间</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2018年1月</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2018年1月</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指标3：结束时间</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2018年12月</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2018年12月</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指标1：降低电费、维护费、附属设备及相关监控设备运行维护费</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80%</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80%</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指标2：项目投入资金</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cs="宋体"/>
                <w:color w:val="auto"/>
                <w:kern w:val="0"/>
                <w:sz w:val="20"/>
                <w:szCs w:val="20"/>
                <w:lang w:val="en-US" w:eastAsia="zh-CN"/>
              </w:rPr>
              <w:t>198.03</w:t>
            </w:r>
            <w:r>
              <w:rPr>
                <w:rFonts w:hint="eastAsia" w:ascii="仿宋" w:hAnsi="仿宋" w:eastAsia="仿宋" w:cs="仿宋"/>
                <w:i w:val="0"/>
                <w:color w:val="000000"/>
                <w:kern w:val="0"/>
                <w:sz w:val="20"/>
                <w:szCs w:val="20"/>
                <w:u w:val="none"/>
                <w:lang w:val="en-US" w:eastAsia="zh-CN" w:bidi="ar"/>
              </w:rPr>
              <w:t>万元</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cs="宋体"/>
                <w:color w:val="auto"/>
                <w:kern w:val="0"/>
                <w:sz w:val="20"/>
                <w:szCs w:val="20"/>
                <w:lang w:val="en-US" w:eastAsia="zh-CN"/>
              </w:rPr>
              <w:t>198.03</w:t>
            </w:r>
            <w:r>
              <w:rPr>
                <w:rFonts w:hint="eastAsia" w:ascii="仿宋" w:hAnsi="仿宋" w:eastAsia="仿宋" w:cs="仿宋"/>
                <w:i w:val="0"/>
                <w:color w:val="000000"/>
                <w:kern w:val="0"/>
                <w:sz w:val="20"/>
                <w:szCs w:val="20"/>
                <w:u w:val="none"/>
                <w:lang w:val="en-US" w:eastAsia="zh-CN" w:bidi="ar"/>
              </w:rPr>
              <w:t>万元</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经济效益</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社会效益</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指标1：广播电视综合人口覆盖率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97%</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97%</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指标2：各族群众及时收听收看了解党的各项方针政策</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cs="宋体"/>
                <w:i w:val="0"/>
                <w:color w:val="000000"/>
                <w:kern w:val="0"/>
                <w:sz w:val="20"/>
                <w:szCs w:val="20"/>
                <w:u w:val="none"/>
                <w:lang w:val="en-US" w:eastAsia="zh-CN" w:bidi="ar"/>
              </w:rPr>
              <w:t>100</w:t>
            </w:r>
            <w:r>
              <w:rPr>
                <w:rFonts w:hint="eastAsia" w:ascii="宋体" w:hAnsi="宋体" w:eastAsia="宋体" w:cs="宋体"/>
                <w:i w:val="0"/>
                <w:color w:val="000000"/>
                <w:kern w:val="0"/>
                <w:sz w:val="20"/>
                <w:szCs w:val="20"/>
                <w:u w:val="none"/>
                <w:lang w:val="en-US" w:eastAsia="zh-CN" w:bidi="ar"/>
              </w:rPr>
              <w:t>%</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95%</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指标3：提高了广播电视节目无线覆盖播出质量</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cs="宋体"/>
                <w:i w:val="0"/>
                <w:color w:val="000000"/>
                <w:kern w:val="0"/>
                <w:sz w:val="20"/>
                <w:szCs w:val="20"/>
                <w:u w:val="none"/>
                <w:lang w:val="en-US" w:eastAsia="zh-CN" w:bidi="ar"/>
              </w:rPr>
              <w:t>100</w:t>
            </w:r>
            <w:r>
              <w:rPr>
                <w:rFonts w:hint="eastAsia" w:ascii="宋体" w:hAnsi="宋体" w:eastAsia="宋体" w:cs="宋体"/>
                <w:i w:val="0"/>
                <w:color w:val="000000"/>
                <w:kern w:val="0"/>
                <w:sz w:val="20"/>
                <w:szCs w:val="20"/>
                <w:u w:val="none"/>
                <w:lang w:val="en-US" w:eastAsia="zh-CN" w:bidi="ar"/>
              </w:rPr>
              <w:t>%</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95%</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生态效益</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可持续影响</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指标1：合理配置播发设备，提升覆盖效率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≧15年</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≧15年</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指标2：优化播出时效，保证不间断播出</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≧15年</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≧15年</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满意度</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指标1：县城群众收听收看广播电视满意度</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≧90%</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≧90%</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指标2：乡镇群众及建档立卡户收听收看广播电视满意度</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≧85%</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auto"/>
                <w:kern w:val="0"/>
                <w:sz w:val="20"/>
                <w:szCs w:val="20"/>
              </w:rPr>
            </w:pPr>
            <w:r>
              <w:rPr>
                <w:rFonts w:hint="eastAsia" w:ascii="宋体" w:hAnsi="宋体" w:eastAsia="宋体" w:cs="宋体"/>
                <w:i w:val="0"/>
                <w:color w:val="000000"/>
                <w:kern w:val="0"/>
                <w:sz w:val="20"/>
                <w:szCs w:val="20"/>
                <w:u w:val="none"/>
                <w:lang w:val="en-US" w:eastAsia="zh-CN" w:bidi="ar"/>
              </w:rPr>
              <w:t>≧85%</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928"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宋体" w:hAnsi="宋体" w:cs="宋体"/>
                <w:color w:val="auto"/>
                <w:kern w:val="0"/>
                <w:sz w:val="20"/>
                <w:szCs w:val="20"/>
              </w:rPr>
            </w:pPr>
            <w:r>
              <w:rPr>
                <w:rFonts w:hint="eastAsia" w:ascii="宋体" w:hAnsi="宋体" w:cs="宋体"/>
                <w:color w:val="auto"/>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color w:val="auto"/>
                <w:kern w:val="0"/>
                <w:sz w:val="20"/>
                <w:szCs w:val="20"/>
              </w:rPr>
            </w:pPr>
            <w:r>
              <w:rPr>
                <w:rFonts w:hint="eastAsia" w:ascii="宋体" w:hAnsi="宋体" w:cs="宋体"/>
                <w:color w:val="auto"/>
                <w:kern w:val="0"/>
                <w:sz w:val="20"/>
                <w:szCs w:val="20"/>
              </w:rPr>
              <w:t>　</w:t>
            </w:r>
          </w:p>
        </w:tc>
      </w:tr>
    </w:tbl>
    <w:p>
      <w:pPr>
        <w:keepNext w:val="0"/>
        <w:keepLines w:val="0"/>
        <w:pageBreakBefore w:val="0"/>
        <w:kinsoku/>
        <w:wordWrap/>
        <w:overflowPunct/>
        <w:topLinePunct w:val="0"/>
        <w:autoSpaceDE/>
        <w:autoSpaceDN/>
        <w:bidi w:val="0"/>
        <w:adjustRightInd/>
        <w:snapToGrid/>
        <w:spacing w:line="520" w:lineRule="exact"/>
        <w:ind w:firstLine="567"/>
        <w:textAlignment w:val="auto"/>
        <w:rPr>
          <w:rStyle w:val="19"/>
          <w:rFonts w:ascii="仿宋" w:hAnsi="仿宋" w:eastAsia="仿宋"/>
          <w:b w:val="0"/>
          <w:color w:val="auto"/>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125883"/>
    <w:multiLevelType w:val="singleLevel"/>
    <w:tmpl w:val="85125883"/>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21AE4"/>
    <w:rsid w:val="00146AAD"/>
    <w:rsid w:val="001B3A40"/>
    <w:rsid w:val="003C18BC"/>
    <w:rsid w:val="004366A8"/>
    <w:rsid w:val="00464900"/>
    <w:rsid w:val="004D7616"/>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44D3579"/>
    <w:rsid w:val="051D6C50"/>
    <w:rsid w:val="081B3942"/>
    <w:rsid w:val="097D08EC"/>
    <w:rsid w:val="14F366DD"/>
    <w:rsid w:val="19907FC3"/>
    <w:rsid w:val="1EEC39ED"/>
    <w:rsid w:val="203E0354"/>
    <w:rsid w:val="208C0991"/>
    <w:rsid w:val="20932197"/>
    <w:rsid w:val="214025D6"/>
    <w:rsid w:val="21552D15"/>
    <w:rsid w:val="27CA051B"/>
    <w:rsid w:val="28EE6E6E"/>
    <w:rsid w:val="2BB31C12"/>
    <w:rsid w:val="2E95697A"/>
    <w:rsid w:val="2EAC7C2A"/>
    <w:rsid w:val="30716EBC"/>
    <w:rsid w:val="357047E3"/>
    <w:rsid w:val="374A5F4F"/>
    <w:rsid w:val="39427115"/>
    <w:rsid w:val="3F2519C9"/>
    <w:rsid w:val="46377CCE"/>
    <w:rsid w:val="484F7CDC"/>
    <w:rsid w:val="48E65907"/>
    <w:rsid w:val="4A755EAC"/>
    <w:rsid w:val="4B7C0DCA"/>
    <w:rsid w:val="4B820522"/>
    <w:rsid w:val="4CD6213C"/>
    <w:rsid w:val="4EB85BD7"/>
    <w:rsid w:val="4F875668"/>
    <w:rsid w:val="51C275D6"/>
    <w:rsid w:val="53166203"/>
    <w:rsid w:val="53940F7F"/>
    <w:rsid w:val="546629A0"/>
    <w:rsid w:val="54F31741"/>
    <w:rsid w:val="553C40C4"/>
    <w:rsid w:val="55F27C06"/>
    <w:rsid w:val="55F87C2A"/>
    <w:rsid w:val="5B1C28B2"/>
    <w:rsid w:val="5C502557"/>
    <w:rsid w:val="5D0D096B"/>
    <w:rsid w:val="5D2D45F3"/>
    <w:rsid w:val="5E573EDE"/>
    <w:rsid w:val="5F313F5D"/>
    <w:rsid w:val="60373E07"/>
    <w:rsid w:val="62B76FE2"/>
    <w:rsid w:val="63C42FF6"/>
    <w:rsid w:val="64955954"/>
    <w:rsid w:val="67400615"/>
    <w:rsid w:val="67EB18A5"/>
    <w:rsid w:val="6BD132A2"/>
    <w:rsid w:val="6FBF6020"/>
    <w:rsid w:val="76B96269"/>
    <w:rsid w:val="77651C82"/>
    <w:rsid w:val="79277E3E"/>
    <w:rsid w:val="7A643A77"/>
    <w:rsid w:val="7ACF55EC"/>
    <w:rsid w:val="7D5D732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Intense Emphasis"/>
    <w:basedOn w:val="18"/>
    <w:qFormat/>
    <w:uiPriority w:val="21"/>
    <w:rPr>
      <w:b/>
      <w:i/>
      <w:sz w:val="24"/>
      <w:szCs w:val="24"/>
      <w:u w:val="single"/>
    </w:rPr>
  </w:style>
  <w:style w:type="character" w:customStyle="1" w:styleId="40">
    <w:name w:val="Subtle Reference"/>
    <w:basedOn w:val="18"/>
    <w:qFormat/>
    <w:uiPriority w:val="31"/>
    <w:rPr>
      <w:sz w:val="24"/>
      <w:szCs w:val="24"/>
      <w:u w:val="single"/>
    </w:rPr>
  </w:style>
  <w:style w:type="character" w:customStyle="1" w:styleId="41">
    <w:name w:val="Intense Reference"/>
    <w:basedOn w:val="18"/>
    <w:qFormat/>
    <w:uiPriority w:val="32"/>
    <w:rPr>
      <w:b/>
      <w:sz w:val="24"/>
      <w:u w:val="single"/>
    </w:rPr>
  </w:style>
  <w:style w:type="character" w:customStyle="1" w:styleId="42">
    <w:name w:val="Book Title"/>
    <w:basedOn w:val="18"/>
    <w:qFormat/>
    <w:uiPriority w:val="33"/>
    <w:rPr>
      <w:rFonts w:asciiTheme="majorHAnsi" w:hAnsiTheme="majorHAnsi" w:eastAsiaTheme="majorEastAsia"/>
      <w:b/>
      <w:i/>
      <w:sz w:val="24"/>
      <w:szCs w:val="24"/>
    </w:rPr>
  </w:style>
  <w:style w:type="paragraph" w:customStyle="1" w:styleId="43">
    <w:name w:val="TOC Heading"/>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13</TotalTime>
  <ScaleCrop>false</ScaleCrop>
  <LinksUpToDate>false</LinksUpToDate>
  <CharactersWithSpaces>1366</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2024-03-28T10:40:24Z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