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财政对城乡居民基本养老保险基金的补助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主管部门（公章）：玛纳斯县人力资源和社会保障局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9年2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月10</w:t>
      </w:r>
      <w:bookmarkStart w:id="1" w:name="_GoBack"/>
      <w:bookmarkEnd w:id="1"/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与精算、财务报表、基金预算决算的管理和使用等。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财政对城乡居民基本养老保险基金的补助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2018年</w:t>
      </w:r>
      <w:r>
        <w:rPr>
          <w:rFonts w:hint="eastAsia" w:ascii="仿宋" w:hAnsi="仿宋" w:eastAsia="仿宋" w:cs="仿宋"/>
          <w:kern w:val="0"/>
          <w:sz w:val="32"/>
          <w:szCs w:val="32"/>
        </w:rPr>
        <w:t>财政</w:t>
      </w:r>
      <w:r>
        <w:rPr>
          <w:rFonts w:hint="eastAsia" w:ascii="仿宋" w:hAnsi="仿宋" w:eastAsia="仿宋" w:cs="仿宋"/>
          <w:sz w:val="32"/>
          <w:szCs w:val="32"/>
        </w:rPr>
        <w:t>负责城乡居民基本养老保险县级配套资金补助。包括缴费补贴、缴费档次补贴、村干部补助、死亡丧葬费补助、特殊群体补助低保户残疾人补助业务共计</w:t>
      </w:r>
      <w:r>
        <w:rPr>
          <w:rFonts w:hint="eastAsia" w:ascii="仿宋" w:hAnsi="仿宋" w:eastAsia="仿宋" w:cs="仿宋"/>
          <w:kern w:val="0"/>
          <w:sz w:val="32"/>
          <w:szCs w:val="32"/>
        </w:rPr>
        <w:t>2538.24万元。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2018年财政</w:t>
      </w:r>
      <w:r>
        <w:rPr>
          <w:rFonts w:hint="eastAsia" w:ascii="仿宋" w:hAnsi="仿宋" w:eastAsia="仿宋" w:cs="仿宋"/>
          <w:sz w:val="32"/>
          <w:szCs w:val="32"/>
        </w:rPr>
        <w:t>对城乡居民基本养老保险县级配套资金补助。包括缴费补贴，缴费档次补贴，村干部补助，死亡丧葬费补助，特殊群体补助低保户残疾人补助业务，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已经全部落实到位。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为了加强项目资金管理、规范项目资金运作，提高资金使用效率，实行统一使用，集中管理，以收定支，收支两条线管理。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2018年财政</w:t>
      </w:r>
      <w:r>
        <w:rPr>
          <w:rFonts w:hint="eastAsia" w:ascii="仿宋" w:hAnsi="仿宋" w:eastAsia="仿宋" w:cs="仿宋"/>
          <w:sz w:val="32"/>
          <w:szCs w:val="32"/>
        </w:rPr>
        <w:t>对城乡居民基本养老保险县级配套资金补助。包括缴费补贴，缴费档次补贴，村干部补助，死亡丧葬费补助，特殊群体补助低保户残疾人补助业务，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已经全部落实到位。</w:t>
      </w: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属专项基金，专款专用。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2018年财政</w:t>
      </w:r>
      <w:r>
        <w:rPr>
          <w:rFonts w:hint="eastAsia" w:ascii="仿宋" w:hAnsi="仿宋" w:eastAsia="仿宋" w:cs="仿宋"/>
          <w:sz w:val="32"/>
          <w:szCs w:val="32"/>
        </w:rPr>
        <w:t>对城乡居民基本养老保险县级配套资金补助。包括缴费补贴，缴费档次补贴，村干部补助，死亡丧葬费补助，特殊群体补助低保户残疾人补助业务，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已经全部落实到位。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2018年财政</w:t>
      </w:r>
      <w:r>
        <w:rPr>
          <w:rFonts w:hint="eastAsia" w:ascii="仿宋" w:hAnsi="仿宋" w:eastAsia="仿宋" w:cs="仿宋"/>
          <w:sz w:val="32"/>
          <w:szCs w:val="32"/>
        </w:rPr>
        <w:t>对城乡居民基本养老保险县级配套资金补助。包括缴费补贴，缴费档次补贴，村干部补助，死亡丧葬费补助，特殊群体补助低保户残疾人补助业务，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已经全部落实到位。</w:t>
      </w:r>
    </w:p>
    <w:p>
      <w:pPr>
        <w:spacing w:line="540" w:lineRule="exact"/>
        <w:ind w:firstLine="567" w:firstLineChars="181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已完成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（一）后续工作计划无</w:t>
      </w:r>
    </w:p>
    <w:p>
      <w:pPr>
        <w:spacing w:line="540" w:lineRule="exact"/>
        <w:ind w:firstLine="567" w:firstLineChars="181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（二）主要经验及做法、存在问题和建议   无</w:t>
      </w:r>
    </w:p>
    <w:p>
      <w:pPr>
        <w:spacing w:line="540" w:lineRule="exact"/>
        <w:ind w:firstLine="564" w:firstLineChars="181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spacing w:line="540" w:lineRule="exact"/>
        <w:ind w:firstLine="567" w:firstLineChars="181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（三）其他无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1463" w:firstLineChars="46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96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36"/>
                <w:szCs w:val="36"/>
              </w:rPr>
            </w:pPr>
            <w:bookmarkStart w:id="0" w:name="_Hlk20317238"/>
            <w:r>
              <w:rPr>
                <w:rFonts w:hint="eastAsia" w:ascii="仿宋" w:hAnsi="仿宋" w:eastAsia="仿宋" w:cs="仿宋"/>
                <w:b/>
                <w:bCs/>
                <w:kern w:val="0"/>
                <w:sz w:val="36"/>
                <w:szCs w:val="36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（2018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Style w:val="19"/>
                <w:rFonts w:hint="eastAsia" w:ascii="仿宋" w:hAnsi="仿宋" w:eastAsia="仿宋" w:cs="仿宋"/>
                <w:b w:val="0"/>
                <w:bCs w:val="0"/>
                <w:spacing w:val="-4"/>
                <w:sz w:val="24"/>
              </w:rPr>
              <w:t>财政</w:t>
            </w:r>
            <w:r>
              <w:rPr>
                <w:rFonts w:hint="eastAsia" w:ascii="仿宋" w:hAnsi="仿宋" w:eastAsia="仿宋" w:cs="仿宋"/>
                <w:sz w:val="24"/>
              </w:rPr>
              <w:t>对城乡居民基本养老保险县级配套资金补助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执行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预算数：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2538.24万元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48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2538.24万元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2538.24万元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2538.24万元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5"/>
              <w:ind w:firstLine="480"/>
              <w:rPr>
                <w:rFonts w:ascii="仿宋" w:hAnsi="仿宋" w:eastAsia="仿宋" w:cs="仿宋"/>
                <w:color w:val="0F0F0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color w:val="0F0F0F"/>
                <w:sz w:val="24"/>
                <w:szCs w:val="24"/>
              </w:rPr>
              <w:t>十九大报告提出，加强社会保障体系建设，按照兜底线、织密网、建机制的要求，全面建成覆盖全民、城乡统筹、权责清晰、保障适度、可持续的多层次社会保障体系。推动城乡居民养老保险水平随经济的发展逐步提高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2018年12月，</w:t>
            </w:r>
            <w:r>
              <w:rPr>
                <w:rFonts w:hint="eastAsia" w:ascii="仿宋" w:hAnsi="仿宋" w:eastAsia="仿宋" w:cs="仿宋"/>
                <w:sz w:val="24"/>
              </w:rPr>
              <w:t>城乡居民基本养老保险县级配套补助资金已全部到位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，确保按时足额的发放了退休人员养老保险待遇。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绩效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待遇享受人数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12534人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提高基础养老金标准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与</w:t>
            </w:r>
            <w:r>
              <w:rPr>
                <w:rFonts w:hint="eastAsia" w:ascii="仿宋" w:hAnsi="仿宋" w:eastAsia="仿宋" w:cs="仿宋"/>
                <w:color w:val="0F0F0F"/>
                <w:sz w:val="24"/>
              </w:rPr>
              <w:t>经济发展水平相适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养老金发放到位率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实现社会稳定和长治久安的总目标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持续推动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生态效益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对城乡居民基本养老保险制度可持续发展参保人员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有效推动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政策知晓率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≥95%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bookmarkEnd w:id="0"/>
    </w:tbl>
    <w:p>
      <w:pPr>
        <w:spacing w:line="540" w:lineRule="exact"/>
        <w:ind w:firstLine="567"/>
        <w:rPr>
          <w:rStyle w:val="19"/>
          <w:rFonts w:ascii="仿宋" w:hAnsi="仿宋" w:eastAsia="仿宋" w:cs="仿宋"/>
          <w:b w:val="0"/>
          <w:spacing w:val="-4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135E8"/>
    <w:rsid w:val="00056465"/>
    <w:rsid w:val="00060ECD"/>
    <w:rsid w:val="000F76B7"/>
    <w:rsid w:val="0012050C"/>
    <w:rsid w:val="00121AE4"/>
    <w:rsid w:val="00146AAD"/>
    <w:rsid w:val="001543FB"/>
    <w:rsid w:val="00186AFF"/>
    <w:rsid w:val="001A56E5"/>
    <w:rsid w:val="001B28DC"/>
    <w:rsid w:val="001B3A40"/>
    <w:rsid w:val="001B4039"/>
    <w:rsid w:val="00201CA6"/>
    <w:rsid w:val="0022737F"/>
    <w:rsid w:val="00233EAD"/>
    <w:rsid w:val="002363FB"/>
    <w:rsid w:val="002755BA"/>
    <w:rsid w:val="00277F1C"/>
    <w:rsid w:val="002855AB"/>
    <w:rsid w:val="002A434D"/>
    <w:rsid w:val="002B004E"/>
    <w:rsid w:val="002C3FF0"/>
    <w:rsid w:val="00302265"/>
    <w:rsid w:val="003137A8"/>
    <w:rsid w:val="00316AA2"/>
    <w:rsid w:val="003B7726"/>
    <w:rsid w:val="003C18BC"/>
    <w:rsid w:val="004366A8"/>
    <w:rsid w:val="00464900"/>
    <w:rsid w:val="00502BA7"/>
    <w:rsid w:val="005162F1"/>
    <w:rsid w:val="00523EDB"/>
    <w:rsid w:val="00535153"/>
    <w:rsid w:val="00554F82"/>
    <w:rsid w:val="0056390D"/>
    <w:rsid w:val="005719B0"/>
    <w:rsid w:val="005768C9"/>
    <w:rsid w:val="005D10D6"/>
    <w:rsid w:val="005D2C98"/>
    <w:rsid w:val="005E168C"/>
    <w:rsid w:val="006B4FFA"/>
    <w:rsid w:val="006B6E36"/>
    <w:rsid w:val="006B7C2F"/>
    <w:rsid w:val="0070654E"/>
    <w:rsid w:val="007806A5"/>
    <w:rsid w:val="007A09B1"/>
    <w:rsid w:val="00816E08"/>
    <w:rsid w:val="008219E5"/>
    <w:rsid w:val="00855E3A"/>
    <w:rsid w:val="00857F28"/>
    <w:rsid w:val="008B7857"/>
    <w:rsid w:val="00906B3D"/>
    <w:rsid w:val="00922CB9"/>
    <w:rsid w:val="00945366"/>
    <w:rsid w:val="009E5CD9"/>
    <w:rsid w:val="00A035D6"/>
    <w:rsid w:val="00A26421"/>
    <w:rsid w:val="00A4293B"/>
    <w:rsid w:val="00A45A8A"/>
    <w:rsid w:val="00A67D50"/>
    <w:rsid w:val="00A8691A"/>
    <w:rsid w:val="00AA2A86"/>
    <w:rsid w:val="00AC1946"/>
    <w:rsid w:val="00AE22CA"/>
    <w:rsid w:val="00B0578B"/>
    <w:rsid w:val="00B0638F"/>
    <w:rsid w:val="00B40063"/>
    <w:rsid w:val="00B41F61"/>
    <w:rsid w:val="00B710A4"/>
    <w:rsid w:val="00BA46E6"/>
    <w:rsid w:val="00BD4FCD"/>
    <w:rsid w:val="00C06239"/>
    <w:rsid w:val="00C129B5"/>
    <w:rsid w:val="00C314F3"/>
    <w:rsid w:val="00C56C72"/>
    <w:rsid w:val="00C8537B"/>
    <w:rsid w:val="00CA6457"/>
    <w:rsid w:val="00CF5396"/>
    <w:rsid w:val="00D17F2E"/>
    <w:rsid w:val="00D23C0B"/>
    <w:rsid w:val="00D277AB"/>
    <w:rsid w:val="00D30354"/>
    <w:rsid w:val="00D85F0A"/>
    <w:rsid w:val="00DD7934"/>
    <w:rsid w:val="00DE09A4"/>
    <w:rsid w:val="00DE4043"/>
    <w:rsid w:val="00DF42A0"/>
    <w:rsid w:val="00E271A0"/>
    <w:rsid w:val="00E45B01"/>
    <w:rsid w:val="00E46C51"/>
    <w:rsid w:val="00E5154D"/>
    <w:rsid w:val="00E769FE"/>
    <w:rsid w:val="00E8178B"/>
    <w:rsid w:val="00EA2CBE"/>
    <w:rsid w:val="00ED7E1C"/>
    <w:rsid w:val="00F01FF5"/>
    <w:rsid w:val="00F03FFF"/>
    <w:rsid w:val="00F32FEE"/>
    <w:rsid w:val="00F663FC"/>
    <w:rsid w:val="00F94EFE"/>
    <w:rsid w:val="00FB10BB"/>
    <w:rsid w:val="00FE2E0A"/>
    <w:rsid w:val="00FF07C4"/>
    <w:rsid w:val="0B960100"/>
    <w:rsid w:val="153477AA"/>
    <w:rsid w:val="1B7E3F65"/>
    <w:rsid w:val="27575BB4"/>
    <w:rsid w:val="2E2C074C"/>
    <w:rsid w:val="32C26568"/>
    <w:rsid w:val="3B8A429A"/>
    <w:rsid w:val="4DF16AC3"/>
    <w:rsid w:val="553C40C4"/>
    <w:rsid w:val="5A2B1A2E"/>
    <w:rsid w:val="622F2629"/>
    <w:rsid w:val="63C42FF6"/>
    <w:rsid w:val="6F2C5693"/>
    <w:rsid w:val="6F9D2D39"/>
    <w:rsid w:val="781429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nhideWhenUsed="0" w:uiPriority="99" w:semiHidden="0" w:name="Table Web 3" w:locked="1"/>
    <w:lsdException w:unhideWhenUsed="0" w:uiPriority="99" w:name="Balloon Text"/>
    <w:lsdException w:unhideWhenUsed="0" w:uiPriority="0" w:semiHidden="0" w:name="Table Grid"/>
    <w:lsdException w:unhideWhenUsed="0" w:uiPriority="99" w:semiHidden="0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9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30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1"/>
    <w:semiHidden/>
    <w:uiPriority w:val="99"/>
    <w:rPr>
      <w:sz w:val="18"/>
      <w:szCs w:val="18"/>
    </w:rPr>
  </w:style>
  <w:style w:type="paragraph" w:styleId="12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4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locked/>
    <w:uiPriority w:val="99"/>
    <w:pPr>
      <w:widowControl/>
      <w:spacing w:before="100" w:beforeAutospacing="1" w:after="100" w:afterAutospacing="1" w:line="480" w:lineRule="auto"/>
      <w:jc w:val="left"/>
    </w:pPr>
    <w:rPr>
      <w:rFonts w:ascii="宋体" w:hAnsi="宋体" w:cs="宋体"/>
      <w:kern w:val="0"/>
      <w:sz w:val="22"/>
      <w:szCs w:val="22"/>
    </w:rPr>
  </w:style>
  <w:style w:type="paragraph" w:styleId="16">
    <w:name w:val="Title"/>
    <w:basedOn w:val="1"/>
    <w:next w:val="1"/>
    <w:link w:val="35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qFormat/>
    <w:uiPriority w:val="99"/>
    <w:rPr>
      <w:rFonts w:cs="Times New Roman"/>
      <w:b/>
      <w:bCs/>
    </w:rPr>
  </w:style>
  <w:style w:type="character" w:styleId="20">
    <w:name w:val="Emphasis"/>
    <w:qFormat/>
    <w:uiPriority w:val="99"/>
    <w:rPr>
      <w:rFonts w:ascii="Calibri" w:hAnsi="Calibri" w:cs="Times New Roman"/>
      <w:b/>
      <w:i/>
      <w:iCs/>
    </w:rPr>
  </w:style>
  <w:style w:type="character" w:styleId="21">
    <w:name w:val="Hyperlink"/>
    <w:qFormat/>
    <w:locked/>
    <w:uiPriority w:val="99"/>
    <w:rPr>
      <w:rFonts w:cs="Times New Roman"/>
      <w:color w:val="0000FF"/>
      <w:u w:val="none"/>
    </w:rPr>
  </w:style>
  <w:style w:type="character" w:customStyle="1" w:styleId="22">
    <w:name w:val="标题 1 字符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3">
    <w:name w:val="标题 2 字符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4">
    <w:name w:val="标题 3 字符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5">
    <w:name w:val="标题 4 字符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6">
    <w:name w:val="标题 5 字符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7">
    <w:name w:val="标题 6 字符"/>
    <w:link w:val="7"/>
    <w:semiHidden/>
    <w:qFormat/>
    <w:locked/>
    <w:uiPriority w:val="99"/>
    <w:rPr>
      <w:rFonts w:cs="Times New Roman"/>
      <w:b/>
      <w:bCs/>
    </w:rPr>
  </w:style>
  <w:style w:type="character" w:customStyle="1" w:styleId="28">
    <w:name w:val="标题 7 字符"/>
    <w:link w:val="8"/>
    <w:semiHidden/>
    <w:locked/>
    <w:uiPriority w:val="99"/>
    <w:rPr>
      <w:rFonts w:cs="Times New Roman"/>
      <w:sz w:val="24"/>
      <w:szCs w:val="24"/>
    </w:rPr>
  </w:style>
  <w:style w:type="character" w:customStyle="1" w:styleId="29">
    <w:name w:val="标题 8 字符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30">
    <w:name w:val="标题 9 字符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31">
    <w:name w:val="批注框文本 字符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2">
    <w:name w:val="页脚 字符"/>
    <w:link w:val="12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页眉 字符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4">
    <w:name w:val="副标题 字符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5">
    <w:name w:val="标题 字符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6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7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8">
    <w:name w:val="Quote"/>
    <w:basedOn w:val="1"/>
    <w:next w:val="1"/>
    <w:link w:val="39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9">
    <w:name w:val="引用 字符"/>
    <w:link w:val="38"/>
    <w:qFormat/>
    <w:locked/>
    <w:uiPriority w:val="99"/>
    <w:rPr>
      <w:rFonts w:cs="Times New Roman"/>
      <w:i/>
      <w:sz w:val="24"/>
      <w:szCs w:val="24"/>
    </w:rPr>
  </w:style>
  <w:style w:type="paragraph" w:styleId="40">
    <w:name w:val="Intense Quote"/>
    <w:basedOn w:val="1"/>
    <w:next w:val="1"/>
    <w:link w:val="41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1">
    <w:name w:val="明显引用 字符"/>
    <w:link w:val="40"/>
    <w:qFormat/>
    <w:locked/>
    <w:uiPriority w:val="99"/>
    <w:rPr>
      <w:rFonts w:cs="Times New Roman"/>
      <w:b/>
      <w:i/>
      <w:sz w:val="24"/>
    </w:rPr>
  </w:style>
  <w:style w:type="character" w:customStyle="1" w:styleId="42">
    <w:name w:val="Subtle Emphasis1"/>
    <w:qFormat/>
    <w:uiPriority w:val="99"/>
    <w:rPr>
      <w:i/>
      <w:color w:val="595959"/>
    </w:rPr>
  </w:style>
  <w:style w:type="character" w:customStyle="1" w:styleId="43">
    <w:name w:val="Intense Emphasis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4">
    <w:name w:val="Subtle Reference1"/>
    <w:qFormat/>
    <w:uiPriority w:val="99"/>
    <w:rPr>
      <w:rFonts w:cs="Times New Roman"/>
      <w:sz w:val="24"/>
      <w:szCs w:val="24"/>
      <w:u w:val="single"/>
    </w:rPr>
  </w:style>
  <w:style w:type="character" w:customStyle="1" w:styleId="45">
    <w:name w:val="Intense Reference1"/>
    <w:qFormat/>
    <w:uiPriority w:val="99"/>
    <w:rPr>
      <w:rFonts w:cs="Times New Roman"/>
      <w:b/>
      <w:sz w:val="24"/>
      <w:u w:val="single"/>
    </w:rPr>
  </w:style>
  <w:style w:type="character" w:customStyle="1" w:styleId="46">
    <w:name w:val="Book Title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7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318</Words>
  <Characters>1819</Characters>
  <Lines>15</Lines>
  <Paragraphs>4</Paragraphs>
  <TotalTime>0</TotalTime>
  <ScaleCrop>false</ScaleCrop>
  <LinksUpToDate>false</LinksUpToDate>
  <CharactersWithSpaces>2133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2019-01-15T03:34:00Z</dcterms:created>
  <dc:creator>赵 恺（预算处）</dc:creator>
  <cp:lastModifiedBy>Administrator</cp:lastModifiedBy>
  <cp:lastPrinted>2019-01-13T12:20:00Z</cp:lastPrinted>
  <dcterms:modified xsi:type="dcterms:W3CDTF">2024-11-18T03:56:35Z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