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ind w:firstLine="320" w:firstLineChars="1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</w:t>
      </w:r>
      <w:r>
        <w:rPr>
          <w:rFonts w:ascii="仿宋" w:hAnsi="仿宋" w:eastAsia="仿宋" w:cs="宋体"/>
          <w:kern w:val="0"/>
          <w:sz w:val="32"/>
          <w:szCs w:val="32"/>
        </w:rPr>
        <w:t>1</w:t>
      </w:r>
      <w:r>
        <w:rPr>
          <w:rFonts w:hint="eastAsia" w:ascii="仿宋" w:hAnsi="仿宋" w:eastAsia="仿宋" w:cs="宋体"/>
          <w:kern w:val="0"/>
          <w:sz w:val="32"/>
          <w:szCs w:val="32"/>
        </w:rPr>
        <w:t>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玛纳斯县财政项目支出绩效自评报告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Ansi="宋体" w:eastAsia="仿宋_GB2312" w:cs="宋体"/>
          <w:kern w:val="0"/>
          <w:sz w:val="36"/>
          <w:szCs w:val="36"/>
        </w:rPr>
        <w:t>201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Ansi="宋体" w:eastAsia="仿宋_GB2312" w:cs="宋体"/>
          <w:kern w:val="0"/>
          <w:sz w:val="36"/>
          <w:szCs w:val="36"/>
        </w:rPr>
        <w:t xml:space="preserve">     </w:t>
      </w: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玛纳斯县便民警务站建设</w:t>
      </w:r>
      <w:r>
        <w:rPr>
          <w:rFonts w:hint="eastAsia" w:hAnsi="宋体" w:eastAsia="仿宋_GB2312" w:cs="宋体"/>
          <w:kern w:val="0"/>
          <w:sz w:val="36"/>
          <w:szCs w:val="36"/>
        </w:rPr>
        <w:t>项目</w:t>
      </w: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Ansi="宋体" w:eastAsia="仿宋_GB2312" w:cs="宋体"/>
          <w:kern w:val="0"/>
          <w:sz w:val="36"/>
          <w:szCs w:val="36"/>
        </w:rPr>
        <w:t xml:space="preserve">     </w:t>
      </w:r>
      <w:r>
        <w:rPr>
          <w:rFonts w:hint="eastAsia" w:hAnsi="宋体" w:eastAsia="仿宋_GB2312" w:cs="宋体"/>
          <w:kern w:val="0"/>
          <w:sz w:val="36"/>
          <w:szCs w:val="36"/>
        </w:rPr>
        <w:t>实施单位（公章）：玛纳斯县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委政法委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Ansi="宋体" w:eastAsia="仿宋_GB2312" w:cs="宋体"/>
          <w:kern w:val="0"/>
          <w:sz w:val="36"/>
          <w:szCs w:val="36"/>
        </w:rPr>
        <w:t>201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9</w:t>
      </w:r>
      <w:r>
        <w:rPr>
          <w:rFonts w:hint="eastAsia" w:hAnsi="宋体" w:eastAsia="仿宋_GB2312" w:cs="宋体"/>
          <w:kern w:val="0"/>
          <w:sz w:val="36"/>
          <w:szCs w:val="36"/>
        </w:rPr>
        <w:t>年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</w:t>
      </w:r>
      <w:r>
        <w:rPr>
          <w:rFonts w:hint="eastAsia" w:hAnsi="宋体" w:eastAsia="仿宋_GB2312" w:cs="宋体"/>
          <w:kern w:val="0"/>
          <w:sz w:val="36"/>
          <w:szCs w:val="36"/>
        </w:rPr>
        <w:t>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13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主要职能：（1）、保持严打高压，继续深化对敌斗争；（2）、坚持多措并举，强化社会治安防控；（3）、坚持综合施策，强化行政服务管理；（4）、深化四项建设，打牢基层基础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机构情况：我单位机构数1个。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（二）项目预算绩效目标设定情况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预防暴恐、违法犯罪事故发生，从而提高公安干警应急处突能力，提高接警处置效率，充分发挥公安职能，维护社会稳定。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经费主要用于便民警务站项目建设项目工程款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工程款总支付344.5万元，2018年应支付180.89万元，县级配套资金180.89万元，根据代建处监管的项目进展情况，向财政局申情资金，做直接支付支付给建筑单位。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工程款总支付344.5万元，2018年支付180.89万元，县级配套资金180.89万元，资金全部落实到位。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项目资金由县财政局统一管理，由代建处对项目进度及质量进行监管，支付时县委政法委向财政局申请资金，建筑单位携发包合同、工程支付申请书及发票和相关中标合同手续在我委进行三级审批后，交由财政局支付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项目投标情况：项目分由玛纳斯县本地四家建筑公司建设。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调整情况：2018年项目资金无调整情况。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验收情况：我委资金使用严格执行我委各项规章制度，资金落实到位，不拖欠，不做项目外的其他支出。</w:t>
      </w:r>
    </w:p>
    <w:p>
      <w:pPr>
        <w:spacing w:line="540" w:lineRule="exact"/>
        <w:ind w:firstLine="567" w:firstLineChars="181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一、管理制度、办法的制定：以努力用好每一分钱，办好每一件事的为原则，不断提高各项经费的管理水平和使用效益。按照县委及上级部门制订的相关财务制度，我委也根据单位的实际情况制定了切实可行的《财务管理制度》、《财务岗位职责》《差旅费报销制度》等会计制度，及时学习更新相关规定，根据内部管理的需要，明确了工作岗位职责和权限。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二、规范资金使用，提高使用效益。为进一步规范财政资金管理，强化单位责任意识，进一步完善专项资金管理，提高财政资金使用效益，我委先后制定了支出管理制度、专项资金管理制度以及稽核制度，单位项目资金使用严格执行“三重一大”管理制度，对单位重大支出上会讨论，经办人具体实施，主管领导监督，进行层层监督管理。把资金的使用落到实处。我委项目支出的管理贯穿项目的全过程，从项目的设计、施工、技术、相关设施的配套、专项资金的管理使用，到项目的竣工验收。按照我局委具体要求，采用询问、参与、检查、调查等方式进行。我委对在工作实施中不按规定办事、玩忽职守、弄虚作假、违反有关廉政建设规定的行为，都要严格查处。</w:t>
      </w:r>
    </w:p>
    <w:p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2018年我委此项项目资金收入支出平衡，无负债，无结余。全部用于我委正常运转、为维护社会稳定做出坚实的保障。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已完成绩效目标。</w:t>
      </w:r>
    </w:p>
    <w:p>
      <w:pPr>
        <w:spacing w:line="540" w:lineRule="exact"/>
        <w:ind w:firstLine="564" w:firstLineChars="181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加强资金管理，做到专款专用。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经验及做法：对专项资金，我委严格按照财务管理制度、专项资金管理办法以及本部门厉行节约制度执行，各项专项资金，做到了财政、上级、本部门的三方共同管理、监督，专款专用极大有效的预防和惩治毒品违法犯罪行为，保护了公民身心健康，抑制了犯罪数，维护社会稳定和经济发展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无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我委严格按照上级部门下达的资金使用方式使用资金，切实做到每笔资金都由我委领导逐级审批，合理规范资金使用情况，确保资金落到实处，使资金使用效益达到最大化，切实保障部门正常运转。</w:t>
      </w:r>
    </w:p>
    <w:p>
      <w:pPr>
        <w:spacing w:line="540" w:lineRule="exact"/>
        <w:ind w:firstLine="640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  <w:t>七、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附表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《玛纳斯财政项目支出绩效自评表》</w:t>
      </w:r>
    </w:p>
    <w:p>
      <w:pPr>
        <w:widowControl w:val="0"/>
        <w:numPr>
          <w:ilvl w:val="0"/>
          <w:numId w:val="0"/>
        </w:numPr>
        <w:spacing w:line="540" w:lineRule="exact"/>
        <w:jc w:val="both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</w:p>
    <w:tbl>
      <w:tblPr>
        <w:tblStyle w:val="20"/>
        <w:tblW w:w="859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0"/>
        <w:gridCol w:w="245"/>
        <w:gridCol w:w="593"/>
        <w:gridCol w:w="838"/>
        <w:gridCol w:w="475"/>
        <w:gridCol w:w="236"/>
        <w:gridCol w:w="680"/>
        <w:gridCol w:w="138"/>
        <w:gridCol w:w="858"/>
        <w:gridCol w:w="1128"/>
        <w:gridCol w:w="347"/>
        <w:gridCol w:w="2252"/>
        <w:gridCol w:w="31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2" w:type="dxa"/>
          <w:trHeight w:val="90" w:hRule="atLeast"/>
        </w:trPr>
        <w:tc>
          <w:tcPr>
            <w:tcW w:w="828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玛纳斯县财政项目支出绩效自评表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2" w:type="dxa"/>
          <w:trHeight w:val="90" w:hRule="atLeast"/>
        </w:trPr>
        <w:tc>
          <w:tcPr>
            <w:tcW w:w="828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（2018年度）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8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40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2" w:type="dxa"/>
          <w:trHeight w:val="90" w:hRule="atLeast"/>
        </w:trPr>
        <w:tc>
          <w:tcPr>
            <w:tcW w:w="26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56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玛纳斯县便民警务站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2" w:type="dxa"/>
          <w:trHeight w:val="90" w:hRule="atLeast"/>
        </w:trPr>
        <w:tc>
          <w:tcPr>
            <w:tcW w:w="26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56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玛纳斯县委政法委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2" w:type="dxa"/>
          <w:trHeight w:val="90" w:hRule="atLeast"/>
        </w:trPr>
        <w:tc>
          <w:tcPr>
            <w:tcW w:w="735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预算执行情况（万元）</w:t>
            </w:r>
          </w:p>
        </w:tc>
        <w:tc>
          <w:tcPr>
            <w:tcW w:w="19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预算数：</w:t>
            </w:r>
          </w:p>
        </w:tc>
        <w:tc>
          <w:tcPr>
            <w:tcW w:w="10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180.89</w:t>
            </w:r>
          </w:p>
        </w:tc>
        <w:tc>
          <w:tcPr>
            <w:tcW w:w="23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执行数：</w:t>
            </w:r>
          </w:p>
        </w:tc>
        <w:tc>
          <w:tcPr>
            <w:tcW w:w="2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180.89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2" w:type="dxa"/>
          <w:trHeight w:val="90" w:hRule="atLeast"/>
        </w:trPr>
        <w:tc>
          <w:tcPr>
            <w:tcW w:w="735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10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180.89</w:t>
            </w:r>
          </w:p>
        </w:tc>
        <w:tc>
          <w:tcPr>
            <w:tcW w:w="23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其中：财政拨款</w:t>
            </w:r>
          </w:p>
        </w:tc>
        <w:tc>
          <w:tcPr>
            <w:tcW w:w="2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180.89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2" w:type="dxa"/>
          <w:trHeight w:val="90" w:hRule="atLeast"/>
        </w:trPr>
        <w:tc>
          <w:tcPr>
            <w:tcW w:w="735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    其他资金</w:t>
            </w:r>
          </w:p>
        </w:tc>
        <w:tc>
          <w:tcPr>
            <w:tcW w:w="10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23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2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2" w:type="dxa"/>
          <w:trHeight w:val="90" w:hRule="atLeast"/>
        </w:trPr>
        <w:tc>
          <w:tcPr>
            <w:tcW w:w="735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年度目标完成情况</w:t>
            </w:r>
          </w:p>
        </w:tc>
        <w:tc>
          <w:tcPr>
            <w:tcW w:w="29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458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2" w:type="dxa"/>
          <w:trHeight w:val="312" w:hRule="atLeast"/>
        </w:trPr>
        <w:tc>
          <w:tcPr>
            <w:tcW w:w="735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960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为完成区、州党委维稳工作要求，织密织牢社会面防控网，增强维稳力量应急处突能力，常态化开展武装巡逻、拉动，提升群幸福指数</w:t>
            </w:r>
          </w:p>
        </w:tc>
        <w:tc>
          <w:tcPr>
            <w:tcW w:w="4585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全面完成工作任务，安全防范体系初步建立，社会面防控网不断织密，维稳力量常态化开展演练，确保玛纳斯县社会大局稳定。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2" w:type="dxa"/>
          <w:trHeight w:val="312" w:hRule="atLeast"/>
        </w:trPr>
        <w:tc>
          <w:tcPr>
            <w:tcW w:w="735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96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4585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2" w:type="dxa"/>
          <w:trHeight w:val="312" w:hRule="atLeast"/>
        </w:trPr>
        <w:tc>
          <w:tcPr>
            <w:tcW w:w="735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96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4585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2" w:type="dxa"/>
          <w:trHeight w:val="90" w:hRule="atLeast"/>
        </w:trPr>
        <w:tc>
          <w:tcPr>
            <w:tcW w:w="735" w:type="dxa"/>
            <w:gridSpan w:val="2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年度绩效指标完成情况</w:t>
            </w:r>
          </w:p>
        </w:tc>
        <w:tc>
          <w:tcPr>
            <w:tcW w:w="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05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预期指标值（包含数字及文字描述）</w:t>
            </w:r>
          </w:p>
        </w:tc>
        <w:tc>
          <w:tcPr>
            <w:tcW w:w="25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2" w:type="dxa"/>
          <w:trHeight w:val="90" w:hRule="atLeast"/>
        </w:trPr>
        <w:tc>
          <w:tcPr>
            <w:tcW w:w="735" w:type="dxa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593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项目完成指标</w:t>
            </w:r>
          </w:p>
        </w:tc>
        <w:tc>
          <w:tcPr>
            <w:tcW w:w="1313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054" w:type="dxa"/>
            <w:gridSpan w:val="3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工程项目金额</w:t>
            </w:r>
          </w:p>
        </w:tc>
        <w:tc>
          <w:tcPr>
            <w:tcW w:w="25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180.89万元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2" w:type="dxa"/>
          <w:trHeight w:val="90" w:hRule="atLeast"/>
        </w:trPr>
        <w:tc>
          <w:tcPr>
            <w:tcW w:w="735" w:type="dxa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59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054" w:type="dxa"/>
            <w:gridSpan w:val="3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符合工程发包要求</w:t>
            </w:r>
          </w:p>
        </w:tc>
        <w:tc>
          <w:tcPr>
            <w:tcW w:w="25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符合工程施工要求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2" w:type="dxa"/>
          <w:trHeight w:val="90" w:hRule="atLeast"/>
        </w:trPr>
        <w:tc>
          <w:tcPr>
            <w:tcW w:w="735" w:type="dxa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59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054" w:type="dxa"/>
            <w:gridSpan w:val="3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按时完成工程进度</w:t>
            </w:r>
          </w:p>
        </w:tc>
        <w:tc>
          <w:tcPr>
            <w:tcW w:w="25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按时完成工程进度要求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2" w:type="dxa"/>
          <w:trHeight w:val="90" w:hRule="atLeast"/>
        </w:trPr>
        <w:tc>
          <w:tcPr>
            <w:tcW w:w="735" w:type="dxa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59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054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合理控制成本</w:t>
            </w:r>
          </w:p>
        </w:tc>
        <w:tc>
          <w:tcPr>
            <w:tcW w:w="25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进行政府采购，在合规的情况下控制工程造价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2" w:type="dxa"/>
          <w:trHeight w:val="90" w:hRule="atLeast"/>
        </w:trPr>
        <w:tc>
          <w:tcPr>
            <w:tcW w:w="735" w:type="dxa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593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项目效果指标</w:t>
            </w:r>
          </w:p>
        </w:tc>
        <w:tc>
          <w:tcPr>
            <w:tcW w:w="1313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054" w:type="dxa"/>
            <w:gridSpan w:val="3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5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2" w:type="dxa"/>
          <w:trHeight w:val="1062" w:hRule="atLeast"/>
        </w:trPr>
        <w:tc>
          <w:tcPr>
            <w:tcW w:w="735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59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054" w:type="dxa"/>
            <w:gridSpan w:val="3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提升维稳处突能力</w:t>
            </w:r>
          </w:p>
        </w:tc>
        <w:tc>
          <w:tcPr>
            <w:tcW w:w="25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提升维稳处突能力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2" w:type="dxa"/>
          <w:trHeight w:val="90" w:hRule="atLeast"/>
        </w:trPr>
        <w:tc>
          <w:tcPr>
            <w:tcW w:w="73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5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vMerge w:val="continue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维护社会稳定</w:t>
            </w:r>
          </w:p>
        </w:tc>
        <w:tc>
          <w:tcPr>
            <w:tcW w:w="25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社会大局稳定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2" w:type="dxa"/>
          <w:trHeight w:val="90" w:hRule="atLeast"/>
        </w:trPr>
        <w:tc>
          <w:tcPr>
            <w:tcW w:w="7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593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054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5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2" w:type="dxa"/>
          <w:trHeight w:val="715" w:hRule="atLeast"/>
        </w:trPr>
        <w:tc>
          <w:tcPr>
            <w:tcW w:w="73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5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5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2" w:type="dxa"/>
          <w:trHeight w:val="891" w:hRule="atLeast"/>
        </w:trPr>
        <w:tc>
          <w:tcPr>
            <w:tcW w:w="7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群众满意率</w:t>
            </w:r>
          </w:p>
        </w:tc>
        <w:tc>
          <w:tcPr>
            <w:tcW w:w="25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&gt;90%</w:t>
            </w:r>
          </w:p>
        </w:tc>
      </w:tr>
    </w:tbl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457"/>
    <w:rsid w:val="00034816"/>
    <w:rsid w:val="00051D6B"/>
    <w:rsid w:val="00056465"/>
    <w:rsid w:val="000E7402"/>
    <w:rsid w:val="00121AE4"/>
    <w:rsid w:val="00146AAD"/>
    <w:rsid w:val="001B3A40"/>
    <w:rsid w:val="002977E8"/>
    <w:rsid w:val="003337E0"/>
    <w:rsid w:val="003C18BC"/>
    <w:rsid w:val="004366A8"/>
    <w:rsid w:val="00464900"/>
    <w:rsid w:val="00502BA7"/>
    <w:rsid w:val="005162F1"/>
    <w:rsid w:val="00535153"/>
    <w:rsid w:val="00542434"/>
    <w:rsid w:val="00554F82"/>
    <w:rsid w:val="0056390D"/>
    <w:rsid w:val="005719B0"/>
    <w:rsid w:val="005C50AE"/>
    <w:rsid w:val="005D10D6"/>
    <w:rsid w:val="006F709F"/>
    <w:rsid w:val="007806A5"/>
    <w:rsid w:val="007A7588"/>
    <w:rsid w:val="007C5E51"/>
    <w:rsid w:val="007D1D4C"/>
    <w:rsid w:val="00855E3A"/>
    <w:rsid w:val="008858F2"/>
    <w:rsid w:val="008D24C5"/>
    <w:rsid w:val="008F7A1D"/>
    <w:rsid w:val="00922CB9"/>
    <w:rsid w:val="009C4E03"/>
    <w:rsid w:val="009E5CD9"/>
    <w:rsid w:val="009F4AB5"/>
    <w:rsid w:val="00A26421"/>
    <w:rsid w:val="00A337BA"/>
    <w:rsid w:val="00A4293B"/>
    <w:rsid w:val="00A67D50"/>
    <w:rsid w:val="00A8691A"/>
    <w:rsid w:val="00AA2202"/>
    <w:rsid w:val="00AC1946"/>
    <w:rsid w:val="00AF2231"/>
    <w:rsid w:val="00B40063"/>
    <w:rsid w:val="00B41F61"/>
    <w:rsid w:val="00BA46E6"/>
    <w:rsid w:val="00C042BC"/>
    <w:rsid w:val="00C56C72"/>
    <w:rsid w:val="00CA6457"/>
    <w:rsid w:val="00CC4FD7"/>
    <w:rsid w:val="00D17F2E"/>
    <w:rsid w:val="00D209D1"/>
    <w:rsid w:val="00D2223F"/>
    <w:rsid w:val="00D30354"/>
    <w:rsid w:val="00D82C00"/>
    <w:rsid w:val="00DF42A0"/>
    <w:rsid w:val="00E0665E"/>
    <w:rsid w:val="00E46C51"/>
    <w:rsid w:val="00E769FE"/>
    <w:rsid w:val="00EA2CBE"/>
    <w:rsid w:val="00EE7710"/>
    <w:rsid w:val="00EF2659"/>
    <w:rsid w:val="00F2607F"/>
    <w:rsid w:val="00F32FEE"/>
    <w:rsid w:val="00FB10BB"/>
    <w:rsid w:val="00FD0AD7"/>
    <w:rsid w:val="0FA35890"/>
    <w:rsid w:val="18A35C33"/>
    <w:rsid w:val="1D53526E"/>
    <w:rsid w:val="3CAF251D"/>
    <w:rsid w:val="418C4279"/>
    <w:rsid w:val="52B150E2"/>
    <w:rsid w:val="553C40C4"/>
    <w:rsid w:val="608C28A4"/>
    <w:rsid w:val="61316568"/>
    <w:rsid w:val="633563A2"/>
    <w:rsid w:val="63C42FF6"/>
    <w:rsid w:val="68A84DB9"/>
    <w:rsid w:val="6C276364"/>
    <w:rsid w:val="6F0E7F50"/>
    <w:rsid w:val="781F384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semiHidden="0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qFormat/>
    <w:uiPriority w:val="99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qFormat/>
    <w:uiPriority w:val="9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qFormat/>
    <w:uiPriority w:val="99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qFormat/>
    <w:uiPriority w:val="99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qFormat/>
    <w:uiPriority w:val="99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qFormat/>
    <w:uiPriority w:val="99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9">
    <w:name w:val="heading 8"/>
    <w:basedOn w:val="1"/>
    <w:next w:val="1"/>
    <w:link w:val="28"/>
    <w:qFormat/>
    <w:uiPriority w:val="99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10">
    <w:name w:val="heading 9"/>
    <w:basedOn w:val="1"/>
    <w:next w:val="1"/>
    <w:link w:val="29"/>
    <w:qFormat/>
    <w:uiPriority w:val="99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17">
    <w:name w:val="Default Paragraph Font"/>
    <w:semiHidden/>
    <w:qFormat/>
    <w:uiPriority w:val="99"/>
  </w:style>
  <w:style w:type="table" w:default="1" w:styleId="2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30"/>
    <w:semiHidden/>
    <w:qFormat/>
    <w:uiPriority w:val="99"/>
    <w:rPr>
      <w:sz w:val="18"/>
      <w:szCs w:val="18"/>
    </w:rPr>
  </w:style>
  <w:style w:type="paragraph" w:styleId="12">
    <w:name w:val="footer"/>
    <w:basedOn w:val="1"/>
    <w:link w:val="3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3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3"/>
    <w:qFormat/>
    <w:uiPriority w:val="99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15">
    <w:name w:val="Normal (Web)"/>
    <w:basedOn w:val="1"/>
    <w:semiHidden/>
    <w:qFormat/>
    <w:uiPriority w:val="99"/>
    <w:pPr>
      <w:jc w:val="left"/>
    </w:pPr>
    <w:rPr>
      <w:kern w:val="0"/>
      <w:sz w:val="24"/>
    </w:rPr>
  </w:style>
  <w:style w:type="paragraph" w:styleId="16">
    <w:name w:val="Title"/>
    <w:basedOn w:val="1"/>
    <w:next w:val="1"/>
    <w:link w:val="34"/>
    <w:qFormat/>
    <w:uiPriority w:val="99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99"/>
    <w:rPr>
      <w:rFonts w:cs="Times New Roman"/>
      <w:b/>
      <w:bCs/>
    </w:rPr>
  </w:style>
  <w:style w:type="character" w:styleId="19">
    <w:name w:val="Emphasis"/>
    <w:basedOn w:val="17"/>
    <w:qFormat/>
    <w:uiPriority w:val="99"/>
    <w:rPr>
      <w:rFonts w:ascii="Calibri" w:hAnsi="Calibri" w:cs="Times New Roman"/>
      <w:b/>
      <w:i/>
      <w:iCs/>
    </w:rPr>
  </w:style>
  <w:style w:type="character" w:customStyle="1" w:styleId="21">
    <w:name w:val="Heading 1 Char"/>
    <w:basedOn w:val="17"/>
    <w:link w:val="2"/>
    <w:qFormat/>
    <w:locked/>
    <w:uiPriority w:val="99"/>
    <w:rPr>
      <w:rFonts w:ascii="Cambria" w:hAnsi="Cambria" w:eastAsia="宋体" w:cs="Times New Roman"/>
      <w:b/>
      <w:bCs/>
      <w:kern w:val="32"/>
      <w:sz w:val="32"/>
      <w:szCs w:val="32"/>
    </w:rPr>
  </w:style>
  <w:style w:type="character" w:customStyle="1" w:styleId="22">
    <w:name w:val="Heading 2 Char"/>
    <w:basedOn w:val="17"/>
    <w:link w:val="3"/>
    <w:semiHidden/>
    <w:qFormat/>
    <w:locked/>
    <w:uiPriority w:val="99"/>
    <w:rPr>
      <w:rFonts w:ascii="Cambria" w:hAnsi="Cambria" w:eastAsia="宋体" w:cs="Times New Roman"/>
      <w:b/>
      <w:bCs/>
      <w:i/>
      <w:iCs/>
      <w:sz w:val="28"/>
      <w:szCs w:val="28"/>
    </w:rPr>
  </w:style>
  <w:style w:type="character" w:customStyle="1" w:styleId="23">
    <w:name w:val="Heading 3 Char"/>
    <w:basedOn w:val="17"/>
    <w:link w:val="4"/>
    <w:semiHidden/>
    <w:qFormat/>
    <w:locked/>
    <w:uiPriority w:val="99"/>
    <w:rPr>
      <w:rFonts w:ascii="Cambria" w:hAnsi="Cambria" w:eastAsia="宋体" w:cs="Times New Roman"/>
      <w:b/>
      <w:bCs/>
      <w:sz w:val="26"/>
      <w:szCs w:val="26"/>
    </w:rPr>
  </w:style>
  <w:style w:type="character" w:customStyle="1" w:styleId="24">
    <w:name w:val="Heading 4 Char"/>
    <w:basedOn w:val="17"/>
    <w:link w:val="5"/>
    <w:semiHidden/>
    <w:qFormat/>
    <w:locked/>
    <w:uiPriority w:val="99"/>
    <w:rPr>
      <w:rFonts w:cs="Times New Roman"/>
      <w:b/>
      <w:bCs/>
      <w:sz w:val="28"/>
      <w:szCs w:val="28"/>
    </w:rPr>
  </w:style>
  <w:style w:type="character" w:customStyle="1" w:styleId="25">
    <w:name w:val="Heading 5 Char"/>
    <w:basedOn w:val="17"/>
    <w:link w:val="6"/>
    <w:semiHidden/>
    <w:qFormat/>
    <w:locked/>
    <w:uiPriority w:val="99"/>
    <w:rPr>
      <w:rFonts w:cs="Times New Roman"/>
      <w:b/>
      <w:bCs/>
      <w:i/>
      <w:iCs/>
      <w:sz w:val="26"/>
      <w:szCs w:val="26"/>
    </w:rPr>
  </w:style>
  <w:style w:type="character" w:customStyle="1" w:styleId="26">
    <w:name w:val="Heading 6 Char"/>
    <w:basedOn w:val="17"/>
    <w:link w:val="7"/>
    <w:semiHidden/>
    <w:qFormat/>
    <w:locked/>
    <w:uiPriority w:val="99"/>
    <w:rPr>
      <w:rFonts w:cs="Times New Roman"/>
      <w:b/>
      <w:bCs/>
    </w:rPr>
  </w:style>
  <w:style w:type="character" w:customStyle="1" w:styleId="27">
    <w:name w:val="Heading 7 Char"/>
    <w:basedOn w:val="17"/>
    <w:link w:val="8"/>
    <w:semiHidden/>
    <w:qFormat/>
    <w:locked/>
    <w:uiPriority w:val="99"/>
    <w:rPr>
      <w:rFonts w:cs="Times New Roman"/>
      <w:sz w:val="24"/>
      <w:szCs w:val="24"/>
    </w:rPr>
  </w:style>
  <w:style w:type="character" w:customStyle="1" w:styleId="28">
    <w:name w:val="Heading 8 Char"/>
    <w:basedOn w:val="17"/>
    <w:link w:val="9"/>
    <w:semiHidden/>
    <w:qFormat/>
    <w:locked/>
    <w:uiPriority w:val="99"/>
    <w:rPr>
      <w:rFonts w:cs="Times New Roman"/>
      <w:i/>
      <w:iCs/>
      <w:sz w:val="24"/>
      <w:szCs w:val="24"/>
    </w:rPr>
  </w:style>
  <w:style w:type="character" w:customStyle="1" w:styleId="29">
    <w:name w:val="Heading 9 Char"/>
    <w:basedOn w:val="17"/>
    <w:link w:val="10"/>
    <w:semiHidden/>
    <w:qFormat/>
    <w:locked/>
    <w:uiPriority w:val="99"/>
    <w:rPr>
      <w:rFonts w:ascii="Cambria" w:hAnsi="Cambria" w:eastAsia="宋体" w:cs="Times New Roman"/>
    </w:rPr>
  </w:style>
  <w:style w:type="character" w:customStyle="1" w:styleId="30">
    <w:name w:val="Balloon Text Char"/>
    <w:basedOn w:val="17"/>
    <w:link w:val="11"/>
    <w:semiHidden/>
    <w:qFormat/>
    <w:locked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31">
    <w:name w:val="Footer Char"/>
    <w:basedOn w:val="17"/>
    <w:link w:val="12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2">
    <w:name w:val="Header Char"/>
    <w:basedOn w:val="17"/>
    <w:link w:val="13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3">
    <w:name w:val="Subtitle Char"/>
    <w:basedOn w:val="17"/>
    <w:link w:val="14"/>
    <w:qFormat/>
    <w:locked/>
    <w:uiPriority w:val="99"/>
    <w:rPr>
      <w:rFonts w:ascii="Cambria" w:hAnsi="Cambria" w:eastAsia="宋体" w:cs="Times New Roman"/>
      <w:sz w:val="24"/>
      <w:szCs w:val="24"/>
    </w:rPr>
  </w:style>
  <w:style w:type="character" w:customStyle="1" w:styleId="34">
    <w:name w:val="Title Char"/>
    <w:basedOn w:val="17"/>
    <w:link w:val="16"/>
    <w:qFormat/>
    <w:locked/>
    <w:uiPriority w:val="99"/>
    <w:rPr>
      <w:rFonts w:ascii="Cambria" w:hAnsi="Cambria" w:eastAsia="宋体" w:cs="Times New Roman"/>
      <w:b/>
      <w:bCs/>
      <w:kern w:val="28"/>
      <w:sz w:val="32"/>
      <w:szCs w:val="32"/>
    </w:rPr>
  </w:style>
  <w:style w:type="paragraph" w:customStyle="1" w:styleId="35">
    <w:name w:val="No Spacing"/>
    <w:basedOn w:val="1"/>
    <w:qFormat/>
    <w:uiPriority w:val="99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customStyle="1" w:styleId="36">
    <w:name w:val="List Paragraph"/>
    <w:basedOn w:val="1"/>
    <w:qFormat/>
    <w:uiPriority w:val="99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customStyle="1" w:styleId="37">
    <w:name w:val="Quote"/>
    <w:basedOn w:val="1"/>
    <w:next w:val="1"/>
    <w:link w:val="38"/>
    <w:qFormat/>
    <w:uiPriority w:val="99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38">
    <w:name w:val="Quote Char"/>
    <w:basedOn w:val="17"/>
    <w:link w:val="37"/>
    <w:qFormat/>
    <w:locked/>
    <w:uiPriority w:val="99"/>
    <w:rPr>
      <w:rFonts w:cs="Times New Roman"/>
      <w:i/>
      <w:sz w:val="24"/>
      <w:szCs w:val="24"/>
    </w:rPr>
  </w:style>
  <w:style w:type="paragraph" w:customStyle="1" w:styleId="39">
    <w:name w:val="Intense Quote"/>
    <w:basedOn w:val="1"/>
    <w:next w:val="1"/>
    <w:link w:val="40"/>
    <w:qFormat/>
    <w:uiPriority w:val="99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40">
    <w:name w:val="Intense Quote Char"/>
    <w:basedOn w:val="17"/>
    <w:link w:val="39"/>
    <w:qFormat/>
    <w:locked/>
    <w:uiPriority w:val="99"/>
    <w:rPr>
      <w:rFonts w:cs="Times New Roman"/>
      <w:b/>
      <w:i/>
      <w:sz w:val="24"/>
    </w:rPr>
  </w:style>
  <w:style w:type="character" w:customStyle="1" w:styleId="41">
    <w:name w:val="不明显强调1"/>
    <w:qFormat/>
    <w:uiPriority w:val="99"/>
    <w:rPr>
      <w:i/>
      <w:color w:val="595959"/>
    </w:rPr>
  </w:style>
  <w:style w:type="character" w:customStyle="1" w:styleId="42">
    <w:name w:val="明显强调1"/>
    <w:basedOn w:val="17"/>
    <w:qFormat/>
    <w:uiPriority w:val="99"/>
    <w:rPr>
      <w:rFonts w:cs="Times New Roman"/>
      <w:b/>
      <w:i/>
      <w:sz w:val="24"/>
      <w:szCs w:val="24"/>
      <w:u w:val="single"/>
    </w:rPr>
  </w:style>
  <w:style w:type="character" w:customStyle="1" w:styleId="43">
    <w:name w:val="不明显参考1"/>
    <w:basedOn w:val="17"/>
    <w:qFormat/>
    <w:uiPriority w:val="99"/>
    <w:rPr>
      <w:rFonts w:cs="Times New Roman"/>
      <w:sz w:val="24"/>
      <w:szCs w:val="24"/>
      <w:u w:val="single"/>
    </w:rPr>
  </w:style>
  <w:style w:type="character" w:customStyle="1" w:styleId="44">
    <w:name w:val="明显参考1"/>
    <w:basedOn w:val="17"/>
    <w:qFormat/>
    <w:uiPriority w:val="99"/>
    <w:rPr>
      <w:rFonts w:cs="Times New Roman"/>
      <w:b/>
      <w:sz w:val="24"/>
      <w:u w:val="single"/>
    </w:rPr>
  </w:style>
  <w:style w:type="character" w:customStyle="1" w:styleId="45">
    <w:name w:val="书籍标题1"/>
    <w:basedOn w:val="17"/>
    <w:qFormat/>
    <w:uiPriority w:val="99"/>
    <w:rPr>
      <w:rFonts w:ascii="Cambria" w:hAnsi="Cambria" w:eastAsia="宋体" w:cs="Times New Roman"/>
      <w:b/>
      <w:i/>
      <w:sz w:val="24"/>
      <w:szCs w:val="24"/>
    </w:rPr>
  </w:style>
  <w:style w:type="paragraph" w:customStyle="1" w:styleId="46">
    <w:name w:val="TOC 标题1"/>
    <w:basedOn w:val="2"/>
    <w:next w:val="1"/>
    <w:semiHidden/>
    <w:qFormat/>
    <w:uiPriority w:val="99"/>
    <w:pPr>
      <w:outlineLvl w:val="9"/>
    </w:pPr>
    <w:rPr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6</Pages>
  <Words>359</Words>
  <Characters>2048</Characters>
  <Lines>0</Lines>
  <Paragraphs>0</Paragraphs>
  <TotalTime>5</TotalTime>
  <ScaleCrop>false</ScaleCrop>
  <LinksUpToDate>false</LinksUpToDate>
  <CharactersWithSpaces>0</CharactersWithSpaces>
  <Application>WPS Office_11.1.0.7932_F1E327BC-269C-435d-A152-05C5408002CA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周登攀</cp:lastModifiedBy>
  <cp:lastPrinted>2019-01-13T12:20:00Z</cp:lastPrinted>
  <dcterms:modified xsi:type="dcterms:W3CDTF">2019-02-25T05:33:51Z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2052-11.1.0.7932</vt:lpwstr>
  </property>
</Properties>
</file>