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ascii="宋体" w:hAnsi="宋体" w:eastAsia="宋体"/>
          <w:sz w:val="28"/>
          <w:szCs w:val="28"/>
        </w:rPr>
      </w:pPr>
      <w:bookmarkStart w:id="0" w:name="_GoBack"/>
      <w:bookmarkEnd w:id="0"/>
    </w:p>
    <w:p>
      <w:pPr>
        <w:spacing w:line="500" w:lineRule="exact"/>
        <w:jc w:val="center"/>
        <w:rPr>
          <w:rFonts w:ascii="宋体" w:hAnsi="宋体" w:eastAsia="宋体"/>
          <w:b/>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44"/>
          <w:szCs w:val="44"/>
        </w:rPr>
      </w:pPr>
      <w:r>
        <w:rPr>
          <w:rFonts w:ascii="宋体" w:hAnsi="宋体" w:eastAsia="宋体"/>
          <w:b/>
          <w:sz w:val="44"/>
          <w:szCs w:val="44"/>
        </w:rPr>
        <w:t>玛纳斯县人大项目支出绩效自评报告</w:t>
      </w:r>
    </w:p>
    <w:p>
      <w:pPr>
        <w:spacing w:line="500" w:lineRule="exact"/>
        <w:jc w:val="center"/>
        <w:rPr>
          <w:rFonts w:ascii="宋体" w:hAnsi="宋体" w:eastAsia="宋体"/>
          <w:b/>
          <w:sz w:val="28"/>
          <w:szCs w:val="28"/>
        </w:rPr>
      </w:pPr>
    </w:p>
    <w:p>
      <w:pPr>
        <w:spacing w:line="500" w:lineRule="exact"/>
        <w:jc w:val="center"/>
        <w:rPr>
          <w:rFonts w:ascii="宋体" w:hAnsi="宋体" w:eastAsia="宋体"/>
          <w:sz w:val="36"/>
          <w:szCs w:val="36"/>
        </w:rPr>
      </w:pPr>
      <w:r>
        <w:rPr>
          <w:rFonts w:ascii="宋体" w:hAnsi="宋体" w:eastAsia="宋体"/>
          <w:sz w:val="36"/>
          <w:szCs w:val="36"/>
        </w:rPr>
        <w:t>（201</w:t>
      </w:r>
      <w:r>
        <w:rPr>
          <w:rFonts w:hint="eastAsia" w:ascii="宋体" w:hAnsi="宋体" w:eastAsia="宋体"/>
          <w:sz w:val="36"/>
          <w:szCs w:val="36"/>
        </w:rPr>
        <w:t>8</w:t>
      </w:r>
      <w:r>
        <w:rPr>
          <w:rFonts w:ascii="宋体" w:hAnsi="宋体" w:eastAsia="宋体"/>
          <w:sz w:val="36"/>
          <w:szCs w:val="36"/>
        </w:rPr>
        <w:t>年度）</w:t>
      </w: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rPr>
          <w:rFonts w:ascii="宋体" w:hAnsi="宋体" w:eastAsia="宋体"/>
          <w:sz w:val="36"/>
          <w:szCs w:val="36"/>
        </w:rPr>
      </w:pPr>
    </w:p>
    <w:p>
      <w:pPr>
        <w:widowControl w:val="0"/>
        <w:spacing w:after="0" w:line="700" w:lineRule="exact"/>
        <w:jc w:val="left"/>
        <w:rPr>
          <w:rFonts w:hint="eastAsia" w:hAnsi="宋体" w:eastAsia="仿宋_GB2312" w:cs="宋体"/>
          <w:kern w:val="0"/>
          <w:sz w:val="36"/>
          <w:szCs w:val="36"/>
        </w:rPr>
      </w:pPr>
      <w:r>
        <w:rPr>
          <w:rFonts w:ascii="宋体" w:hAnsi="宋体" w:eastAsia="宋体"/>
          <w:sz w:val="36"/>
          <w:szCs w:val="36"/>
        </w:rPr>
        <w:t xml:space="preserve">    </w:t>
      </w:r>
      <w:r>
        <w:rPr>
          <w:rFonts w:hint="eastAsia" w:ascii="宋体" w:hAnsi="宋体" w:eastAsia="宋体"/>
          <w:sz w:val="36"/>
          <w:szCs w:val="36"/>
          <w:lang w:val="en-US" w:eastAsia="zh-CN"/>
        </w:rPr>
        <w:t xml:space="preserve"> </w:t>
      </w:r>
      <w:r>
        <w:rPr>
          <w:rFonts w:ascii="宋体" w:hAnsi="宋体" w:eastAsia="宋体"/>
          <w:sz w:val="36"/>
          <w:szCs w:val="36"/>
        </w:rPr>
        <w:t xml:space="preserve"> </w:t>
      </w:r>
      <w:r>
        <w:rPr>
          <w:rFonts w:hint="eastAsia" w:hAnsi="宋体" w:eastAsia="仿宋_GB2312" w:cs="宋体"/>
          <w:kern w:val="0"/>
          <w:sz w:val="36"/>
          <w:szCs w:val="36"/>
        </w:rPr>
        <w:t>项目名称：人大会议</w:t>
      </w:r>
    </w:p>
    <w:p>
      <w:pPr>
        <w:widowControl w:val="0"/>
        <w:spacing w:after="0"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实施单位（公章）：玛纳斯县人大</w:t>
      </w:r>
    </w:p>
    <w:p>
      <w:pPr>
        <w:widowControl w:val="0"/>
        <w:spacing w:after="0" w:line="700" w:lineRule="exact"/>
        <w:ind w:firstLine="1080" w:firstLineChars="300"/>
        <w:jc w:val="left"/>
        <w:rPr>
          <w:rFonts w:hint="eastAsia" w:hAnsi="宋体" w:eastAsia="仿宋_GB2312" w:cs="宋体"/>
          <w:kern w:val="0"/>
          <w:sz w:val="36"/>
          <w:szCs w:val="36"/>
        </w:rPr>
      </w:pPr>
      <w:r>
        <w:rPr>
          <w:rFonts w:hint="eastAsia" w:hAnsi="宋体" w:eastAsia="仿宋_GB2312" w:cs="宋体"/>
          <w:kern w:val="0"/>
          <w:sz w:val="36"/>
          <w:szCs w:val="36"/>
        </w:rPr>
        <w:t>主管部门（公章）：</w:t>
      </w:r>
    </w:p>
    <w:p>
      <w:pPr>
        <w:widowControl w:val="0"/>
        <w:spacing w:after="0" w:line="700" w:lineRule="exact"/>
        <w:ind w:firstLine="1080" w:firstLineChars="300"/>
        <w:jc w:val="left"/>
        <w:rPr>
          <w:rFonts w:hint="eastAsia" w:hAnsi="宋体" w:eastAsia="仿宋_GB2312" w:cs="宋体"/>
          <w:kern w:val="0"/>
          <w:sz w:val="36"/>
          <w:szCs w:val="36"/>
        </w:rPr>
      </w:pPr>
      <w:r>
        <w:rPr>
          <w:rFonts w:hint="eastAsia" w:hAnsi="宋体" w:eastAsia="仿宋_GB2312" w:cs="宋体"/>
          <w:kern w:val="0"/>
          <w:sz w:val="36"/>
          <w:szCs w:val="36"/>
        </w:rPr>
        <w:t>项目负责人（签章）：</w:t>
      </w:r>
    </w:p>
    <w:p>
      <w:pPr>
        <w:widowControl w:val="0"/>
        <w:spacing w:after="0" w:line="700" w:lineRule="exact"/>
        <w:ind w:firstLine="1080" w:firstLineChars="300"/>
        <w:jc w:val="left"/>
        <w:rPr>
          <w:rFonts w:hint="eastAsia" w:hAnsi="宋体" w:eastAsia="仿宋_GB2312" w:cs="宋体"/>
          <w:kern w:val="0"/>
          <w:sz w:val="36"/>
          <w:szCs w:val="36"/>
        </w:rPr>
      </w:pPr>
      <w:r>
        <w:rPr>
          <w:rFonts w:hint="eastAsia" w:hAnsi="宋体" w:eastAsia="仿宋_GB2312" w:cs="宋体"/>
          <w:kern w:val="0"/>
          <w:sz w:val="36"/>
          <w:szCs w:val="36"/>
        </w:rPr>
        <w:t>填报时间： 2019 年 2 月 12 日</w:t>
      </w:r>
    </w:p>
    <w:p>
      <w:pPr>
        <w:spacing w:line="500" w:lineRule="exact"/>
        <w:jc w:val="center"/>
        <w:rPr>
          <w:rFonts w:ascii="宋体" w:hAnsi="宋体" w:eastAsia="宋体"/>
          <w:sz w:val="36"/>
          <w:szCs w:val="36"/>
        </w:rPr>
      </w:pPr>
    </w:p>
    <w:p>
      <w:pPr>
        <w:spacing w:line="500" w:lineRule="exact"/>
        <w:rPr>
          <w:rStyle w:val="27"/>
          <w:rFonts w:ascii="宋体" w:hAnsi="宋体" w:eastAsia="宋体"/>
          <w:b w:val="0"/>
          <w:spacing w:val="-4"/>
          <w:sz w:val="28"/>
          <w:szCs w:val="28"/>
        </w:rPr>
      </w:pPr>
    </w:p>
    <w:p>
      <w:pPr>
        <w:spacing w:line="500" w:lineRule="exact"/>
        <w:ind w:firstLine="640"/>
        <w:rPr>
          <w:rStyle w:val="27"/>
          <w:rFonts w:ascii="宋体" w:hAnsi="宋体" w:eastAsia="宋体"/>
          <w:b w:val="0"/>
          <w:spacing w:val="-4"/>
          <w:sz w:val="28"/>
          <w:szCs w:val="28"/>
        </w:rPr>
      </w:pPr>
    </w:p>
    <w:p>
      <w:pPr>
        <w:spacing w:line="500" w:lineRule="exact"/>
        <w:rPr>
          <w:rStyle w:val="27"/>
          <w:rFonts w:ascii="宋体" w:hAnsi="宋体" w:eastAsia="宋体"/>
          <w:b w:val="0"/>
          <w:spacing w:val="-4"/>
          <w:sz w:val="28"/>
          <w:szCs w:val="28"/>
        </w:rPr>
      </w:pPr>
    </w:p>
    <w:p>
      <w:pPr>
        <w:spacing w:line="540" w:lineRule="exact"/>
        <w:ind w:firstLine="640"/>
        <w:rPr>
          <w:rStyle w:val="27"/>
          <w:rFonts w:hint="eastAsia" w:ascii="黑体" w:hAnsi="黑体" w:eastAsia="黑体"/>
          <w:b w:val="0"/>
          <w:spacing w:val="-4"/>
          <w:sz w:val="32"/>
          <w:szCs w:val="32"/>
        </w:rPr>
      </w:pPr>
      <w:r>
        <w:rPr>
          <w:rStyle w:val="27"/>
          <w:rFonts w:hint="eastAsia" w:ascii="黑体" w:hAnsi="黑体" w:eastAsia="黑体"/>
          <w:b w:val="0"/>
          <w:spacing w:val="-4"/>
          <w:sz w:val="32"/>
          <w:szCs w:val="32"/>
        </w:rPr>
        <w:t>一、项目概况</w:t>
      </w:r>
    </w:p>
    <w:p>
      <w:pPr>
        <w:spacing w:line="540" w:lineRule="exact"/>
        <w:ind w:firstLine="567"/>
        <w:rPr>
          <w:rStyle w:val="27"/>
          <w:rFonts w:hint="eastAsia" w:ascii="楷体" w:hAnsi="楷体" w:eastAsia="楷体"/>
          <w:spacing w:val="-4"/>
          <w:sz w:val="32"/>
          <w:szCs w:val="32"/>
        </w:rPr>
      </w:pPr>
      <w:r>
        <w:rPr>
          <w:rStyle w:val="27"/>
          <w:rFonts w:hint="eastAsia" w:ascii="楷体" w:hAnsi="楷体" w:eastAsia="楷体"/>
          <w:spacing w:val="-4"/>
          <w:sz w:val="32"/>
          <w:szCs w:val="32"/>
        </w:rPr>
        <w:t>（一）项目单位基本情况</w:t>
      </w:r>
    </w:p>
    <w:p>
      <w:pPr>
        <w:widowControl w:val="0"/>
        <w:spacing w:after="0" w:line="540" w:lineRule="exact"/>
        <w:ind w:firstLine="624" w:firstLineChars="200"/>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1、基本情况</w:t>
      </w:r>
    </w:p>
    <w:p>
      <w:pPr>
        <w:widowControl w:val="0"/>
        <w:spacing w:after="0" w:line="540" w:lineRule="exact"/>
        <w:ind w:firstLine="624" w:firstLineChars="200"/>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县人大为财政全额拨款的行政机关，负责全县人民代表大会、常务委员会和主任会议及其他重要会议的组织协调工作，每年要筹备召开人民代表大会，多次常委会会议及主任会议，会议经费由财政全额预算拨付。</w:t>
      </w:r>
    </w:p>
    <w:p>
      <w:pPr>
        <w:widowControl w:val="0"/>
        <w:spacing w:after="0" w:line="540" w:lineRule="exact"/>
        <w:ind w:firstLine="624" w:firstLineChars="200"/>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2．机构设置情况</w:t>
      </w:r>
    </w:p>
    <w:p>
      <w:pPr>
        <w:widowControl w:val="0"/>
        <w:spacing w:after="0" w:line="540" w:lineRule="exact"/>
        <w:ind w:firstLine="624" w:firstLineChars="200"/>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玛纳斯县人大常委会机关设办公室和4个工作委员会。</w:t>
      </w:r>
    </w:p>
    <w:p>
      <w:pPr>
        <w:widowControl w:val="0"/>
        <w:spacing w:after="0" w:line="540" w:lineRule="exact"/>
        <w:ind w:firstLine="624" w:firstLineChars="200"/>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县人大常委会设置办公室，为综合办事机构（挂人大信访接待室牌子）。四个工作委员会分别为法制工作委员会、财经工作委员会、教科文卫工作委员会、代表人事工作委员会。</w:t>
      </w:r>
    </w:p>
    <w:p>
      <w:pPr>
        <w:widowControl w:val="0"/>
        <w:spacing w:after="0" w:line="540" w:lineRule="exact"/>
        <w:ind w:firstLine="624" w:firstLineChars="200"/>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3．人员情况，包括当年变动情况及原因：2018年底共有19人，其中：在职人员18人（行政在职人员16人，工勤人员2人），离休1人；遗属1人。</w:t>
      </w:r>
    </w:p>
    <w:p>
      <w:pPr>
        <w:spacing w:line="540" w:lineRule="exact"/>
        <w:ind w:firstLine="567"/>
        <w:rPr>
          <w:rStyle w:val="27"/>
          <w:rFonts w:hint="eastAsia" w:ascii="楷体" w:hAnsi="楷体" w:eastAsia="楷体"/>
          <w:spacing w:val="-4"/>
          <w:sz w:val="32"/>
          <w:szCs w:val="32"/>
        </w:rPr>
      </w:pPr>
      <w:r>
        <w:rPr>
          <w:rStyle w:val="27"/>
          <w:rFonts w:hint="eastAsia" w:ascii="楷体" w:hAnsi="楷体" w:eastAsia="楷体"/>
          <w:spacing w:val="-4"/>
          <w:sz w:val="32"/>
          <w:szCs w:val="32"/>
        </w:rPr>
        <w:t>（二）项目预算绩效目标设定情况</w:t>
      </w:r>
    </w:p>
    <w:p>
      <w:pPr>
        <w:widowControl w:val="0"/>
        <w:spacing w:after="0" w:line="540" w:lineRule="exact"/>
        <w:ind w:firstLine="564" w:firstLineChars="181"/>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1、预期目标及阶段性目标；常委会围绕全县经济和社会发展大局，突出重点，认真开展工作监督。强化对监察机关、审判机关、检察机关工作监督，听取并审议了“一委两院”工作报告，建议监察委不断深化构建规范高效的监察制度体系，督促“两院”坚持严格执法、公正司法。</w:t>
      </w:r>
    </w:p>
    <w:p>
      <w:pPr>
        <w:widowControl w:val="0"/>
        <w:spacing w:after="0" w:line="540" w:lineRule="exact"/>
        <w:ind w:firstLine="564" w:firstLineChars="181"/>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2、项目基本性质：做为专项资金，我单位在资金管理使用上严格按照县委县政府对会议的要求和财政局专项资金使用规定，切实做到专户储存、专项管理</w:t>
      </w:r>
      <w:r>
        <w:rPr>
          <w:rStyle w:val="27"/>
          <w:rFonts w:hint="eastAsia" w:ascii="仿宋" w:hAnsi="仿宋" w:eastAsia="仿宋"/>
          <w:b w:val="0"/>
          <w:bCs/>
          <w:spacing w:val="-4"/>
          <w:w w:val="100"/>
          <w:kern w:val="2"/>
          <w:sz w:val="32"/>
          <w:szCs w:val="32"/>
          <w:shd w:val="clear"/>
          <w:lang w:eastAsia="zh-CN"/>
        </w:rPr>
        <w:t>及</w:t>
      </w:r>
      <w:r>
        <w:rPr>
          <w:rStyle w:val="27"/>
          <w:rFonts w:hint="eastAsia" w:ascii="仿宋" w:hAnsi="仿宋" w:eastAsia="仿宋"/>
          <w:b w:val="0"/>
          <w:bCs/>
          <w:spacing w:val="-4"/>
          <w:w w:val="100"/>
          <w:kern w:val="2"/>
          <w:sz w:val="32"/>
          <w:szCs w:val="32"/>
          <w:shd w:val="clear"/>
        </w:rPr>
        <w:t>于会议费用列支，确保专项经费的使用效益和安全。</w:t>
      </w:r>
    </w:p>
    <w:p>
      <w:pPr>
        <w:widowControl w:val="0"/>
        <w:spacing w:after="0" w:line="540" w:lineRule="exact"/>
        <w:ind w:firstLine="564" w:firstLineChars="181"/>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3、用途：召开玛纳斯县十七届人民代表大会第三次会议，确保会议顺利进行。</w:t>
      </w:r>
    </w:p>
    <w:p>
      <w:pPr>
        <w:widowControl w:val="0"/>
        <w:spacing w:after="0" w:line="540" w:lineRule="exact"/>
        <w:ind w:firstLine="564" w:firstLineChars="181"/>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4、主要内容及涉及范围：全县有县人大代表193人，列席代表93人，加上会议工作人员，每次参加会议人数约为340人左右。根据会议内容及天数预算会议经费。会议经费主要项目为：会议代表住宿费用、就餐费，农牧民代表误工补贴、人大代表培训费、会议资料证件费、会议材料打印费、会议宣传费、会议前期材料调研费用。</w:t>
      </w:r>
    </w:p>
    <w:p>
      <w:pPr>
        <w:spacing w:line="540" w:lineRule="exact"/>
        <w:ind w:firstLine="640"/>
        <w:rPr>
          <w:rStyle w:val="27"/>
          <w:rFonts w:hint="eastAsia" w:ascii="黑体" w:hAnsi="黑体" w:eastAsia="黑体"/>
          <w:b w:val="0"/>
          <w:spacing w:val="-4"/>
          <w:sz w:val="32"/>
          <w:szCs w:val="32"/>
        </w:rPr>
      </w:pPr>
      <w:r>
        <w:rPr>
          <w:rStyle w:val="27"/>
          <w:rFonts w:hint="eastAsia" w:ascii="黑体" w:hAnsi="黑体" w:eastAsia="黑体"/>
          <w:b w:val="0"/>
          <w:spacing w:val="-4"/>
          <w:sz w:val="32"/>
          <w:szCs w:val="32"/>
        </w:rPr>
        <w:t>二、项目资金使用及管理情况</w:t>
      </w:r>
    </w:p>
    <w:p>
      <w:pPr>
        <w:spacing w:line="540" w:lineRule="exact"/>
        <w:ind w:firstLine="567"/>
        <w:rPr>
          <w:rStyle w:val="27"/>
          <w:rFonts w:hint="eastAsia" w:ascii="楷体" w:hAnsi="楷体" w:eastAsia="楷体"/>
          <w:spacing w:val="-4"/>
          <w:sz w:val="32"/>
          <w:szCs w:val="32"/>
        </w:rPr>
      </w:pPr>
      <w:r>
        <w:rPr>
          <w:rStyle w:val="27"/>
          <w:rFonts w:hint="eastAsia" w:ascii="楷体" w:hAnsi="楷体" w:eastAsia="楷体"/>
          <w:spacing w:val="-4"/>
          <w:sz w:val="32"/>
          <w:szCs w:val="32"/>
        </w:rPr>
        <w:t>（一）项目资金安排落实、总投入等情况分析</w:t>
      </w:r>
    </w:p>
    <w:p>
      <w:pPr>
        <w:spacing w:line="500" w:lineRule="exact"/>
        <w:rPr>
          <w:rStyle w:val="27"/>
          <w:rFonts w:hint="eastAsia" w:ascii="仿宋" w:hAnsi="仿宋" w:eastAsia="仿宋"/>
          <w:b w:val="0"/>
          <w:bCs/>
          <w:spacing w:val="-4"/>
          <w:w w:val="100"/>
          <w:kern w:val="2"/>
          <w:sz w:val="32"/>
          <w:szCs w:val="32"/>
          <w:shd w:val="clear"/>
        </w:rPr>
      </w:pPr>
      <w:r>
        <w:rPr>
          <w:rFonts w:hint="eastAsia" w:ascii="宋体" w:hAnsi="宋体" w:eastAsia="宋体"/>
          <w:sz w:val="28"/>
          <w:szCs w:val="28"/>
        </w:rPr>
        <w:t xml:space="preserve">   </w:t>
      </w:r>
      <w:r>
        <w:rPr>
          <w:rStyle w:val="27"/>
          <w:rFonts w:hint="eastAsia" w:ascii="仿宋" w:hAnsi="仿宋" w:eastAsia="仿宋"/>
          <w:b w:val="0"/>
          <w:bCs/>
          <w:spacing w:val="-4"/>
          <w:w w:val="100"/>
          <w:kern w:val="2"/>
          <w:sz w:val="32"/>
          <w:szCs w:val="32"/>
          <w:shd w:val="clear"/>
        </w:rPr>
        <w:t xml:space="preserve"> 2018年1月召开县十七届人民代表大会第三次会议，此次会议县财政共安排经费22万元，主要用于支付会议代表住宿费用、就餐费、人大代表培训费、会议资料证件费、会议材料打印费、选票印制、横幅制作、摄像费用、车辆租赁费、公务用车运行费、会议前期调研费用等会议费用。</w:t>
      </w:r>
    </w:p>
    <w:p>
      <w:pPr>
        <w:spacing w:line="540" w:lineRule="exact"/>
        <w:ind w:firstLine="567"/>
        <w:rPr>
          <w:rStyle w:val="27"/>
          <w:rFonts w:hint="eastAsia" w:ascii="楷体" w:hAnsi="楷体" w:eastAsia="楷体"/>
          <w:spacing w:val="-4"/>
          <w:sz w:val="32"/>
          <w:szCs w:val="32"/>
        </w:rPr>
      </w:pPr>
      <w:r>
        <w:rPr>
          <w:rStyle w:val="27"/>
          <w:rFonts w:hint="eastAsia" w:ascii="楷体" w:hAnsi="楷体" w:eastAsia="楷体"/>
          <w:spacing w:val="-4"/>
          <w:sz w:val="32"/>
          <w:szCs w:val="32"/>
        </w:rPr>
        <w:t>（二）项目资金实际使用情况分析</w:t>
      </w:r>
    </w:p>
    <w:p>
      <w:pPr>
        <w:spacing w:line="500" w:lineRule="exact"/>
        <w:rPr>
          <w:rStyle w:val="27"/>
          <w:rFonts w:hint="eastAsia" w:ascii="仿宋" w:hAnsi="仿宋" w:eastAsia="仿宋"/>
          <w:b w:val="0"/>
          <w:bCs/>
          <w:spacing w:val="-4"/>
          <w:w w:val="100"/>
          <w:kern w:val="2"/>
          <w:sz w:val="32"/>
          <w:szCs w:val="32"/>
          <w:shd w:val="clear"/>
        </w:rPr>
      </w:pPr>
      <w:r>
        <w:rPr>
          <w:rStyle w:val="27"/>
          <w:rFonts w:hint="eastAsia" w:ascii="宋体" w:hAnsi="宋体" w:eastAsia="宋体"/>
          <w:b w:val="0"/>
          <w:spacing w:val="-4"/>
          <w:sz w:val="28"/>
          <w:szCs w:val="28"/>
        </w:rPr>
        <w:t xml:space="preserve">    </w:t>
      </w:r>
      <w:r>
        <w:rPr>
          <w:rStyle w:val="27"/>
          <w:rFonts w:hint="eastAsia" w:ascii="仿宋" w:hAnsi="仿宋" w:eastAsia="仿宋"/>
          <w:b w:val="0"/>
          <w:bCs/>
          <w:spacing w:val="-4"/>
          <w:w w:val="100"/>
          <w:kern w:val="2"/>
          <w:sz w:val="32"/>
          <w:szCs w:val="32"/>
          <w:shd w:val="clear"/>
        </w:rPr>
        <w:t>财政资金22万元，当年全部支付完成，没有结余。用于支付了会议代表住宿费用、就餐费、人大代表培训费、会议资料证件费、会议材料打印费、选票印制、横幅制作、摄像费用、车辆租赁费、公务用车运行费、会议前期调研费用等会议费用。</w:t>
      </w:r>
    </w:p>
    <w:p>
      <w:pPr>
        <w:spacing w:line="540" w:lineRule="exact"/>
        <w:ind w:firstLine="567"/>
        <w:rPr>
          <w:rStyle w:val="27"/>
          <w:rFonts w:hint="eastAsia" w:ascii="楷体" w:hAnsi="楷体" w:eastAsia="楷体"/>
          <w:spacing w:val="-4"/>
          <w:sz w:val="32"/>
          <w:szCs w:val="32"/>
        </w:rPr>
      </w:pPr>
      <w:r>
        <w:rPr>
          <w:rStyle w:val="27"/>
          <w:rFonts w:hint="eastAsia" w:ascii="楷体" w:hAnsi="楷体" w:eastAsia="楷体"/>
          <w:spacing w:val="-4"/>
          <w:sz w:val="32"/>
          <w:szCs w:val="32"/>
        </w:rPr>
        <w:t>（三）项目资金管理情况分析</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管理制度、办法的制定及执行情况：本着节俭办会的原则，提高会议经费的管理水平和使用效益，县人大严格执行中央八项规定，根据《人大机关财务制度》《内部控制制度》《公务管理制度》《车辆管理制度》等，明确各工作岗位的职责和权限，严格控制会议经费的开支使用。2017年会议经费全部用于会议费用的支出。</w:t>
      </w:r>
    </w:p>
    <w:p>
      <w:pPr>
        <w:spacing w:line="540" w:lineRule="exact"/>
        <w:ind w:firstLine="640"/>
        <w:rPr>
          <w:rStyle w:val="27"/>
          <w:rFonts w:hint="eastAsia" w:ascii="黑体" w:hAnsi="黑体" w:eastAsia="黑体"/>
          <w:b w:val="0"/>
          <w:spacing w:val="-4"/>
          <w:sz w:val="32"/>
          <w:szCs w:val="32"/>
        </w:rPr>
      </w:pPr>
      <w:r>
        <w:rPr>
          <w:rStyle w:val="27"/>
          <w:rFonts w:hint="eastAsia" w:ascii="黑体" w:hAnsi="黑体" w:eastAsia="黑体"/>
          <w:b w:val="0"/>
          <w:spacing w:val="-4"/>
          <w:sz w:val="32"/>
          <w:szCs w:val="32"/>
        </w:rPr>
        <w:t>三、项目组织实施情况</w:t>
      </w:r>
    </w:p>
    <w:p>
      <w:pPr>
        <w:spacing w:line="540" w:lineRule="exact"/>
        <w:ind w:firstLine="567"/>
        <w:rPr>
          <w:rStyle w:val="27"/>
          <w:rFonts w:hint="eastAsia" w:ascii="楷体" w:hAnsi="楷体" w:eastAsia="楷体"/>
          <w:spacing w:val="-4"/>
          <w:sz w:val="32"/>
          <w:szCs w:val="32"/>
        </w:rPr>
      </w:pPr>
      <w:r>
        <w:rPr>
          <w:rStyle w:val="27"/>
          <w:rFonts w:hint="eastAsia" w:ascii="楷体" w:hAnsi="楷体" w:eastAsia="楷体"/>
          <w:spacing w:val="-4"/>
          <w:sz w:val="32"/>
          <w:szCs w:val="32"/>
        </w:rPr>
        <w:t>（一）项目组织情况分析</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bCs/>
          <w:spacing w:val="-4"/>
          <w:w w:val="100"/>
          <w:kern w:val="2"/>
          <w:sz w:val="32"/>
          <w:szCs w:val="32"/>
          <w:shd w:val="clear"/>
          <w:lang w:val="en-US" w:eastAsia="zh-CN"/>
        </w:rPr>
      </w:pPr>
      <w:r>
        <w:rPr>
          <w:rStyle w:val="27"/>
          <w:rFonts w:hint="eastAsia" w:ascii="仿宋" w:hAnsi="仿宋" w:eastAsia="仿宋"/>
          <w:b w:val="0"/>
          <w:bCs/>
          <w:spacing w:val="-4"/>
          <w:w w:val="100"/>
          <w:kern w:val="2"/>
          <w:sz w:val="32"/>
          <w:szCs w:val="32"/>
          <w:shd w:val="clear"/>
          <w:lang w:val="en-US" w:eastAsia="zh-CN"/>
        </w:rPr>
        <w:t>2018年项目投资</w:t>
      </w:r>
      <w:r>
        <w:rPr>
          <w:rStyle w:val="27"/>
          <w:rFonts w:hint="eastAsia" w:ascii="仿宋" w:hAnsi="仿宋" w:eastAsia="仿宋"/>
          <w:b w:val="0"/>
          <w:bCs/>
          <w:spacing w:val="-4"/>
          <w:w w:val="100"/>
          <w:kern w:val="2"/>
          <w:sz w:val="32"/>
          <w:szCs w:val="32"/>
          <w:shd w:val="clear"/>
        </w:rPr>
        <w:t>22万元，主要用于支付会议代表住宿费用、就餐费、人大代表培训费、会议资料证件费、会议材料打印费、选票印制、横幅制作、摄像费用、车辆租赁费、公务用车运行费、会议前期调研费用等会议费用。</w:t>
      </w:r>
      <w:r>
        <w:rPr>
          <w:rStyle w:val="27"/>
          <w:rFonts w:hint="eastAsia" w:ascii="仿宋" w:hAnsi="仿宋" w:eastAsia="仿宋"/>
          <w:b w:val="0"/>
          <w:bCs/>
          <w:spacing w:val="-4"/>
          <w:w w:val="100"/>
          <w:kern w:val="2"/>
          <w:sz w:val="32"/>
          <w:szCs w:val="32"/>
          <w:shd w:val="clear"/>
          <w:lang w:eastAsia="zh-CN"/>
        </w:rPr>
        <w:t>单位经费转款转用，无其他支出。</w:t>
      </w:r>
    </w:p>
    <w:p>
      <w:pPr>
        <w:spacing w:line="540" w:lineRule="exact"/>
        <w:ind w:firstLine="567"/>
        <w:rPr>
          <w:rStyle w:val="27"/>
          <w:rFonts w:hint="eastAsia" w:ascii="楷体" w:hAnsi="楷体" w:eastAsia="楷体"/>
          <w:spacing w:val="-4"/>
          <w:sz w:val="32"/>
          <w:szCs w:val="32"/>
        </w:rPr>
      </w:pPr>
      <w:r>
        <w:rPr>
          <w:rStyle w:val="27"/>
          <w:rFonts w:hint="eastAsia" w:ascii="楷体" w:hAnsi="楷体" w:eastAsia="楷体"/>
          <w:spacing w:val="-4"/>
          <w:sz w:val="32"/>
          <w:szCs w:val="32"/>
        </w:rPr>
        <w:t>（二）项目管理情况分析</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bCs/>
          <w:spacing w:val="-4"/>
          <w:w w:val="100"/>
          <w:kern w:val="2"/>
          <w:sz w:val="32"/>
          <w:szCs w:val="32"/>
          <w:shd w:val="clear"/>
          <w:lang w:eastAsia="zh-CN"/>
        </w:rPr>
      </w:pPr>
      <w:r>
        <w:rPr>
          <w:rStyle w:val="27"/>
          <w:rFonts w:hint="eastAsia" w:ascii="仿宋" w:hAnsi="仿宋" w:eastAsia="仿宋"/>
          <w:b w:val="0"/>
          <w:bCs/>
          <w:spacing w:val="-4"/>
          <w:w w:val="100"/>
          <w:kern w:val="2"/>
          <w:sz w:val="32"/>
          <w:szCs w:val="32"/>
          <w:shd w:val="clear"/>
        </w:rPr>
        <w:t>管理制度、办法的制定及执行情况：本着节俭办会的原则，提高会议经费的管理水平和使用效益，县人大严格执行中央八项规定，根据《人大机关财务制度》《内部控制制度》《公务管理制度》《车辆管理制度》等，明确各工作岗位的职责和权限，严格控制办公经费的开支使用</w:t>
      </w:r>
      <w:r>
        <w:rPr>
          <w:rStyle w:val="27"/>
          <w:rFonts w:hint="eastAsia" w:ascii="仿宋" w:hAnsi="仿宋" w:eastAsia="仿宋"/>
          <w:b w:val="0"/>
          <w:bCs/>
          <w:spacing w:val="-4"/>
          <w:w w:val="100"/>
          <w:kern w:val="2"/>
          <w:sz w:val="32"/>
          <w:szCs w:val="32"/>
          <w:shd w:val="clear"/>
          <w:lang w:eastAsia="zh-CN"/>
        </w:rPr>
        <w:t>。经费专款专用。</w:t>
      </w:r>
    </w:p>
    <w:p>
      <w:pPr>
        <w:spacing w:line="540" w:lineRule="exact"/>
        <w:ind w:firstLine="640"/>
        <w:rPr>
          <w:rStyle w:val="27"/>
          <w:rFonts w:hint="eastAsia" w:ascii="黑体" w:hAnsi="黑体" w:eastAsia="黑体"/>
          <w:b w:val="0"/>
          <w:spacing w:val="-4"/>
          <w:sz w:val="32"/>
          <w:szCs w:val="32"/>
        </w:rPr>
      </w:pPr>
      <w:r>
        <w:rPr>
          <w:rStyle w:val="27"/>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spacing w:val="-4"/>
          <w:sz w:val="32"/>
          <w:szCs w:val="32"/>
        </w:rPr>
      </w:pPr>
      <w:r>
        <w:rPr>
          <w:rStyle w:val="27"/>
          <w:rFonts w:hint="eastAsia" w:ascii="仿宋" w:hAnsi="仿宋" w:eastAsia="仿宋"/>
          <w:b w:val="0"/>
          <w:bCs/>
          <w:spacing w:val="-4"/>
          <w:w w:val="100"/>
          <w:kern w:val="2"/>
          <w:sz w:val="32"/>
          <w:szCs w:val="32"/>
          <w:shd w:val="clear"/>
        </w:rPr>
        <w:t>县人大2018年度人大会议项目支出都按预算的目标完成。召开会议时严格按照会议经费的预算标准执行，会议经费全部用于会议代表餐费、代表住宿费、会议用品购置、材料打印、会议宣传等会议费用，无超标准接待、乱用、挪用会议费用情况，保障了人大会议的正常进行。</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bCs/>
          <w:spacing w:val="-4"/>
          <w:w w:val="100"/>
          <w:kern w:val="2"/>
          <w:sz w:val="32"/>
          <w:szCs w:val="32"/>
          <w:shd w:val="clear"/>
          <w:lang w:eastAsia="zh-CN"/>
        </w:rPr>
      </w:pPr>
      <w:r>
        <w:rPr>
          <w:rStyle w:val="27"/>
          <w:rFonts w:hint="eastAsia" w:ascii="仿宋" w:hAnsi="仿宋" w:eastAsia="仿宋"/>
          <w:b w:val="0"/>
          <w:bCs/>
          <w:spacing w:val="-4"/>
          <w:w w:val="100"/>
          <w:kern w:val="2"/>
          <w:sz w:val="32"/>
          <w:szCs w:val="32"/>
          <w:shd w:val="clear"/>
          <w:lang w:eastAsia="zh-CN"/>
        </w:rPr>
        <w:t>无</w:t>
      </w:r>
    </w:p>
    <w:p>
      <w:pPr>
        <w:spacing w:line="540" w:lineRule="exact"/>
        <w:ind w:firstLine="640"/>
        <w:rPr>
          <w:rStyle w:val="27"/>
          <w:rFonts w:hint="eastAsia" w:ascii="黑体" w:hAnsi="黑体" w:eastAsia="黑体"/>
          <w:b w:val="0"/>
          <w:spacing w:val="-4"/>
          <w:sz w:val="32"/>
          <w:szCs w:val="32"/>
        </w:rPr>
      </w:pPr>
      <w:r>
        <w:rPr>
          <w:rStyle w:val="27"/>
          <w:rFonts w:hint="eastAsia" w:ascii="黑体" w:hAnsi="黑体" w:eastAsia="黑体"/>
          <w:b w:val="0"/>
          <w:spacing w:val="-4"/>
          <w:sz w:val="32"/>
          <w:szCs w:val="32"/>
        </w:rPr>
        <w:t>五、其他需要说明的问题</w:t>
      </w:r>
    </w:p>
    <w:p>
      <w:pPr>
        <w:spacing w:line="540" w:lineRule="exact"/>
        <w:ind w:firstLine="567"/>
        <w:rPr>
          <w:rStyle w:val="27"/>
          <w:rFonts w:hint="eastAsia" w:ascii="楷体" w:hAnsi="楷体" w:eastAsia="楷体"/>
          <w:spacing w:val="-4"/>
          <w:sz w:val="32"/>
          <w:szCs w:val="32"/>
        </w:rPr>
      </w:pPr>
      <w:r>
        <w:rPr>
          <w:rStyle w:val="27"/>
          <w:rFonts w:hint="eastAsia" w:ascii="楷体" w:hAnsi="楷体" w:eastAsia="楷体"/>
          <w:spacing w:val="-4"/>
          <w:sz w:val="32"/>
          <w:szCs w:val="32"/>
        </w:rPr>
        <w:t>（一）后续工作计划</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继续做好全县人民代表大会、常务委员会和主任会议及其他重要会议的组织协调工作</w:t>
      </w:r>
    </w:p>
    <w:p>
      <w:pPr>
        <w:spacing w:line="540" w:lineRule="exact"/>
        <w:ind w:firstLine="567"/>
        <w:jc w:val="left"/>
        <w:rPr>
          <w:rStyle w:val="27"/>
          <w:rFonts w:hint="eastAsia" w:ascii="楷体" w:hAnsi="楷体" w:eastAsia="楷体"/>
          <w:spacing w:val="-4"/>
          <w:sz w:val="32"/>
          <w:szCs w:val="32"/>
        </w:rPr>
      </w:pPr>
      <w:r>
        <w:rPr>
          <w:rStyle w:val="27"/>
          <w:rFonts w:hint="eastAsia" w:ascii="楷体" w:hAnsi="楷体" w:eastAsia="楷体"/>
          <w:spacing w:val="-4"/>
          <w:sz w:val="32"/>
          <w:szCs w:val="32"/>
        </w:rPr>
        <w:t>（二）主要经验及做法、存在问题和建议</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在今后的工作中，我们将进一步强化法治意识，提高管理水平，坚持专款专用，重点使用原则，监督、管理好专项资金。加大督促检查工作力度，及时向上级部门反馈各项专项资金的使用情况，提高工作效率和科学化管理水平，保证专项资金安全有效的使用，促进我单位工作全面发展。</w:t>
      </w:r>
    </w:p>
    <w:p>
      <w:pPr>
        <w:spacing w:line="540" w:lineRule="exact"/>
        <w:ind w:firstLine="640"/>
        <w:rPr>
          <w:rStyle w:val="27"/>
          <w:rFonts w:hint="eastAsia" w:ascii="黑体" w:hAnsi="黑体" w:eastAsia="黑体"/>
          <w:b w:val="0"/>
          <w:spacing w:val="-4"/>
          <w:sz w:val="32"/>
          <w:szCs w:val="32"/>
        </w:rPr>
      </w:pPr>
      <w:r>
        <w:rPr>
          <w:rStyle w:val="27"/>
          <w:rFonts w:hint="eastAsia" w:ascii="黑体" w:hAnsi="黑体" w:eastAsia="黑体"/>
          <w:b w:val="0"/>
          <w:spacing w:val="-4"/>
          <w:sz w:val="32"/>
          <w:szCs w:val="32"/>
        </w:rPr>
        <w:t>六、项目评价工作情况</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县人大2018年度人大会议项目支出都按预算的目标完成。召开会议时严格按照会议经费的预算标准执行，会议经费全部用于会议代表餐费、代表住宿费、会议用品购置、材料打印、会议宣传等会议费用，无超标准接待、乱用、挪用会议费用情况。</w:t>
      </w:r>
    </w:p>
    <w:p>
      <w:pPr>
        <w:spacing w:line="540" w:lineRule="exact"/>
        <w:ind w:firstLine="640"/>
        <w:rPr>
          <w:rStyle w:val="27"/>
          <w:rFonts w:hint="eastAsia" w:ascii="黑体" w:hAnsi="黑体" w:eastAsia="黑体"/>
          <w:b w:val="0"/>
          <w:spacing w:val="-4"/>
          <w:sz w:val="32"/>
          <w:szCs w:val="32"/>
        </w:rPr>
      </w:pPr>
      <w:r>
        <w:rPr>
          <w:rStyle w:val="27"/>
          <w:rFonts w:hint="eastAsia" w:ascii="黑体" w:hAnsi="黑体" w:eastAsia="黑体"/>
          <w:b w:val="0"/>
          <w:spacing w:val="-4"/>
          <w:sz w:val="32"/>
          <w:szCs w:val="32"/>
        </w:rPr>
        <w:t>七、附表</w:t>
      </w:r>
    </w:p>
    <w:p>
      <w:pPr>
        <w:keepNext w:val="0"/>
        <w:keepLines w:val="0"/>
        <w:pageBreakBefore w:val="0"/>
        <w:widowControl/>
        <w:kinsoku/>
        <w:wordWrap/>
        <w:overflowPunct/>
        <w:topLinePunct w:val="0"/>
        <w:autoSpaceDE/>
        <w:autoSpaceDN/>
        <w:bidi w:val="0"/>
        <w:adjustRightInd/>
        <w:snapToGrid/>
        <w:spacing w:line="500" w:lineRule="exact"/>
        <w:ind w:firstLine="624" w:firstLineChars="200"/>
        <w:textAlignment w:val="auto"/>
        <w:rPr>
          <w:rStyle w:val="27"/>
          <w:rFonts w:hint="eastAsia" w:ascii="仿宋" w:hAnsi="仿宋" w:eastAsia="仿宋"/>
          <w:b w:val="0"/>
          <w:bCs/>
          <w:spacing w:val="-4"/>
          <w:w w:val="100"/>
          <w:kern w:val="2"/>
          <w:sz w:val="32"/>
          <w:szCs w:val="32"/>
          <w:shd w:val="clear"/>
        </w:rPr>
      </w:pPr>
      <w:r>
        <w:rPr>
          <w:rStyle w:val="27"/>
          <w:rFonts w:hint="eastAsia" w:ascii="仿宋" w:hAnsi="仿宋" w:eastAsia="仿宋"/>
          <w:b w:val="0"/>
          <w:bCs/>
          <w:spacing w:val="-4"/>
          <w:w w:val="100"/>
          <w:kern w:val="2"/>
          <w:sz w:val="32"/>
          <w:szCs w:val="32"/>
          <w:shd w:val="clear"/>
        </w:rPr>
        <w:t>《玛纳斯县财政项目支出绩效自评表》</w:t>
      </w:r>
    </w:p>
    <w:p>
      <w:pPr>
        <w:spacing w:line="500" w:lineRule="exact"/>
        <w:ind w:firstLine="567"/>
        <w:rPr>
          <w:rStyle w:val="27"/>
          <w:rFonts w:ascii="宋体" w:hAnsi="宋体" w:eastAsia="宋体"/>
          <w:b w:val="0"/>
          <w:spacing w:val="-4"/>
          <w:sz w:val="28"/>
          <w:szCs w:val="28"/>
        </w:rPr>
      </w:pPr>
    </w:p>
    <w:p>
      <w:pPr>
        <w:spacing w:line="500" w:lineRule="exact"/>
        <w:ind w:firstLine="567"/>
        <w:rPr>
          <w:rStyle w:val="27"/>
          <w:rFonts w:ascii="宋体" w:hAnsi="宋体" w:eastAsia="宋体"/>
          <w:b w:val="0"/>
          <w:spacing w:val="-4"/>
          <w:sz w:val="28"/>
          <w:szCs w:val="28"/>
        </w:rPr>
      </w:pPr>
    </w:p>
    <w:p>
      <w:pPr>
        <w:spacing w:line="500" w:lineRule="exact"/>
        <w:ind w:firstLine="567"/>
        <w:rPr>
          <w:rStyle w:val="27"/>
          <w:rFonts w:ascii="宋体" w:hAnsi="宋体" w:eastAsia="宋体"/>
          <w:b w:val="0"/>
          <w:spacing w:val="-4"/>
          <w:sz w:val="28"/>
          <w:szCs w:val="28"/>
        </w:rPr>
      </w:pPr>
    </w:p>
    <w:p>
      <w:pPr>
        <w:spacing w:line="500" w:lineRule="exact"/>
        <w:ind w:firstLine="567"/>
        <w:rPr>
          <w:rStyle w:val="27"/>
          <w:rFonts w:ascii="宋体" w:hAnsi="宋体" w:eastAsia="宋体"/>
          <w:b w:val="0"/>
          <w:spacing w:val="-4"/>
          <w:sz w:val="28"/>
          <w:szCs w:val="28"/>
        </w:rPr>
      </w:pPr>
    </w:p>
    <w:tbl>
      <w:tblPr>
        <w:tblStyle w:val="25"/>
        <w:tblW w:w="9020" w:type="dxa"/>
        <w:tblInd w:w="93" w:type="dxa"/>
        <w:tblLayout w:type="fixed"/>
        <w:tblCellMar>
          <w:top w:w="0" w:type="dxa"/>
          <w:left w:w="108" w:type="dxa"/>
          <w:bottom w:w="0" w:type="dxa"/>
          <w:right w:w="108" w:type="dxa"/>
        </w:tblCellMar>
      </w:tblPr>
      <w:tblGrid>
        <w:gridCol w:w="720"/>
        <w:gridCol w:w="1140"/>
        <w:gridCol w:w="1360"/>
        <w:gridCol w:w="1080"/>
        <w:gridCol w:w="980"/>
        <w:gridCol w:w="19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000000" w:fill="auto"/>
            <w:vAlign w:val="center"/>
          </w:tcPr>
          <w:p>
            <w:pPr>
              <w:spacing w:line="500" w:lineRule="exact"/>
              <w:jc w:val="center"/>
              <w:rPr>
                <w:rFonts w:ascii="宋体" w:hAnsi="宋体" w:eastAsia="宋体"/>
                <w:b/>
                <w:sz w:val="28"/>
                <w:szCs w:val="28"/>
              </w:rPr>
            </w:pPr>
            <w:r>
              <w:rPr>
                <w:rFonts w:ascii="宋体" w:hAnsi="宋体" w:eastAsia="宋体"/>
                <w:b/>
                <w:sz w:val="28"/>
                <w:szCs w:val="28"/>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r>
              <w:rPr>
                <w:rFonts w:ascii="宋体" w:hAnsi="宋体" w:eastAsia="宋体"/>
                <w:sz w:val="28"/>
                <w:szCs w:val="28"/>
              </w:rPr>
              <w:t>（ 201</w:t>
            </w:r>
            <w:r>
              <w:rPr>
                <w:rFonts w:hint="eastAsia" w:ascii="宋体" w:hAnsi="宋体" w:eastAsia="宋体"/>
                <w:sz w:val="28"/>
                <w:szCs w:val="28"/>
              </w:rPr>
              <w:t>8</w:t>
            </w:r>
            <w:r>
              <w:rPr>
                <w:rFonts w:ascii="宋体" w:hAnsi="宋体" w:eastAsia="宋体"/>
                <w:sz w:val="28"/>
                <w:szCs w:val="28"/>
              </w:rPr>
              <w:t xml:space="preserve"> 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14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36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08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98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96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78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人大会议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玛纳斯县人大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预算</w:t>
            </w:r>
            <w:r>
              <w:rPr>
                <w:rFonts w:hint="eastAsia" w:ascii="宋体" w:hAnsi="宋体" w:eastAsia="宋体" w:cs="宋体"/>
                <w:sz w:val="20"/>
                <w:szCs w:val="20"/>
              </w:rPr>
              <w:br w:type="textWrapping" w:clear="all"/>
            </w:r>
            <w:r>
              <w:rPr>
                <w:rFonts w:hint="eastAsia" w:ascii="宋体" w:hAnsi="宋体" w:eastAsia="宋体" w:cs="宋体"/>
                <w:sz w:val="20"/>
                <w:szCs w:val="20"/>
              </w:rPr>
              <w:t>执行</w:t>
            </w:r>
            <w:r>
              <w:rPr>
                <w:rFonts w:hint="eastAsia" w:ascii="宋体" w:hAnsi="宋体" w:eastAsia="宋体" w:cs="宋体"/>
                <w:sz w:val="20"/>
                <w:szCs w:val="20"/>
              </w:rPr>
              <w:br w:type="textWrapping" w:clear="all"/>
            </w:r>
            <w:r>
              <w:rPr>
                <w:rFonts w:hint="eastAsia" w:ascii="宋体" w:hAnsi="宋体" w:eastAsia="宋体" w:cs="宋体"/>
                <w:sz w:val="20"/>
                <w:szCs w:val="20"/>
              </w:rPr>
              <w:t>情况</w:t>
            </w:r>
            <w:r>
              <w:rPr>
                <w:rFonts w:hint="eastAsia" w:ascii="宋体" w:hAnsi="宋体" w:eastAsia="宋体" w:cs="宋体"/>
                <w:sz w:val="20"/>
                <w:szCs w:val="20"/>
              </w:rPr>
              <w:br w:type="textWrapping" w:clear="all"/>
            </w:r>
            <w:r>
              <w:rPr>
                <w:rFonts w:hint="eastAsia" w:ascii="宋体" w:hAnsi="宋体" w:eastAsia="宋体" w:cs="宋体"/>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预算数：</w:t>
            </w:r>
          </w:p>
        </w:tc>
        <w:tc>
          <w:tcPr>
            <w:tcW w:w="2060" w:type="dxa"/>
            <w:gridSpan w:val="2"/>
            <w:tcBorders>
              <w:top w:val="single" w:color="auto" w:sz="4" w:space="0"/>
              <w:left w:val="nil"/>
              <w:bottom w:val="single" w:color="auto" w:sz="4" w:space="0"/>
              <w:right w:val="single" w:color="000000"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22万元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执行数：</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22万元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250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right"/>
              <w:rPr>
                <w:rFonts w:hint="eastAsia" w:ascii="宋体" w:hAnsi="宋体" w:eastAsia="宋体" w:cs="宋体"/>
                <w:sz w:val="20"/>
                <w:szCs w:val="20"/>
              </w:rPr>
            </w:pPr>
            <w:r>
              <w:rPr>
                <w:rFonts w:hint="eastAsia" w:ascii="宋体" w:hAnsi="宋体" w:eastAsia="宋体" w:cs="宋体"/>
                <w:sz w:val="20"/>
                <w:szCs w:val="20"/>
              </w:rPr>
              <w:t>其中：财政拨款</w:t>
            </w:r>
          </w:p>
        </w:tc>
        <w:tc>
          <w:tcPr>
            <w:tcW w:w="2060" w:type="dxa"/>
            <w:gridSpan w:val="2"/>
            <w:tcBorders>
              <w:top w:val="single" w:color="auto" w:sz="4" w:space="0"/>
              <w:left w:val="nil"/>
              <w:bottom w:val="single" w:color="auto" w:sz="4" w:space="0"/>
              <w:right w:val="single" w:color="000000"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22万元</w:t>
            </w:r>
          </w:p>
        </w:tc>
        <w:tc>
          <w:tcPr>
            <w:tcW w:w="1960" w:type="dxa"/>
            <w:tcBorders>
              <w:top w:val="nil"/>
              <w:left w:val="nil"/>
              <w:bottom w:val="nil"/>
              <w:right w:val="single" w:color="auto" w:sz="4" w:space="0"/>
            </w:tcBorders>
            <w:shd w:val="clear" w:color="000000" w:fill="auto"/>
            <w:vAlign w:val="center"/>
          </w:tcPr>
          <w:p>
            <w:pPr>
              <w:spacing w:line="500" w:lineRule="exact"/>
              <w:jc w:val="right"/>
              <w:rPr>
                <w:rFonts w:hint="eastAsia" w:ascii="宋体" w:hAnsi="宋体" w:eastAsia="宋体" w:cs="宋体"/>
                <w:sz w:val="20"/>
                <w:szCs w:val="20"/>
              </w:rPr>
            </w:pPr>
            <w:r>
              <w:rPr>
                <w:rFonts w:hint="eastAsia" w:ascii="宋体" w:hAnsi="宋体" w:eastAsia="宋体" w:cs="宋体"/>
                <w:sz w:val="20"/>
                <w:szCs w:val="20"/>
              </w:rPr>
              <w:t>其中：财政拨款</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22万元　</w:t>
            </w:r>
          </w:p>
        </w:tc>
      </w:tr>
      <w:tr>
        <w:tblPrEx>
          <w:tblLayout w:type="fixed"/>
          <w:tblCellMar>
            <w:top w:w="0" w:type="dxa"/>
            <w:left w:w="108" w:type="dxa"/>
            <w:bottom w:w="0" w:type="dxa"/>
            <w:right w:w="108" w:type="dxa"/>
          </w:tblCellMar>
        </w:tblPrEx>
        <w:trPr>
          <w:trHeight w:val="921" w:hRule="atLeast"/>
        </w:trPr>
        <w:tc>
          <w:tcPr>
            <w:tcW w:w="72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250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right"/>
              <w:rPr>
                <w:rFonts w:hint="eastAsia" w:ascii="宋体" w:hAnsi="宋体" w:eastAsia="宋体" w:cs="宋体"/>
                <w:sz w:val="20"/>
                <w:szCs w:val="20"/>
              </w:rPr>
            </w:pPr>
            <w:r>
              <w:rPr>
                <w:rFonts w:hint="eastAsia" w:ascii="宋体" w:hAnsi="宋体" w:eastAsia="宋体" w:cs="宋体"/>
                <w:sz w:val="20"/>
                <w:szCs w:val="20"/>
              </w:rPr>
              <w:t>其他资金</w:t>
            </w:r>
          </w:p>
        </w:tc>
        <w:tc>
          <w:tcPr>
            <w:tcW w:w="2060" w:type="dxa"/>
            <w:gridSpan w:val="2"/>
            <w:tcBorders>
              <w:top w:val="single" w:color="auto" w:sz="4" w:space="0"/>
              <w:left w:val="nil"/>
              <w:bottom w:val="single" w:color="auto" w:sz="4" w:space="0"/>
              <w:right w:val="single" w:color="000000"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　</w:t>
            </w:r>
          </w:p>
        </w:tc>
        <w:tc>
          <w:tcPr>
            <w:tcW w:w="1960" w:type="dxa"/>
            <w:tcBorders>
              <w:top w:val="single" w:color="auto" w:sz="4" w:space="0"/>
              <w:left w:val="nil"/>
              <w:bottom w:val="nil"/>
              <w:right w:val="single" w:color="auto" w:sz="4" w:space="0"/>
            </w:tcBorders>
            <w:shd w:val="clear" w:color="000000" w:fill="auto"/>
            <w:vAlign w:val="center"/>
          </w:tcPr>
          <w:p>
            <w:pPr>
              <w:spacing w:line="500" w:lineRule="exact"/>
              <w:jc w:val="right"/>
              <w:rPr>
                <w:rFonts w:hint="eastAsia" w:ascii="宋体" w:hAnsi="宋体" w:eastAsia="宋体" w:cs="宋体"/>
                <w:sz w:val="20"/>
                <w:szCs w:val="20"/>
              </w:rPr>
            </w:pPr>
            <w:r>
              <w:rPr>
                <w:rFonts w:hint="eastAsia" w:ascii="宋体" w:hAnsi="宋体" w:eastAsia="宋体" w:cs="宋体"/>
                <w:sz w:val="20"/>
                <w:szCs w:val="20"/>
              </w:rPr>
              <w:t>其他资金</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righ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年度</w:t>
            </w:r>
            <w:r>
              <w:rPr>
                <w:rFonts w:hint="eastAsia" w:ascii="宋体" w:hAnsi="宋体" w:eastAsia="宋体" w:cs="宋体"/>
                <w:sz w:val="20"/>
                <w:szCs w:val="20"/>
              </w:rPr>
              <w:br w:type="textWrapping" w:clear="all"/>
            </w:r>
            <w:r>
              <w:rPr>
                <w:rFonts w:hint="eastAsia" w:ascii="宋体" w:hAnsi="宋体" w:eastAsia="宋体" w:cs="宋体"/>
                <w:sz w:val="20"/>
                <w:szCs w:val="20"/>
              </w:rPr>
              <w:t>目标</w:t>
            </w:r>
            <w:r>
              <w:rPr>
                <w:rFonts w:hint="eastAsia" w:ascii="宋体" w:hAnsi="宋体" w:eastAsia="宋体" w:cs="宋体"/>
                <w:sz w:val="20"/>
                <w:szCs w:val="20"/>
              </w:rPr>
              <w:br w:type="textWrapping" w:clear="all"/>
            </w:r>
            <w:r>
              <w:rPr>
                <w:rFonts w:hint="eastAsia" w:ascii="宋体" w:hAnsi="宋体" w:eastAsia="宋体" w:cs="宋体"/>
                <w:sz w:val="20"/>
                <w:szCs w:val="20"/>
              </w:rPr>
              <w:t>完成</w:t>
            </w:r>
            <w:r>
              <w:rPr>
                <w:rFonts w:hint="eastAsia" w:ascii="宋体" w:hAnsi="宋体" w:eastAsia="宋体" w:cs="宋体"/>
                <w:sz w:val="20"/>
                <w:szCs w:val="20"/>
              </w:rPr>
              <w:br w:type="textWrapping" w:clear="all"/>
            </w:r>
            <w:r>
              <w:rPr>
                <w:rFonts w:hint="eastAsia" w:ascii="宋体" w:hAnsi="宋体" w:eastAsia="宋体" w:cs="宋体"/>
                <w:sz w:val="20"/>
                <w:szCs w:val="20"/>
              </w:rPr>
              <w:t>情况</w:t>
            </w:r>
          </w:p>
        </w:tc>
        <w:tc>
          <w:tcPr>
            <w:tcW w:w="4560" w:type="dxa"/>
            <w:gridSpan w:val="4"/>
            <w:tcBorders>
              <w:top w:val="single" w:color="auto" w:sz="4" w:space="0"/>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预期目标</w:t>
            </w:r>
          </w:p>
        </w:tc>
        <w:tc>
          <w:tcPr>
            <w:tcW w:w="374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实际完成目标</w:t>
            </w:r>
          </w:p>
        </w:tc>
      </w:tr>
      <w:tr>
        <w:tblPrEx>
          <w:tblLayout w:type="fixed"/>
          <w:tblCellMar>
            <w:top w:w="0" w:type="dxa"/>
            <w:left w:w="108" w:type="dxa"/>
            <w:bottom w:w="0" w:type="dxa"/>
            <w:right w:w="108" w:type="dxa"/>
          </w:tblCellMar>
        </w:tblPrEx>
        <w:trPr>
          <w:trHeight w:val="1132" w:hRule="atLeast"/>
        </w:trPr>
        <w:tc>
          <w:tcPr>
            <w:tcW w:w="72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4560" w:type="dxa"/>
            <w:gridSpan w:val="4"/>
            <w:tcBorders>
              <w:top w:val="single" w:color="auto" w:sz="4" w:space="0"/>
              <w:left w:val="nil"/>
              <w:bottom w:val="single" w:color="auto" w:sz="4" w:space="0"/>
              <w:right w:val="single" w:color="000000" w:sz="4" w:space="0"/>
            </w:tcBorders>
            <w:shd w:val="clear" w:color="000000" w:fill="auto"/>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保证人大会议顺利召开。</w:t>
            </w:r>
          </w:p>
        </w:tc>
        <w:tc>
          <w:tcPr>
            <w:tcW w:w="3740" w:type="dxa"/>
            <w:gridSpan w:val="2"/>
            <w:tcBorders>
              <w:top w:val="single" w:color="auto" w:sz="4" w:space="0"/>
              <w:left w:val="nil"/>
              <w:bottom w:val="single" w:color="auto" w:sz="4" w:space="0"/>
              <w:right w:val="single" w:color="000000" w:sz="4" w:space="0"/>
            </w:tcBorders>
            <w:shd w:val="clear" w:color="000000" w:fill="auto"/>
          </w:tcPr>
          <w:p>
            <w:pPr>
              <w:spacing w:line="500" w:lineRule="exact"/>
              <w:jc w:val="left"/>
              <w:rPr>
                <w:rFonts w:hint="eastAsia" w:ascii="宋体" w:hAnsi="宋体" w:eastAsia="宋体" w:cs="宋体"/>
                <w:sz w:val="20"/>
                <w:szCs w:val="20"/>
              </w:rPr>
            </w:pPr>
          </w:p>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县十七届人大三次会议如期顺利完成</w:t>
            </w:r>
          </w:p>
        </w:tc>
      </w:tr>
      <w:tr>
        <w:tblPrEx>
          <w:tblLayout w:type="fixed"/>
          <w:tblCellMar>
            <w:top w:w="0" w:type="dxa"/>
            <w:left w:w="108" w:type="dxa"/>
            <w:bottom w:w="0" w:type="dxa"/>
            <w:right w:w="108" w:type="dxa"/>
          </w:tblCellMar>
        </w:tblPrEx>
        <w:trPr>
          <w:trHeight w:val="1324" w:hRule="atLeast"/>
        </w:trPr>
        <w:tc>
          <w:tcPr>
            <w:tcW w:w="72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年度</w:t>
            </w:r>
            <w:r>
              <w:rPr>
                <w:rFonts w:hint="eastAsia" w:ascii="宋体" w:hAnsi="宋体" w:eastAsia="宋体" w:cs="宋体"/>
                <w:sz w:val="20"/>
                <w:szCs w:val="20"/>
              </w:rPr>
              <w:br w:type="textWrapping" w:clear="all"/>
            </w:r>
            <w:r>
              <w:rPr>
                <w:rFonts w:hint="eastAsia" w:ascii="宋体" w:hAnsi="宋体" w:eastAsia="宋体" w:cs="宋体"/>
                <w:sz w:val="20"/>
                <w:szCs w:val="20"/>
              </w:rPr>
              <w:t>绩效</w:t>
            </w:r>
            <w:r>
              <w:rPr>
                <w:rFonts w:hint="eastAsia" w:ascii="宋体" w:hAnsi="宋体" w:eastAsia="宋体" w:cs="宋体"/>
                <w:sz w:val="20"/>
                <w:szCs w:val="20"/>
              </w:rPr>
              <w:br w:type="textWrapping" w:clear="all"/>
            </w:r>
            <w:r>
              <w:rPr>
                <w:rFonts w:hint="eastAsia" w:ascii="宋体" w:hAnsi="宋体" w:eastAsia="宋体" w:cs="宋体"/>
                <w:sz w:val="20"/>
                <w:szCs w:val="20"/>
              </w:rPr>
              <w:t>指标</w:t>
            </w:r>
            <w:r>
              <w:rPr>
                <w:rFonts w:hint="eastAsia" w:ascii="宋体" w:hAnsi="宋体" w:eastAsia="宋体" w:cs="宋体"/>
                <w:sz w:val="20"/>
                <w:szCs w:val="20"/>
              </w:rPr>
              <w:br w:type="textWrapping" w:clear="all"/>
            </w:r>
            <w:r>
              <w:rPr>
                <w:rFonts w:hint="eastAsia" w:ascii="宋体" w:hAnsi="宋体" w:eastAsia="宋体" w:cs="宋体"/>
                <w:sz w:val="20"/>
                <w:szCs w:val="20"/>
              </w:rPr>
              <w:t>完成</w:t>
            </w:r>
            <w:r>
              <w:rPr>
                <w:rFonts w:hint="eastAsia" w:ascii="宋体" w:hAnsi="宋体" w:eastAsia="宋体" w:cs="宋体"/>
                <w:sz w:val="20"/>
                <w:szCs w:val="20"/>
              </w:rPr>
              <w:br w:type="textWrapping" w:clear="all"/>
            </w:r>
            <w:r>
              <w:rPr>
                <w:rFonts w:hint="eastAsia" w:ascii="宋体" w:hAnsi="宋体" w:eastAsia="宋体" w:cs="宋体"/>
                <w:sz w:val="20"/>
                <w:szCs w:val="20"/>
              </w:rPr>
              <w:t>情况</w:t>
            </w:r>
          </w:p>
        </w:tc>
        <w:tc>
          <w:tcPr>
            <w:tcW w:w="1140" w:type="dxa"/>
            <w:tcBorders>
              <w:top w:val="nil"/>
              <w:left w:val="nil"/>
              <w:bottom w:val="nil"/>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一级指标</w:t>
            </w:r>
          </w:p>
        </w:tc>
        <w:tc>
          <w:tcPr>
            <w:tcW w:w="13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二级指标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三级指标</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预期指标值（包含数字及文字描述）</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数量指标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指标1：会议费</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17.22万元</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17.22万元</w:t>
            </w:r>
          </w:p>
        </w:tc>
      </w:tr>
      <w:tr>
        <w:tblPrEx>
          <w:tblLayout w:type="fixed"/>
          <w:tblCellMar>
            <w:top w:w="0" w:type="dxa"/>
            <w:left w:w="108" w:type="dxa"/>
            <w:bottom w:w="0" w:type="dxa"/>
            <w:right w:w="108" w:type="dxa"/>
          </w:tblCellMar>
        </w:tblPrEx>
        <w:trPr>
          <w:trHeight w:val="872"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指标2：车辆费用</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4.53万元</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4.53万元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指标3</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质量指标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指标1：</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指标2：</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387"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时效指标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指标1：执行时间</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1年</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1年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指标2：</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成本指标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指标1：会议费</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17.22万元</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17.22万元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指标2：车辆费用</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4.53万元</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4.53万元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restart"/>
            <w:tcBorders>
              <w:top w:val="nil"/>
              <w:left w:val="single" w:color="auto" w:sz="4" w:space="0"/>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经济效益</w:t>
            </w:r>
            <w:r>
              <w:rPr>
                <w:rFonts w:hint="eastAsia" w:ascii="宋体" w:hAnsi="宋体" w:eastAsia="宋体" w:cs="宋体"/>
                <w:sz w:val="20"/>
                <w:szCs w:val="20"/>
              </w:rPr>
              <w:br w:type="textWrapping" w:clear="all"/>
            </w:r>
            <w:r>
              <w:rPr>
                <w:rFonts w:hint="eastAsia" w:ascii="宋体" w:hAnsi="宋体" w:eastAsia="宋体" w:cs="宋体"/>
                <w:sz w:val="20"/>
                <w:szCs w:val="20"/>
              </w:rPr>
              <w:t>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指标1：确保人大会议正常召开</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有效</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有效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指标2：</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社会效益</w:t>
            </w:r>
            <w:r>
              <w:rPr>
                <w:rFonts w:hint="eastAsia" w:ascii="宋体" w:hAnsi="宋体" w:eastAsia="宋体" w:cs="宋体"/>
                <w:sz w:val="20"/>
                <w:szCs w:val="20"/>
              </w:rPr>
              <w:br w:type="textWrapping" w:clear="all"/>
            </w:r>
            <w:r>
              <w:rPr>
                <w:rFonts w:hint="eastAsia" w:ascii="宋体" w:hAnsi="宋体" w:eastAsia="宋体" w:cs="宋体"/>
                <w:sz w:val="20"/>
                <w:szCs w:val="20"/>
              </w:rPr>
              <w:t>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指标1：</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指标2：</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生态效益</w:t>
            </w:r>
            <w:r>
              <w:rPr>
                <w:rFonts w:hint="eastAsia" w:ascii="宋体" w:hAnsi="宋体" w:eastAsia="宋体" w:cs="宋体"/>
                <w:sz w:val="20"/>
                <w:szCs w:val="20"/>
              </w:rPr>
              <w:br w:type="textWrapping" w:clear="all"/>
            </w:r>
            <w:r>
              <w:rPr>
                <w:rFonts w:hint="eastAsia" w:ascii="宋体" w:hAnsi="宋体" w:eastAsia="宋体" w:cs="宋体"/>
                <w:sz w:val="20"/>
                <w:szCs w:val="20"/>
              </w:rPr>
              <w:t>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指标1：</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指标2：</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可持续影响</w:t>
            </w:r>
            <w:r>
              <w:rPr>
                <w:rFonts w:hint="eastAsia" w:ascii="宋体" w:hAnsi="宋体" w:eastAsia="宋体" w:cs="宋体"/>
                <w:sz w:val="20"/>
                <w:szCs w:val="20"/>
              </w:rPr>
              <w:br w:type="textWrapping" w:clear="all"/>
            </w:r>
            <w:r>
              <w:rPr>
                <w:rFonts w:hint="eastAsia" w:ascii="宋体" w:hAnsi="宋体" w:eastAsia="宋体" w:cs="宋体"/>
                <w:sz w:val="20"/>
                <w:szCs w:val="20"/>
              </w:rPr>
              <w:t>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指标1：</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指标2：</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auto"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满意度</w:t>
            </w:r>
            <w:r>
              <w:rPr>
                <w:rFonts w:hint="eastAsia" w:ascii="宋体" w:hAnsi="宋体" w:eastAsia="宋体" w:cs="宋体"/>
                <w:sz w:val="20"/>
                <w:szCs w:val="20"/>
              </w:rPr>
              <w:br w:type="textWrapping" w:clear="all"/>
            </w:r>
            <w:r>
              <w:rPr>
                <w:rFonts w:hint="eastAsia" w:ascii="宋体" w:hAnsi="宋体" w:eastAsia="宋体" w:cs="宋体"/>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满意度指标</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指标1：人大代表满意度</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98%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指标2：</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14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hint="eastAsia" w:ascii="宋体" w:hAnsi="宋体" w:eastAsia="宋体" w:cs="宋体"/>
                <w:sz w:val="20"/>
                <w:szCs w:val="20"/>
              </w:rPr>
            </w:pP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rPr>
            </w:pPr>
            <w:r>
              <w:rPr>
                <w:rFonts w:hint="eastAsia" w:ascii="宋体" w:hAnsi="宋体" w:eastAsia="宋体" w:cs="宋体"/>
                <w:sz w:val="20"/>
                <w:szCs w:val="20"/>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shd w:val="clear" w:color="000000" w:fill="auto"/>
            <w:vAlign w:val="center"/>
          </w:tcPr>
          <w:p/>
        </w:tc>
        <w:tc>
          <w:tcPr>
            <w:tcW w:w="1140" w:type="dxa"/>
            <w:vMerge w:val="continue"/>
            <w:tcBorders>
              <w:top w:val="nil"/>
              <w:left w:val="single" w:color="auto" w:sz="4" w:space="0"/>
              <w:bottom w:val="single" w:color="000000" w:sz="4" w:space="0"/>
              <w:right w:val="single" w:color="auto" w:sz="4" w:space="0"/>
            </w:tcBorders>
            <w:shd w:val="clear" w:color="000000" w:fill="auto"/>
            <w:vAlign w:val="center"/>
          </w:tcPr>
          <w:p/>
        </w:tc>
        <w:tc>
          <w:tcPr>
            <w:tcW w:w="13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sz w:val="24"/>
                <w:szCs w:val="24"/>
              </w:rPr>
            </w:pPr>
            <w:r>
              <w:rPr>
                <w:rFonts w:ascii="宋体" w:hAnsi="宋体" w:eastAsia="宋体"/>
                <w:sz w:val="24"/>
                <w:szCs w:val="24"/>
              </w:rPr>
              <w:t>……</w:t>
            </w:r>
          </w:p>
        </w:tc>
        <w:tc>
          <w:tcPr>
            <w:tcW w:w="206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sz w:val="24"/>
                <w:szCs w:val="24"/>
              </w:rPr>
            </w:pPr>
            <w:r>
              <w:rPr>
                <w:rFonts w:ascii="宋体" w:hAnsi="宋体" w:eastAsia="宋体"/>
                <w:sz w:val="24"/>
                <w:szCs w:val="24"/>
              </w:rPr>
              <w:t>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sz w:val="24"/>
                <w:szCs w:val="24"/>
              </w:rPr>
            </w:pPr>
            <w:r>
              <w:rPr>
                <w:rFonts w:ascii="宋体" w:hAnsi="宋体" w:eastAsia="宋体"/>
                <w:sz w:val="24"/>
                <w:szCs w:val="24"/>
              </w:rPr>
              <w:t>　</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sz w:val="24"/>
                <w:szCs w:val="24"/>
              </w:rPr>
            </w:pPr>
            <w:r>
              <w:rPr>
                <w:rFonts w:ascii="宋体" w:hAnsi="宋体" w:eastAsia="宋体"/>
                <w:sz w:val="24"/>
                <w:szCs w:val="24"/>
              </w:rPr>
              <w:t>　</w:t>
            </w:r>
          </w:p>
        </w:tc>
      </w:tr>
    </w:tbl>
    <w:p>
      <w:pPr>
        <w:spacing w:line="500" w:lineRule="exact"/>
        <w:ind w:firstLine="567"/>
        <w:rPr>
          <w:rStyle w:val="27"/>
          <w:rFonts w:ascii="宋体" w:hAnsi="宋体" w:eastAsia="宋体"/>
          <w:b w:val="0"/>
          <w:spacing w:val="-4"/>
          <w:sz w:val="28"/>
          <w:szCs w:val="28"/>
        </w:rPr>
      </w:pP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napToGrid w:val="0"/>
      <w:jc w:val="center"/>
    </w:pPr>
    <w:r>
      <w:fldChar w:fldCharType="begin"/>
    </w:r>
    <w:r>
      <w:instrText xml:space="preserve">PAGE  \* MERGEFORMAT</w:instrText>
    </w:r>
    <w:r>
      <w:fldChar w:fldCharType="separate"/>
    </w:r>
    <w:r>
      <w:t>6</w:t>
    </w:r>
    <w:r>
      <w:fldChar w:fldCharType="end"/>
    </w:r>
  </w:p>
  <w:p>
    <w:pPr>
      <w:pStyle w:val="16"/>
      <w:snapToGrid w:val="0"/>
      <w:jc w:val="lef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2"/>
  </w:compat>
  <w:rsids>
    <w:rsidRoot w:val="0094293C"/>
    <w:rsid w:val="000462AB"/>
    <w:rsid w:val="001B4B3D"/>
    <w:rsid w:val="003006F9"/>
    <w:rsid w:val="00341519"/>
    <w:rsid w:val="00357718"/>
    <w:rsid w:val="004556E9"/>
    <w:rsid w:val="004C00D0"/>
    <w:rsid w:val="00683F4F"/>
    <w:rsid w:val="008042E1"/>
    <w:rsid w:val="00845C87"/>
    <w:rsid w:val="0094293C"/>
    <w:rsid w:val="00971170"/>
    <w:rsid w:val="00A15958"/>
    <w:rsid w:val="00A46D9E"/>
    <w:rsid w:val="00EF5890"/>
    <w:rsid w:val="00F504F2"/>
    <w:rsid w:val="139801C9"/>
    <w:rsid w:val="1CC9388E"/>
    <w:rsid w:val="40145586"/>
    <w:rsid w:val="478F6374"/>
    <w:rsid w:val="4B804C5B"/>
    <w:rsid w:val="68BF5F8D"/>
    <w:rsid w:val="7E0B7802"/>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8" w:name="heading 2"/>
    <w:lsdException w:qFormat="1" w:uiPriority="9" w:name="heading 3"/>
    <w:lsdException w:qFormat="1" w:uiPriority="10" w:name="heading 4"/>
    <w:lsdException w:qFormat="1" w:uiPriority="11" w:name="heading 5"/>
    <w:lsdException w:qFormat="1" w:uiPriority="12" w:name="heading 6"/>
    <w:lsdException w:qFormat="1" w:uiPriority="13" w:name="heading 7"/>
    <w:lsdException w:qFormat="1" w:uiPriority="14" w:name="heading 8"/>
    <w:lsdException w:qFormat="1" w:uiPriority="15"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6"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6"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5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imes New Roman" w:hAnsi="Times New Roman" w:eastAsia="Times New Roman" w:cs="Times New Roman"/>
      <w:sz w:val="21"/>
      <w:szCs w:val="21"/>
      <w:lang w:val="en-US" w:eastAsia="zh-CN" w:bidi="ar-SA"/>
    </w:rPr>
  </w:style>
  <w:style w:type="paragraph" w:styleId="2">
    <w:name w:val="heading 1"/>
    <w:basedOn w:val="1"/>
    <w:next w:val="1"/>
    <w:link w:val="45"/>
    <w:qFormat/>
    <w:uiPriority w:val="7"/>
    <w:pPr>
      <w:keepNext/>
      <w:outlineLvl w:val="0"/>
    </w:pPr>
    <w:rPr>
      <w:rFonts w:ascii="Cambria" w:hAnsi="Cambria" w:eastAsia="宋体"/>
      <w:b/>
      <w:sz w:val="32"/>
      <w:szCs w:val="32"/>
    </w:rPr>
  </w:style>
  <w:style w:type="paragraph" w:styleId="3">
    <w:name w:val="heading 2"/>
    <w:basedOn w:val="1"/>
    <w:next w:val="1"/>
    <w:link w:val="46"/>
    <w:semiHidden/>
    <w:unhideWhenUsed/>
    <w:qFormat/>
    <w:uiPriority w:val="8"/>
    <w:pPr>
      <w:keepNext/>
      <w:outlineLvl w:val="1"/>
    </w:pPr>
    <w:rPr>
      <w:rFonts w:ascii="Cambria" w:hAnsi="Cambria" w:eastAsia="宋体"/>
      <w:b/>
      <w:i/>
      <w:sz w:val="28"/>
      <w:szCs w:val="28"/>
    </w:rPr>
  </w:style>
  <w:style w:type="paragraph" w:styleId="4">
    <w:name w:val="heading 3"/>
    <w:basedOn w:val="1"/>
    <w:next w:val="1"/>
    <w:link w:val="47"/>
    <w:semiHidden/>
    <w:unhideWhenUsed/>
    <w:qFormat/>
    <w:uiPriority w:val="9"/>
    <w:pPr>
      <w:keepNext/>
      <w:outlineLvl w:val="2"/>
    </w:pPr>
    <w:rPr>
      <w:rFonts w:ascii="Cambria" w:hAnsi="Cambria" w:eastAsia="宋体"/>
      <w:b/>
      <w:sz w:val="26"/>
      <w:szCs w:val="26"/>
    </w:rPr>
  </w:style>
  <w:style w:type="paragraph" w:styleId="5">
    <w:name w:val="heading 4"/>
    <w:basedOn w:val="1"/>
    <w:next w:val="1"/>
    <w:link w:val="48"/>
    <w:semiHidden/>
    <w:unhideWhenUsed/>
    <w:qFormat/>
    <w:uiPriority w:val="10"/>
    <w:pPr>
      <w:keepNext/>
      <w:outlineLvl w:val="3"/>
    </w:pPr>
    <w:rPr>
      <w:rFonts w:ascii="Calibri" w:hAnsi="Calibri" w:eastAsia="宋体"/>
      <w:b/>
      <w:sz w:val="28"/>
      <w:szCs w:val="28"/>
    </w:rPr>
  </w:style>
  <w:style w:type="paragraph" w:styleId="6">
    <w:name w:val="heading 5"/>
    <w:basedOn w:val="1"/>
    <w:next w:val="1"/>
    <w:link w:val="49"/>
    <w:semiHidden/>
    <w:unhideWhenUsed/>
    <w:qFormat/>
    <w:uiPriority w:val="11"/>
    <w:pPr>
      <w:outlineLvl w:val="4"/>
    </w:pPr>
    <w:rPr>
      <w:rFonts w:ascii="Calibri" w:hAnsi="Calibri" w:eastAsia="宋体"/>
      <w:b/>
      <w:i/>
      <w:sz w:val="26"/>
      <w:szCs w:val="26"/>
    </w:rPr>
  </w:style>
  <w:style w:type="paragraph" w:styleId="7">
    <w:name w:val="heading 6"/>
    <w:basedOn w:val="1"/>
    <w:next w:val="1"/>
    <w:link w:val="50"/>
    <w:semiHidden/>
    <w:unhideWhenUsed/>
    <w:qFormat/>
    <w:uiPriority w:val="12"/>
    <w:pPr>
      <w:outlineLvl w:val="5"/>
    </w:pPr>
    <w:rPr>
      <w:rFonts w:ascii="Calibri" w:hAnsi="Calibri" w:eastAsia="宋体"/>
      <w:b/>
      <w:sz w:val="22"/>
      <w:szCs w:val="22"/>
    </w:rPr>
  </w:style>
  <w:style w:type="paragraph" w:styleId="8">
    <w:name w:val="heading 7"/>
    <w:basedOn w:val="1"/>
    <w:next w:val="1"/>
    <w:link w:val="51"/>
    <w:semiHidden/>
    <w:unhideWhenUsed/>
    <w:qFormat/>
    <w:uiPriority w:val="13"/>
    <w:pPr>
      <w:outlineLvl w:val="6"/>
    </w:pPr>
    <w:rPr>
      <w:rFonts w:ascii="Calibri" w:hAnsi="Calibri" w:eastAsia="宋体"/>
      <w:sz w:val="24"/>
      <w:szCs w:val="24"/>
    </w:rPr>
  </w:style>
  <w:style w:type="paragraph" w:styleId="9">
    <w:name w:val="heading 8"/>
    <w:basedOn w:val="1"/>
    <w:next w:val="1"/>
    <w:link w:val="52"/>
    <w:semiHidden/>
    <w:unhideWhenUsed/>
    <w:qFormat/>
    <w:uiPriority w:val="14"/>
    <w:pPr>
      <w:outlineLvl w:val="7"/>
    </w:pPr>
    <w:rPr>
      <w:rFonts w:ascii="Calibri" w:hAnsi="Calibri" w:eastAsia="宋体"/>
      <w:i/>
      <w:sz w:val="24"/>
      <w:szCs w:val="24"/>
    </w:rPr>
  </w:style>
  <w:style w:type="paragraph" w:styleId="10">
    <w:name w:val="heading 9"/>
    <w:basedOn w:val="1"/>
    <w:next w:val="1"/>
    <w:link w:val="53"/>
    <w:semiHidden/>
    <w:unhideWhenUsed/>
    <w:qFormat/>
    <w:uiPriority w:val="15"/>
    <w:pPr>
      <w:outlineLvl w:val="8"/>
    </w:pPr>
    <w:rPr>
      <w:rFonts w:ascii="Cambria" w:hAnsi="Cambria" w:eastAsia="宋体"/>
      <w:sz w:val="22"/>
      <w:szCs w:val="22"/>
    </w:rPr>
  </w:style>
  <w:style w:type="character" w:default="1" w:styleId="26">
    <w:name w:val="Default Paragraph Font"/>
    <w:semiHidden/>
    <w:unhideWhenUsed/>
    <w:qFormat/>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3">
    <w:name w:val="toc 3"/>
    <w:next w:val="1"/>
    <w:unhideWhenUsed/>
    <w:qFormat/>
    <w:uiPriority w:val="30"/>
    <w:pPr>
      <w:ind w:left="850"/>
      <w:jc w:val="both"/>
    </w:pPr>
    <w:rPr>
      <w:rFonts w:ascii="Calibri" w:hAnsi="Calibri" w:eastAsia="宋体" w:cs="Times New Roman"/>
      <w:sz w:val="21"/>
      <w:szCs w:val="21"/>
      <w:lang w:val="en-US" w:eastAsia="zh-CN" w:bidi="ar-SA"/>
    </w:rPr>
  </w:style>
  <w:style w:type="paragraph" w:styleId="14">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5">
    <w:name w:val="Balloon Text"/>
    <w:basedOn w:val="1"/>
    <w:link w:val="60"/>
    <w:semiHidden/>
    <w:unhideWhenUsed/>
    <w:qFormat/>
    <w:uiPriority w:val="0"/>
    <w:rPr>
      <w:sz w:val="18"/>
      <w:szCs w:val="18"/>
    </w:rPr>
  </w:style>
  <w:style w:type="paragraph" w:styleId="16">
    <w:name w:val="footer"/>
    <w:basedOn w:val="1"/>
    <w:link w:val="59"/>
    <w:unhideWhenUsed/>
    <w:qFormat/>
    <w:uiPriority w:val="0"/>
    <w:pPr>
      <w:tabs>
        <w:tab w:val="center" w:pos="4153"/>
        <w:tab w:val="right" w:pos="8306"/>
      </w:tabs>
    </w:pPr>
    <w:rPr>
      <w:rFonts w:ascii="Calibri" w:hAnsi="Calibri" w:eastAsia="Calibri"/>
      <w:sz w:val="18"/>
      <w:szCs w:val="18"/>
    </w:rPr>
  </w:style>
  <w:style w:type="paragraph" w:styleId="17">
    <w:name w:val="header"/>
    <w:basedOn w:val="1"/>
    <w:link w:val="58"/>
    <w:unhideWhenUsed/>
    <w:qFormat/>
    <w:uiPriority w:val="0"/>
    <w:pPr>
      <w:tabs>
        <w:tab w:val="center" w:pos="4153"/>
        <w:tab w:val="right" w:pos="8306"/>
      </w:tabs>
      <w:jc w:val="center"/>
    </w:pPr>
    <w:rPr>
      <w:rFonts w:ascii="Calibri" w:hAnsi="Calibri" w:eastAsia="Calibri"/>
      <w:sz w:val="18"/>
      <w:szCs w:val="18"/>
    </w:rPr>
  </w:style>
  <w:style w:type="paragraph" w:styleId="18">
    <w:name w:val="toc 1"/>
    <w:next w:val="1"/>
    <w:unhideWhenUsed/>
    <w:qFormat/>
    <w:uiPriority w:val="28"/>
    <w:pPr>
      <w:jc w:val="both"/>
    </w:pPr>
    <w:rPr>
      <w:rFonts w:ascii="Calibri" w:hAnsi="Calibri" w:eastAsia="宋体" w:cs="Times New Roman"/>
      <w:sz w:val="21"/>
      <w:szCs w:val="21"/>
      <w:lang w:val="en-US" w:eastAsia="zh-CN" w:bidi="ar-SA"/>
    </w:rPr>
  </w:style>
  <w:style w:type="paragraph" w:styleId="19">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0">
    <w:name w:val="Subtitle"/>
    <w:basedOn w:val="1"/>
    <w:next w:val="1"/>
    <w:link w:val="55"/>
    <w:qFormat/>
    <w:uiPriority w:val="16"/>
    <w:pPr>
      <w:jc w:val="center"/>
    </w:pPr>
    <w:rPr>
      <w:rFonts w:ascii="Cambria" w:hAnsi="Cambria" w:eastAsia="宋体"/>
      <w:sz w:val="24"/>
      <w:szCs w:val="24"/>
    </w:rPr>
  </w:style>
  <w:style w:type="paragraph" w:styleId="21">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2">
    <w:name w:val="toc 2"/>
    <w:next w:val="1"/>
    <w:unhideWhenUsed/>
    <w:qFormat/>
    <w:uiPriority w:val="29"/>
    <w:pPr>
      <w:ind w:left="425"/>
      <w:jc w:val="both"/>
    </w:pPr>
    <w:rPr>
      <w:rFonts w:ascii="Calibri" w:hAnsi="Calibri" w:eastAsia="宋体" w:cs="Times New Roman"/>
      <w:sz w:val="21"/>
      <w:szCs w:val="21"/>
      <w:lang w:val="en-US" w:eastAsia="zh-CN" w:bidi="ar-SA"/>
    </w:rPr>
  </w:style>
  <w:style w:type="paragraph" w:styleId="23">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4">
    <w:name w:val="Title"/>
    <w:basedOn w:val="1"/>
    <w:next w:val="1"/>
    <w:link w:val="54"/>
    <w:qFormat/>
    <w:uiPriority w:val="6"/>
    <w:pPr>
      <w:jc w:val="center"/>
    </w:pPr>
    <w:rPr>
      <w:rFonts w:ascii="Cambria" w:hAnsi="Cambria" w:eastAsia="宋体"/>
      <w:b/>
      <w:sz w:val="32"/>
      <w:szCs w:val="32"/>
    </w:rPr>
  </w:style>
  <w:style w:type="character" w:styleId="27">
    <w:name w:val="Strong"/>
    <w:basedOn w:val="26"/>
    <w:qFormat/>
    <w:uiPriority w:val="20"/>
    <w:rPr>
      <w:b/>
      <w:w w:val="100"/>
      <w:sz w:val="20"/>
      <w:szCs w:val="20"/>
      <w:shd w:val="clear" w:color="000000" w:fill="auto"/>
    </w:rPr>
  </w:style>
  <w:style w:type="character" w:styleId="28">
    <w:name w:val="Emphasis"/>
    <w:basedOn w:val="26"/>
    <w:qFormat/>
    <w:uiPriority w:val="18"/>
    <w:rPr>
      <w:rFonts w:ascii="Calibri" w:hAnsi="Calibri" w:eastAsia="Calibri"/>
      <w:b/>
      <w:i/>
      <w:w w:val="100"/>
      <w:sz w:val="20"/>
      <w:szCs w:val="20"/>
      <w:shd w:val="clear" w:color="000000" w:fill="auto"/>
    </w:rPr>
  </w:style>
  <w:style w:type="paragraph" w:styleId="29">
    <w:name w:val="No Spacing"/>
    <w:basedOn w:val="1"/>
    <w:qFormat/>
    <w:uiPriority w:val="5"/>
    <w:rPr>
      <w:rFonts w:ascii="Calibri" w:hAnsi="Calibri" w:eastAsia="宋体"/>
      <w:sz w:val="24"/>
      <w:szCs w:val="24"/>
    </w:rPr>
  </w:style>
  <w:style w:type="character" w:customStyle="1" w:styleId="30">
    <w:name w:val="Subtle Emphasis"/>
    <w:qFormat/>
    <w:uiPriority w:val="17"/>
    <w:rPr>
      <w:i/>
      <w:color w:val="404040"/>
      <w:w w:val="100"/>
      <w:sz w:val="21"/>
      <w:szCs w:val="21"/>
      <w:shd w:val="clear" w:color="auto" w:fill="auto"/>
    </w:rPr>
  </w:style>
  <w:style w:type="character" w:customStyle="1" w:styleId="31">
    <w:name w:val="Intense Emphasis"/>
    <w:qFormat/>
    <w:uiPriority w:val="19"/>
    <w:rPr>
      <w:i/>
      <w:color w:val="5B9BD5"/>
      <w:w w:val="100"/>
      <w:sz w:val="21"/>
      <w:szCs w:val="21"/>
      <w:shd w:val="clear" w:color="auto" w:fill="auto"/>
    </w:rPr>
  </w:style>
  <w:style w:type="paragraph" w:styleId="32">
    <w:name w:val="Quote"/>
    <w:basedOn w:val="1"/>
    <w:next w:val="1"/>
    <w:link w:val="56"/>
    <w:qFormat/>
    <w:uiPriority w:val="21"/>
    <w:rPr>
      <w:rFonts w:ascii="Calibri" w:hAnsi="Calibri" w:eastAsia="宋体"/>
      <w:i/>
      <w:sz w:val="24"/>
      <w:szCs w:val="24"/>
    </w:rPr>
  </w:style>
  <w:style w:type="paragraph" w:styleId="33">
    <w:name w:val="Intense Quote"/>
    <w:basedOn w:val="1"/>
    <w:next w:val="1"/>
    <w:link w:val="57"/>
    <w:qFormat/>
    <w:uiPriority w:val="22"/>
    <w:pPr>
      <w:ind w:left="720" w:right="720"/>
    </w:pPr>
    <w:rPr>
      <w:rFonts w:ascii="Calibri" w:hAnsi="Calibri" w:eastAsia="宋体"/>
      <w:b/>
      <w:i/>
      <w:sz w:val="24"/>
      <w:szCs w:val="24"/>
    </w:rPr>
  </w:style>
  <w:style w:type="character" w:customStyle="1" w:styleId="34">
    <w:name w:val="Subtle Reference"/>
    <w:qFormat/>
    <w:uiPriority w:val="23"/>
    <w:rPr>
      <w:smallCaps/>
      <w:color w:val="5A5A5A"/>
      <w:w w:val="100"/>
      <w:sz w:val="21"/>
      <w:szCs w:val="21"/>
      <w:shd w:val="clear" w:color="auto" w:fill="auto"/>
    </w:rPr>
  </w:style>
  <w:style w:type="character" w:customStyle="1" w:styleId="35">
    <w:name w:val="Intense Reference"/>
    <w:qFormat/>
    <w:uiPriority w:val="24"/>
    <w:rPr>
      <w:b/>
      <w:smallCaps/>
      <w:color w:val="5B9BD5"/>
      <w:w w:val="100"/>
      <w:sz w:val="21"/>
      <w:szCs w:val="21"/>
      <w:shd w:val="clear" w:color="auto" w:fill="auto"/>
    </w:rPr>
  </w:style>
  <w:style w:type="character" w:customStyle="1" w:styleId="36">
    <w:name w:val="Book Title"/>
    <w:qFormat/>
    <w:uiPriority w:val="25"/>
    <w:rPr>
      <w:b/>
      <w:i/>
      <w:w w:val="100"/>
      <w:sz w:val="21"/>
      <w:szCs w:val="21"/>
      <w:shd w:val="clear" w:color="auto" w:fill="auto"/>
    </w:rPr>
  </w:style>
  <w:style w:type="paragraph" w:styleId="37">
    <w:name w:val="List Paragraph"/>
    <w:basedOn w:val="1"/>
    <w:qFormat/>
    <w:uiPriority w:val="26"/>
    <w:pPr>
      <w:ind w:left="720"/>
    </w:pPr>
    <w:rPr>
      <w:rFonts w:ascii="Calibri" w:hAnsi="Calibri" w:eastAsia="宋体"/>
      <w:sz w:val="24"/>
      <w:szCs w:val="24"/>
    </w:rPr>
  </w:style>
  <w:style w:type="paragraph" w:customStyle="1" w:styleId="38">
    <w:name w:val="TOC Heading"/>
    <w:unhideWhenUsed/>
    <w:qFormat/>
    <w:uiPriority w:val="27"/>
    <w:rPr>
      <w:rFonts w:ascii="Calibri" w:hAnsi="Calibri" w:eastAsia="宋体" w:cs="Times New Roman"/>
      <w:color w:val="2E74B5"/>
      <w:sz w:val="32"/>
      <w:szCs w:val="32"/>
      <w:lang w:val="en-US" w:eastAsia="zh-CN" w:bidi="ar-SA"/>
    </w:rPr>
  </w:style>
  <w:style w:type="character" w:customStyle="1" w:styleId="39">
    <w:name w:val="不明显强调1"/>
    <w:qFormat/>
    <w:uiPriority w:val="0"/>
    <w:rPr>
      <w:i/>
      <w:color w:val="595959" w:themeColor="text1" w:themeTint="A5"/>
      <w:w w:val="100"/>
      <w:sz w:val="20"/>
      <w:szCs w:val="20"/>
      <w:shd w:val="clear" w:color="000000" w:fill="auto"/>
    </w:rPr>
  </w:style>
  <w:style w:type="character" w:customStyle="1" w:styleId="40">
    <w:name w:val="明显强调1"/>
    <w:basedOn w:val="26"/>
    <w:qFormat/>
    <w:uiPriority w:val="0"/>
    <w:rPr>
      <w:b/>
      <w:i/>
      <w:w w:val="100"/>
      <w:sz w:val="24"/>
      <w:szCs w:val="24"/>
      <w:u w:val="single"/>
      <w:shd w:val="clear" w:color="000000" w:fill="auto"/>
    </w:rPr>
  </w:style>
  <w:style w:type="character" w:customStyle="1" w:styleId="41">
    <w:name w:val="不明显参考1"/>
    <w:basedOn w:val="26"/>
    <w:qFormat/>
    <w:uiPriority w:val="0"/>
    <w:rPr>
      <w:w w:val="100"/>
      <w:sz w:val="24"/>
      <w:szCs w:val="24"/>
      <w:u w:val="single"/>
      <w:shd w:val="clear" w:color="000000" w:fill="auto"/>
    </w:rPr>
  </w:style>
  <w:style w:type="character" w:customStyle="1" w:styleId="42">
    <w:name w:val="明显参考1"/>
    <w:basedOn w:val="26"/>
    <w:qFormat/>
    <w:uiPriority w:val="0"/>
    <w:rPr>
      <w:b/>
      <w:w w:val="100"/>
      <w:sz w:val="24"/>
      <w:szCs w:val="24"/>
      <w:u w:val="single"/>
      <w:shd w:val="clear" w:color="000000" w:fill="auto"/>
    </w:rPr>
  </w:style>
  <w:style w:type="character" w:customStyle="1" w:styleId="43">
    <w:name w:val="书籍标题1"/>
    <w:basedOn w:val="26"/>
    <w:qFormat/>
    <w:uiPriority w:val="0"/>
    <w:rPr>
      <w:rFonts w:ascii="Cambria" w:hAnsi="Cambria" w:eastAsia="宋体"/>
      <w:b/>
      <w:i/>
      <w:w w:val="100"/>
      <w:sz w:val="24"/>
      <w:szCs w:val="24"/>
      <w:shd w:val="clear" w:color="000000" w:fill="auto"/>
    </w:rPr>
  </w:style>
  <w:style w:type="paragraph" w:customStyle="1" w:styleId="44">
    <w:name w:val="TOC 标题1"/>
    <w:basedOn w:val="2"/>
    <w:next w:val="1"/>
    <w:semiHidden/>
    <w:unhideWhenUsed/>
    <w:qFormat/>
    <w:uiPriority w:val="0"/>
    <w:rPr>
      <w:sz w:val="20"/>
      <w:szCs w:val="20"/>
    </w:rPr>
  </w:style>
  <w:style w:type="character" w:customStyle="1" w:styleId="45">
    <w:name w:val="标题 1 Char"/>
    <w:basedOn w:val="26"/>
    <w:link w:val="2"/>
    <w:qFormat/>
    <w:uiPriority w:val="0"/>
    <w:rPr>
      <w:rFonts w:ascii="Cambria" w:hAnsi="Cambria" w:eastAsia="宋体"/>
      <w:b/>
      <w:w w:val="100"/>
      <w:sz w:val="32"/>
      <w:szCs w:val="32"/>
      <w:shd w:val="clear" w:color="000000" w:fill="auto"/>
    </w:rPr>
  </w:style>
  <w:style w:type="character" w:customStyle="1" w:styleId="46">
    <w:name w:val="标题 2 Char"/>
    <w:basedOn w:val="26"/>
    <w:link w:val="3"/>
    <w:semiHidden/>
    <w:qFormat/>
    <w:uiPriority w:val="0"/>
    <w:rPr>
      <w:rFonts w:ascii="Cambria" w:hAnsi="Cambria" w:eastAsia="宋体"/>
      <w:b/>
      <w:i/>
      <w:w w:val="100"/>
      <w:sz w:val="28"/>
      <w:szCs w:val="28"/>
      <w:shd w:val="clear" w:color="000000" w:fill="auto"/>
    </w:rPr>
  </w:style>
  <w:style w:type="character" w:customStyle="1" w:styleId="47">
    <w:name w:val="标题 3 Char"/>
    <w:basedOn w:val="26"/>
    <w:link w:val="4"/>
    <w:semiHidden/>
    <w:qFormat/>
    <w:uiPriority w:val="0"/>
    <w:rPr>
      <w:rFonts w:ascii="Cambria" w:hAnsi="Cambria" w:eastAsia="宋体"/>
      <w:b/>
      <w:w w:val="100"/>
      <w:sz w:val="26"/>
      <w:szCs w:val="26"/>
      <w:shd w:val="clear" w:color="000000" w:fill="auto"/>
    </w:rPr>
  </w:style>
  <w:style w:type="character" w:customStyle="1" w:styleId="48">
    <w:name w:val="标题 4 Char"/>
    <w:basedOn w:val="26"/>
    <w:link w:val="5"/>
    <w:semiHidden/>
    <w:qFormat/>
    <w:uiPriority w:val="0"/>
    <w:rPr>
      <w:b/>
      <w:w w:val="100"/>
      <w:sz w:val="28"/>
      <w:szCs w:val="28"/>
      <w:shd w:val="clear" w:color="000000" w:fill="auto"/>
    </w:rPr>
  </w:style>
  <w:style w:type="character" w:customStyle="1" w:styleId="49">
    <w:name w:val="标题 5 Char"/>
    <w:basedOn w:val="26"/>
    <w:link w:val="6"/>
    <w:semiHidden/>
    <w:qFormat/>
    <w:uiPriority w:val="0"/>
    <w:rPr>
      <w:b/>
      <w:i/>
      <w:w w:val="100"/>
      <w:sz w:val="26"/>
      <w:szCs w:val="26"/>
      <w:shd w:val="clear" w:color="000000" w:fill="auto"/>
    </w:rPr>
  </w:style>
  <w:style w:type="character" w:customStyle="1" w:styleId="50">
    <w:name w:val="标题 6 Char"/>
    <w:basedOn w:val="26"/>
    <w:link w:val="7"/>
    <w:semiHidden/>
    <w:qFormat/>
    <w:uiPriority w:val="0"/>
    <w:rPr>
      <w:b/>
      <w:w w:val="100"/>
      <w:sz w:val="20"/>
      <w:szCs w:val="20"/>
      <w:shd w:val="clear" w:color="000000" w:fill="auto"/>
    </w:rPr>
  </w:style>
  <w:style w:type="character" w:customStyle="1" w:styleId="51">
    <w:name w:val="标题 7 Char"/>
    <w:basedOn w:val="26"/>
    <w:link w:val="8"/>
    <w:semiHidden/>
    <w:qFormat/>
    <w:uiPriority w:val="0"/>
    <w:rPr>
      <w:w w:val="100"/>
      <w:sz w:val="24"/>
      <w:szCs w:val="24"/>
      <w:shd w:val="clear" w:color="000000" w:fill="auto"/>
    </w:rPr>
  </w:style>
  <w:style w:type="character" w:customStyle="1" w:styleId="52">
    <w:name w:val="标题 8 Char"/>
    <w:basedOn w:val="26"/>
    <w:link w:val="9"/>
    <w:semiHidden/>
    <w:qFormat/>
    <w:uiPriority w:val="0"/>
    <w:rPr>
      <w:i/>
      <w:w w:val="100"/>
      <w:sz w:val="24"/>
      <w:szCs w:val="24"/>
      <w:shd w:val="clear" w:color="000000" w:fill="auto"/>
    </w:rPr>
  </w:style>
  <w:style w:type="character" w:customStyle="1" w:styleId="53">
    <w:name w:val="标题 9 Char"/>
    <w:basedOn w:val="26"/>
    <w:link w:val="10"/>
    <w:semiHidden/>
    <w:qFormat/>
    <w:uiPriority w:val="0"/>
    <w:rPr>
      <w:rFonts w:ascii="Cambria" w:hAnsi="Cambria" w:eastAsia="宋体"/>
      <w:w w:val="100"/>
      <w:sz w:val="20"/>
      <w:szCs w:val="20"/>
      <w:shd w:val="clear" w:color="000000" w:fill="auto"/>
    </w:rPr>
  </w:style>
  <w:style w:type="character" w:customStyle="1" w:styleId="54">
    <w:name w:val="标题 Char"/>
    <w:basedOn w:val="26"/>
    <w:link w:val="24"/>
    <w:qFormat/>
    <w:uiPriority w:val="0"/>
    <w:rPr>
      <w:rFonts w:ascii="Cambria" w:hAnsi="Cambria" w:eastAsia="宋体"/>
      <w:b/>
      <w:w w:val="100"/>
      <w:sz w:val="32"/>
      <w:szCs w:val="32"/>
      <w:shd w:val="clear" w:color="000000" w:fill="auto"/>
    </w:rPr>
  </w:style>
  <w:style w:type="character" w:customStyle="1" w:styleId="55">
    <w:name w:val="副标题 Char"/>
    <w:basedOn w:val="26"/>
    <w:link w:val="20"/>
    <w:qFormat/>
    <w:uiPriority w:val="0"/>
    <w:rPr>
      <w:rFonts w:ascii="Cambria" w:hAnsi="Cambria" w:eastAsia="宋体"/>
      <w:w w:val="100"/>
      <w:sz w:val="24"/>
      <w:szCs w:val="24"/>
      <w:shd w:val="clear" w:color="000000" w:fill="auto"/>
    </w:rPr>
  </w:style>
  <w:style w:type="character" w:customStyle="1" w:styleId="56">
    <w:name w:val="引用 Char"/>
    <w:basedOn w:val="26"/>
    <w:link w:val="32"/>
    <w:qFormat/>
    <w:uiPriority w:val="0"/>
    <w:rPr>
      <w:i/>
      <w:w w:val="100"/>
      <w:sz w:val="24"/>
      <w:szCs w:val="24"/>
      <w:shd w:val="clear" w:color="000000" w:fill="auto"/>
    </w:rPr>
  </w:style>
  <w:style w:type="character" w:customStyle="1" w:styleId="57">
    <w:name w:val="明显引用 Char"/>
    <w:basedOn w:val="26"/>
    <w:link w:val="33"/>
    <w:qFormat/>
    <w:uiPriority w:val="0"/>
    <w:rPr>
      <w:b/>
      <w:i/>
      <w:w w:val="100"/>
      <w:sz w:val="24"/>
      <w:szCs w:val="24"/>
      <w:shd w:val="clear" w:color="000000" w:fill="auto"/>
    </w:rPr>
  </w:style>
  <w:style w:type="character" w:customStyle="1" w:styleId="58">
    <w:name w:val="页眉 Char"/>
    <w:basedOn w:val="26"/>
    <w:link w:val="17"/>
    <w:qFormat/>
    <w:uiPriority w:val="0"/>
    <w:rPr>
      <w:rFonts w:ascii="Calibri" w:hAnsi="Calibri" w:eastAsia="宋体"/>
      <w:w w:val="100"/>
      <w:sz w:val="18"/>
      <w:szCs w:val="18"/>
      <w:shd w:val="clear" w:color="000000" w:fill="auto"/>
    </w:rPr>
  </w:style>
  <w:style w:type="character" w:customStyle="1" w:styleId="59">
    <w:name w:val="页脚 Char"/>
    <w:basedOn w:val="26"/>
    <w:link w:val="16"/>
    <w:qFormat/>
    <w:uiPriority w:val="0"/>
    <w:rPr>
      <w:rFonts w:ascii="Calibri" w:hAnsi="Calibri" w:eastAsia="宋体"/>
      <w:w w:val="100"/>
      <w:sz w:val="18"/>
      <w:szCs w:val="18"/>
      <w:shd w:val="clear" w:color="000000" w:fill="auto"/>
    </w:rPr>
  </w:style>
  <w:style w:type="character" w:customStyle="1" w:styleId="60">
    <w:name w:val="批注框文本 Char"/>
    <w:basedOn w:val="26"/>
    <w:link w:val="15"/>
    <w:semiHidden/>
    <w:qFormat/>
    <w:uiPriority w:val="0"/>
    <w:rPr>
      <w:rFonts w:ascii="Times New Roman" w:hAnsi="Times New Roman" w:eastAsia="宋体"/>
      <w:w w:val="100"/>
      <w:sz w:val="18"/>
      <w:szCs w:val="18"/>
      <w:shd w:val="clear" w:color="000000" w:fil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405</Words>
  <Characters>2314</Characters>
  <Lines>19</Lines>
  <Paragraphs>5</Paragraphs>
  <TotalTime>7</TotalTime>
  <ScaleCrop>false</ScaleCrop>
  <LinksUpToDate>false</LinksUpToDate>
  <CharactersWithSpaces>2714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2019-02-11T10:32:00Z</dcterms:created>
  <dc:creator>赵 恺（预算处）</dc:creator>
  <cp:lastModifiedBy>Administrator</cp:lastModifiedBy>
  <dcterms:modified xsi:type="dcterms:W3CDTF">2025-02-08T03:33:44Z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