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项目名称：退役士兵安置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项目负责人（签章）：程新梅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我县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年度共接收退役士兵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hint="eastAsia" w:ascii="仿宋_GB2312" w:eastAsia="仿宋_GB2312"/>
          <w:sz w:val="32"/>
          <w:szCs w:val="32"/>
        </w:rPr>
        <w:t>名，符合安置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hint="eastAsia" w:ascii="仿宋_GB2312" w:eastAsia="仿宋_GB2312"/>
          <w:sz w:val="32"/>
          <w:szCs w:val="32"/>
        </w:rPr>
        <w:t>人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年度退役士兵安置项目主要用于退役士兵一次性安置补助，一次性以打卡形式发放，财政拨款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257.675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万元，已全部安排落实到位。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我县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年度共接收退役士兵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hint="eastAsia" w:ascii="仿宋_GB2312" w:eastAsia="仿宋_GB2312"/>
          <w:sz w:val="32"/>
          <w:szCs w:val="32"/>
        </w:rPr>
        <w:t>名，符合安置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hint="eastAsia" w:ascii="仿宋_GB2312" w:eastAsia="仿宋_GB2312"/>
          <w:sz w:val="32"/>
          <w:szCs w:val="32"/>
        </w:rPr>
        <w:t>人，应发放自主就业一次性经济补助金为</w:t>
      </w:r>
      <w:r>
        <w:rPr>
          <w:rFonts w:ascii="仿宋_GB2312" w:eastAsia="仿宋_GB2312"/>
          <w:sz w:val="32"/>
          <w:szCs w:val="32"/>
        </w:rPr>
        <w:t>257.675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51" w:firstLineChars="54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1751" w:firstLineChars="54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2018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退役士兵安置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玛纳斯县民政局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272.50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272.50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272.50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272.50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630" w:firstLineChars="3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szCs w:val="21"/>
              </w:rPr>
              <w:t>我县</w:t>
            </w:r>
            <w:r>
              <w:rPr>
                <w:rFonts w:ascii="仿宋_GB2312" w:eastAsia="仿宋_GB2312"/>
                <w:szCs w:val="21"/>
              </w:rPr>
              <w:t>20178</w:t>
            </w:r>
            <w:r>
              <w:rPr>
                <w:rFonts w:hint="eastAsia" w:ascii="仿宋_GB2312" w:eastAsia="仿宋_GB2312"/>
                <w:szCs w:val="21"/>
              </w:rPr>
              <w:t>年度共接收退役士兵</w:t>
            </w:r>
            <w:r>
              <w:rPr>
                <w:rFonts w:ascii="仿宋_GB2312" w:eastAsia="仿宋_GB2312"/>
                <w:szCs w:val="21"/>
              </w:rPr>
              <w:t>66</w:t>
            </w:r>
            <w:r>
              <w:rPr>
                <w:rFonts w:hint="eastAsia" w:ascii="仿宋_GB2312" w:eastAsia="仿宋_GB2312"/>
                <w:szCs w:val="21"/>
              </w:rPr>
              <w:t>名，符合安置</w:t>
            </w:r>
            <w:r>
              <w:rPr>
                <w:rFonts w:ascii="仿宋_GB2312" w:eastAsia="仿宋_GB2312"/>
                <w:szCs w:val="21"/>
              </w:rPr>
              <w:t>66</w:t>
            </w:r>
            <w:r>
              <w:rPr>
                <w:rFonts w:hint="eastAsia" w:ascii="仿宋_GB2312" w:eastAsia="仿宋_GB2312"/>
                <w:szCs w:val="21"/>
              </w:rPr>
              <w:t>人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567"/>
              <w:rPr>
                <w:rStyle w:val="17"/>
                <w:rFonts w:ascii="楷体" w:hAnsi="楷体" w:eastAsia="楷体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我县</w:t>
            </w:r>
            <w:r>
              <w:rPr>
                <w:rFonts w:ascii="仿宋_GB2312" w:eastAsia="仿宋_GB2312"/>
                <w:szCs w:val="21"/>
              </w:rPr>
              <w:t>2018</w:t>
            </w:r>
            <w:r>
              <w:rPr>
                <w:rFonts w:hint="eastAsia" w:ascii="仿宋_GB2312" w:eastAsia="仿宋_GB2312"/>
                <w:szCs w:val="21"/>
              </w:rPr>
              <w:t>年度共接收退役士兵</w:t>
            </w:r>
            <w:r>
              <w:rPr>
                <w:rFonts w:ascii="仿宋_GB2312" w:eastAsia="仿宋_GB2312"/>
                <w:szCs w:val="21"/>
              </w:rPr>
              <w:t>66</w:t>
            </w:r>
            <w:r>
              <w:rPr>
                <w:rFonts w:hint="eastAsia" w:ascii="仿宋_GB2312" w:eastAsia="仿宋_GB2312"/>
                <w:szCs w:val="21"/>
              </w:rPr>
              <w:t>名，符合安置</w:t>
            </w:r>
            <w:r>
              <w:rPr>
                <w:rFonts w:ascii="仿宋_GB2312" w:eastAsia="仿宋_GB2312"/>
                <w:szCs w:val="21"/>
              </w:rPr>
              <w:t>66</w:t>
            </w:r>
            <w:r>
              <w:rPr>
                <w:rFonts w:hint="eastAsia" w:ascii="仿宋_GB2312" w:eastAsia="仿宋_GB2312"/>
                <w:szCs w:val="21"/>
              </w:rPr>
              <w:t>人，应发放自主就业一次性经济补助金为</w:t>
            </w:r>
            <w:r>
              <w:rPr>
                <w:rFonts w:ascii="仿宋_GB2312" w:eastAsia="仿宋_GB2312"/>
                <w:szCs w:val="21"/>
              </w:rPr>
              <w:t>257.675</w:t>
            </w:r>
            <w:r>
              <w:rPr>
                <w:rFonts w:hint="eastAsia" w:ascii="仿宋_GB2312" w:eastAsia="仿宋_GB2312"/>
                <w:szCs w:val="21"/>
              </w:rPr>
              <w:t>万元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Cs w:val="21"/>
              </w:rPr>
              <w:t>退役士兵安置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66</w:t>
            </w:r>
            <w:r>
              <w:rPr>
                <w:rFonts w:hint="eastAsia" w:ascii="仿宋_GB2312" w:hAnsi="宋体" w:eastAsia="仿宋_GB2312"/>
                <w:sz w:val="24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：退役士兵安置率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：安置费发放情况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半年完成发放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：入伍参军意识增强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进一步提升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有一定效果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：退役士兵生活得到一定保障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发放安置费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落实到位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：退役士兵满意度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533FA"/>
    <w:rsid w:val="00056465"/>
    <w:rsid w:val="00063933"/>
    <w:rsid w:val="00121AE4"/>
    <w:rsid w:val="00146AAD"/>
    <w:rsid w:val="00150308"/>
    <w:rsid w:val="001B3A40"/>
    <w:rsid w:val="001B5DDA"/>
    <w:rsid w:val="001F083D"/>
    <w:rsid w:val="0027202D"/>
    <w:rsid w:val="00281FE9"/>
    <w:rsid w:val="00357E5D"/>
    <w:rsid w:val="003614E3"/>
    <w:rsid w:val="0036767B"/>
    <w:rsid w:val="00367FA5"/>
    <w:rsid w:val="003B4DCF"/>
    <w:rsid w:val="003C18BC"/>
    <w:rsid w:val="003C50E9"/>
    <w:rsid w:val="003D5940"/>
    <w:rsid w:val="0040361C"/>
    <w:rsid w:val="00406161"/>
    <w:rsid w:val="004366A8"/>
    <w:rsid w:val="00464900"/>
    <w:rsid w:val="0047248A"/>
    <w:rsid w:val="004B4F1D"/>
    <w:rsid w:val="004B5F4E"/>
    <w:rsid w:val="004C3DD3"/>
    <w:rsid w:val="004C5460"/>
    <w:rsid w:val="00502BA7"/>
    <w:rsid w:val="005162F1"/>
    <w:rsid w:val="00533883"/>
    <w:rsid w:val="00535153"/>
    <w:rsid w:val="00554F82"/>
    <w:rsid w:val="0056390D"/>
    <w:rsid w:val="0056498A"/>
    <w:rsid w:val="005719B0"/>
    <w:rsid w:val="005D10D6"/>
    <w:rsid w:val="006000E5"/>
    <w:rsid w:val="006D5791"/>
    <w:rsid w:val="00712972"/>
    <w:rsid w:val="007806A5"/>
    <w:rsid w:val="007A0884"/>
    <w:rsid w:val="007D13C3"/>
    <w:rsid w:val="007D5475"/>
    <w:rsid w:val="00807D44"/>
    <w:rsid w:val="00855E3A"/>
    <w:rsid w:val="00891FB8"/>
    <w:rsid w:val="008C1318"/>
    <w:rsid w:val="008D343B"/>
    <w:rsid w:val="00922CB9"/>
    <w:rsid w:val="00956DF1"/>
    <w:rsid w:val="00975021"/>
    <w:rsid w:val="009A544A"/>
    <w:rsid w:val="009B16FF"/>
    <w:rsid w:val="009E5CD9"/>
    <w:rsid w:val="00A23F18"/>
    <w:rsid w:val="00A26421"/>
    <w:rsid w:val="00A3019C"/>
    <w:rsid w:val="00A41540"/>
    <w:rsid w:val="00A4293B"/>
    <w:rsid w:val="00A46B51"/>
    <w:rsid w:val="00A540E4"/>
    <w:rsid w:val="00A552D8"/>
    <w:rsid w:val="00A62F86"/>
    <w:rsid w:val="00A65EC3"/>
    <w:rsid w:val="00A67D50"/>
    <w:rsid w:val="00A8691A"/>
    <w:rsid w:val="00AA7B39"/>
    <w:rsid w:val="00AC1946"/>
    <w:rsid w:val="00AE5924"/>
    <w:rsid w:val="00B40063"/>
    <w:rsid w:val="00B41F61"/>
    <w:rsid w:val="00B5054A"/>
    <w:rsid w:val="00BA46E6"/>
    <w:rsid w:val="00BB3327"/>
    <w:rsid w:val="00BF2CD9"/>
    <w:rsid w:val="00C04DCF"/>
    <w:rsid w:val="00C14911"/>
    <w:rsid w:val="00C14BC0"/>
    <w:rsid w:val="00C3046B"/>
    <w:rsid w:val="00C36E4E"/>
    <w:rsid w:val="00C474FA"/>
    <w:rsid w:val="00C56C72"/>
    <w:rsid w:val="00CA6457"/>
    <w:rsid w:val="00D10AA7"/>
    <w:rsid w:val="00D17F2E"/>
    <w:rsid w:val="00D25FA2"/>
    <w:rsid w:val="00D30354"/>
    <w:rsid w:val="00D35E7F"/>
    <w:rsid w:val="00DB393D"/>
    <w:rsid w:val="00DF42A0"/>
    <w:rsid w:val="00E11485"/>
    <w:rsid w:val="00E1343B"/>
    <w:rsid w:val="00E46C51"/>
    <w:rsid w:val="00E769FE"/>
    <w:rsid w:val="00EA2CBE"/>
    <w:rsid w:val="00EB411B"/>
    <w:rsid w:val="00EB52AA"/>
    <w:rsid w:val="00F0169A"/>
    <w:rsid w:val="00F25BB3"/>
    <w:rsid w:val="00F32FEE"/>
    <w:rsid w:val="00F61055"/>
    <w:rsid w:val="00F676CF"/>
    <w:rsid w:val="00F677ED"/>
    <w:rsid w:val="00FB10BB"/>
    <w:rsid w:val="00FE3D7C"/>
    <w:rsid w:val="00FF55A1"/>
    <w:rsid w:val="3BB06A91"/>
    <w:rsid w:val="553C40C4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uiPriority w:val="99"/>
    <w:rPr>
      <w:i/>
      <w:color w:val="595959"/>
    </w:rPr>
  </w:style>
  <w:style w:type="character" w:customStyle="1" w:styleId="41">
    <w:name w:val="Intense Emphasis1"/>
    <w:basedOn w:val="16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6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</Words>
  <Characters>1224</Characters>
  <Lines>10</Lines>
  <Paragraphs>2</Paragraphs>
  <TotalTime>0</TotalTime>
  <ScaleCrop>false</ScaleCrop>
  <LinksUpToDate>false</LinksUpToDate>
  <CharactersWithSpaces>1436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2019-01-16T06:02:00Z</dcterms:created>
  <dc:creator>赵 恺（预算处）</dc:creator>
  <cp:lastModifiedBy>淡然一笑</cp:lastModifiedBy>
  <cp:lastPrinted>2019-01-13T12:20:00Z</cp:lastPrinted>
  <dcterms:modified xsi:type="dcterms:W3CDTF">2019-02-21T09:32:03Z</dcterms:modified>
  <dc:title>附件1：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