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项目名称：新玛纳斯人服务中心监控及广播设备</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新疆博众志远商贸有限公司</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玛纳斯县项目代建管理处</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李奎</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 </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5"/>
          <w:rFonts w:ascii="黑体" w:hAnsi="黑体" w:eastAsia="黑体"/>
          <w:b w:val="0"/>
          <w:spacing w:val="-4"/>
          <w:sz w:val="32"/>
          <w:szCs w:val="32"/>
        </w:rPr>
      </w:pPr>
    </w:p>
    <w:p>
      <w:pPr>
        <w:spacing w:line="540" w:lineRule="exact"/>
        <w:ind w:firstLine="640"/>
        <w:rPr>
          <w:rStyle w:val="5"/>
          <w:rFonts w:hint="eastAsia" w:ascii="黑体" w:hAnsi="黑体" w:eastAsia="黑体"/>
          <w:b w:val="0"/>
          <w:spacing w:val="-4"/>
          <w:sz w:val="32"/>
          <w:szCs w:val="32"/>
        </w:rPr>
      </w:pP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一、项目概况</w:t>
      </w:r>
    </w:p>
    <w:p>
      <w:pPr>
        <w:spacing w:line="540" w:lineRule="exact"/>
        <w:ind w:firstLine="567"/>
        <w:rPr>
          <w:rStyle w:val="5"/>
          <w:rFonts w:hint="eastAsia" w:ascii="楷体" w:hAnsi="楷体" w:eastAsia="楷体"/>
          <w:spacing w:val="-4"/>
          <w:sz w:val="32"/>
          <w:szCs w:val="32"/>
        </w:rPr>
      </w:pPr>
      <w:r>
        <w:rPr>
          <w:rStyle w:val="5"/>
          <w:rFonts w:hint="eastAsia" w:ascii="楷体" w:hAnsi="楷体" w:eastAsia="楷体"/>
          <w:spacing w:val="-4"/>
          <w:sz w:val="32"/>
          <w:szCs w:val="32"/>
        </w:rPr>
        <w:t>（一）项目单位基本情况</w:t>
      </w:r>
    </w:p>
    <w:p>
      <w:pPr>
        <w:pStyle w:val="2"/>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1．主要职能：</w:t>
      </w:r>
    </w:p>
    <w:p>
      <w:pPr>
        <w:pStyle w:val="2"/>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1）办理县政府投资的非经营性重点项目的立项、规划选址、土地使用等相关手续，审查代建单位的基本条件，依照法律、法规组织开展代建单位的招标工作，对代建单位的中标结果进行确认。</w:t>
      </w:r>
    </w:p>
    <w:p>
      <w:pPr>
        <w:pStyle w:val="2"/>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2）与代建单位签订项目代建合同，并依法履行合同。</w:t>
      </w:r>
    </w:p>
    <w:p>
      <w:pPr>
        <w:pStyle w:val="2"/>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3）协调代建单位和使用单位关系，向县发展改革、财政、规划建设部门报告项目进展情况，向县发展改革部门提出项目年度投资计划申请，并将代建过程中发生的违法、违规行为及时报告有关行政主管部门。</w:t>
      </w:r>
    </w:p>
    <w:p>
      <w:pPr>
        <w:pStyle w:val="2"/>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4）审查代建单位编制的项目年度投资计划和年度基建支出预算，对代建单位的资金拨付申请提出审查意见，负责代建项目投资预算和建档工作。</w:t>
      </w:r>
    </w:p>
    <w:p>
      <w:pPr>
        <w:pStyle w:val="2"/>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5）负责县政府投资的非经营性重点项目建设的组织实施、管理、检查监督，参与工程竣工验收，组织资产移交。</w:t>
      </w:r>
    </w:p>
    <w:p>
      <w:pPr>
        <w:pStyle w:val="2"/>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6）负责政府投资的非经营性重点项目的储备管理和研究工作。</w:t>
      </w:r>
    </w:p>
    <w:p>
      <w:pPr>
        <w:pStyle w:val="2"/>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7）承办县委、县政府</w:t>
      </w:r>
      <w:bookmarkStart w:id="0" w:name="_GoBack"/>
      <w:bookmarkEnd w:id="0"/>
      <w:r>
        <w:rPr>
          <w:rFonts w:hint="eastAsia" w:ascii="仿宋" w:hAnsi="仿宋" w:eastAsia="仿宋" w:cs="仿宋"/>
          <w:sz w:val="30"/>
          <w:szCs w:val="30"/>
        </w:rPr>
        <w:t>交办的其他事项。</w:t>
      </w:r>
    </w:p>
    <w:p>
      <w:pPr>
        <w:pStyle w:val="2"/>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2．机构情况：</w:t>
      </w:r>
    </w:p>
    <w:p>
      <w:pPr>
        <w:pStyle w:val="2"/>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本单位属2017年新设立单位，属财政补助事业单位，财务独立核算。</w:t>
      </w:r>
    </w:p>
    <w:p>
      <w:pPr>
        <w:spacing w:line="540" w:lineRule="exact"/>
        <w:ind w:firstLine="627" w:firstLineChars="200"/>
        <w:rPr>
          <w:rStyle w:val="5"/>
          <w:rFonts w:ascii="楷体" w:hAnsi="楷体" w:eastAsia="楷体"/>
          <w:spacing w:val="-4"/>
          <w:sz w:val="32"/>
          <w:szCs w:val="32"/>
        </w:rPr>
      </w:pPr>
      <w:r>
        <w:rPr>
          <w:rStyle w:val="5"/>
          <w:rFonts w:hint="eastAsia" w:ascii="楷体" w:hAnsi="楷体" w:eastAsia="楷体"/>
          <w:spacing w:val="-4"/>
          <w:sz w:val="32"/>
          <w:szCs w:val="32"/>
        </w:rPr>
        <w:t>（二）项目预算</w:t>
      </w:r>
      <w:r>
        <w:rPr>
          <w:rStyle w:val="5"/>
          <w:rFonts w:ascii="楷体" w:hAnsi="楷体" w:eastAsia="楷体"/>
          <w:spacing w:val="-4"/>
          <w:sz w:val="32"/>
          <w:szCs w:val="32"/>
        </w:rPr>
        <w:t>绩效目标</w:t>
      </w:r>
      <w:r>
        <w:rPr>
          <w:rStyle w:val="5"/>
          <w:rFonts w:hint="eastAsia" w:ascii="楷体" w:hAnsi="楷体" w:eastAsia="楷体"/>
          <w:spacing w:val="-4"/>
          <w:sz w:val="32"/>
          <w:szCs w:val="32"/>
        </w:rPr>
        <w:t>设定情况</w:t>
      </w:r>
    </w:p>
    <w:p>
      <w:pPr>
        <w:spacing w:line="520" w:lineRule="exact"/>
        <w:ind w:firstLine="640" w:firstLineChars="200"/>
        <w:jc w:val="left"/>
        <w:rPr>
          <w:rStyle w:val="5"/>
          <w:rFonts w:ascii="仿宋" w:hAnsi="仿宋" w:eastAsia="仿宋"/>
          <w:b w:val="0"/>
          <w:spacing w:val="-4"/>
          <w:sz w:val="32"/>
          <w:szCs w:val="32"/>
        </w:rPr>
      </w:pPr>
      <w:r>
        <w:rPr>
          <w:rFonts w:hint="eastAsia" w:ascii="仿宋_GB2312" w:hAnsi="黑体" w:eastAsia="仿宋_GB2312"/>
          <w:sz w:val="32"/>
          <w:szCs w:val="32"/>
        </w:rPr>
        <w:t>截止2018年</w:t>
      </w:r>
      <w:r>
        <w:rPr>
          <w:rFonts w:hint="eastAsia" w:ascii="仿宋_GB2312" w:hAnsi="黑体" w:eastAsia="仿宋_GB2312"/>
          <w:sz w:val="32"/>
          <w:szCs w:val="32"/>
          <w:lang w:val="en-US" w:eastAsia="zh-CN"/>
        </w:rPr>
        <w:t>12</w:t>
      </w:r>
      <w:r>
        <w:rPr>
          <w:rFonts w:hint="eastAsia" w:ascii="仿宋_GB2312" w:hAnsi="黑体" w:eastAsia="仿宋_GB2312"/>
          <w:sz w:val="32"/>
          <w:szCs w:val="32"/>
        </w:rPr>
        <w:t>月底，项目支出预算安排</w:t>
      </w:r>
      <w:r>
        <w:rPr>
          <w:rFonts w:hint="eastAsia" w:ascii="仿宋_GB2312" w:hAnsi="黑体" w:eastAsia="仿宋_GB2312"/>
          <w:sz w:val="32"/>
          <w:szCs w:val="32"/>
          <w:lang w:val="en-US" w:eastAsia="zh-CN"/>
        </w:rPr>
        <w:t>40.6万元</w:t>
      </w:r>
      <w:r>
        <w:rPr>
          <w:rFonts w:hint="eastAsia" w:ascii="仿宋_GB2312" w:hAnsi="黑体" w:eastAsia="仿宋_GB2312"/>
          <w:sz w:val="32"/>
          <w:szCs w:val="32"/>
        </w:rPr>
        <w:t>、实际支出</w:t>
      </w:r>
      <w:r>
        <w:rPr>
          <w:rFonts w:hint="eastAsia" w:ascii="仿宋_GB2312" w:hAnsi="黑体" w:eastAsia="仿宋_GB2312"/>
          <w:sz w:val="32"/>
          <w:szCs w:val="32"/>
          <w:lang w:val="en-US" w:eastAsia="zh-CN"/>
        </w:rPr>
        <w:t>40.6万元，</w:t>
      </w:r>
      <w:r>
        <w:rPr>
          <w:rFonts w:hint="eastAsia" w:ascii="仿宋_GB2312" w:hAnsi="黑体" w:eastAsia="仿宋_GB2312"/>
          <w:sz w:val="32"/>
          <w:szCs w:val="32"/>
        </w:rPr>
        <w:t>预算执行</w:t>
      </w:r>
      <w:r>
        <w:rPr>
          <w:rFonts w:hint="eastAsia" w:ascii="仿宋_GB2312" w:hAnsi="黑体" w:eastAsia="仿宋_GB2312"/>
          <w:sz w:val="32"/>
          <w:szCs w:val="32"/>
          <w:lang w:eastAsia="zh-CN"/>
        </w:rPr>
        <w:t>率</w:t>
      </w:r>
      <w:r>
        <w:rPr>
          <w:rFonts w:hint="eastAsia" w:ascii="仿宋_GB2312" w:hAnsi="黑体" w:eastAsia="仿宋_GB2312"/>
          <w:sz w:val="32"/>
          <w:szCs w:val="32"/>
          <w:lang w:val="en-US" w:eastAsia="zh-CN"/>
        </w:rPr>
        <w:t>100％。该项目属于监控及广播等维稳必须配备设备，用于对人员密集场所的安全及稳定起到防范及监督作用，主要涉及监控及广播等设备。</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二、项目资金使用及管理情况</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（一）项目资金安排落实、总投入等情况分析</w:t>
      </w:r>
    </w:p>
    <w:p>
      <w:pPr>
        <w:spacing w:line="540" w:lineRule="exact"/>
        <w:ind w:firstLine="624" w:firstLineChars="200"/>
        <w:rPr>
          <w:rStyle w:val="5"/>
          <w:rFonts w:hint="eastAsia" w:ascii="仿宋" w:hAnsi="仿宋" w:eastAsia="仿宋"/>
          <w:b w:val="0"/>
          <w:spacing w:val="-4"/>
          <w:sz w:val="32"/>
          <w:szCs w:val="32"/>
          <w:lang w:eastAsia="zh-CN"/>
        </w:rPr>
      </w:pPr>
      <w:r>
        <w:rPr>
          <w:rStyle w:val="5"/>
          <w:rFonts w:hint="eastAsia" w:ascii="仿宋" w:hAnsi="仿宋" w:eastAsia="仿宋"/>
          <w:b w:val="0"/>
          <w:spacing w:val="-4"/>
          <w:sz w:val="32"/>
          <w:szCs w:val="32"/>
        </w:rPr>
        <w:t>财政资金</w:t>
      </w:r>
      <w:r>
        <w:rPr>
          <w:rStyle w:val="5"/>
          <w:rFonts w:hint="eastAsia" w:ascii="仿宋" w:hAnsi="仿宋" w:eastAsia="仿宋"/>
          <w:b w:val="0"/>
          <w:spacing w:val="-4"/>
          <w:sz w:val="32"/>
          <w:szCs w:val="32"/>
          <w:lang w:eastAsia="zh-CN"/>
        </w:rPr>
        <w:t>分级来源为</w:t>
      </w:r>
      <w:r>
        <w:rPr>
          <w:rStyle w:val="5"/>
          <w:rFonts w:hint="eastAsia" w:ascii="仿宋" w:hAnsi="仿宋" w:eastAsia="仿宋"/>
          <w:b w:val="0"/>
          <w:spacing w:val="-4"/>
          <w:sz w:val="32"/>
          <w:szCs w:val="32"/>
          <w:lang w:val="en-US" w:eastAsia="zh-CN"/>
        </w:rPr>
        <w:t>县本级财政配套40.6万元。</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（二）项目资金实际使用情况分析</w:t>
      </w:r>
    </w:p>
    <w:p>
      <w:pPr>
        <w:spacing w:line="540" w:lineRule="exact"/>
        <w:ind w:firstLine="624" w:firstLineChars="200"/>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2018年该项目共计使用</w:t>
      </w:r>
      <w:r>
        <w:rPr>
          <w:rStyle w:val="5"/>
          <w:rFonts w:hint="eastAsia" w:ascii="仿宋" w:hAnsi="仿宋" w:eastAsia="仿宋"/>
          <w:b w:val="0"/>
          <w:spacing w:val="-4"/>
          <w:sz w:val="32"/>
          <w:szCs w:val="32"/>
        </w:rPr>
        <w:t>财政资金</w:t>
      </w:r>
      <w:r>
        <w:rPr>
          <w:rStyle w:val="5"/>
          <w:rFonts w:hint="eastAsia" w:ascii="仿宋" w:hAnsi="仿宋" w:eastAsia="仿宋"/>
          <w:b w:val="0"/>
          <w:spacing w:val="-4"/>
          <w:sz w:val="32"/>
          <w:szCs w:val="32"/>
          <w:lang w:val="en-US" w:eastAsia="zh-CN"/>
        </w:rPr>
        <w:t>40.6万元</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（三）项目资金管理情况分析</w:t>
      </w:r>
    </w:p>
    <w:p>
      <w:pPr>
        <w:spacing w:line="540" w:lineRule="exact"/>
        <w:ind w:firstLine="640"/>
        <w:rPr>
          <w:rStyle w:val="5"/>
          <w:rFonts w:hint="eastAsia" w:ascii="仿宋" w:hAnsi="仿宋" w:eastAsia="仿宋"/>
          <w:b w:val="0"/>
          <w:spacing w:val="-4"/>
          <w:sz w:val="32"/>
          <w:szCs w:val="32"/>
          <w:lang w:eastAsia="zh-CN"/>
        </w:rPr>
      </w:pPr>
      <w:r>
        <w:rPr>
          <w:rStyle w:val="5"/>
          <w:rFonts w:hint="eastAsia" w:ascii="仿宋" w:hAnsi="仿宋" w:eastAsia="仿宋"/>
          <w:b w:val="0"/>
          <w:spacing w:val="-4"/>
          <w:sz w:val="32"/>
          <w:szCs w:val="32"/>
          <w:lang w:eastAsia="zh-CN"/>
        </w:rPr>
        <w:t>该项目严格按照双方签订的合同执行资金支付。</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三、项目组织实施情况</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（一）项目组织情况分析</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lang w:eastAsia="zh-CN"/>
        </w:rPr>
        <w:t>该</w:t>
      </w:r>
      <w:r>
        <w:rPr>
          <w:rStyle w:val="5"/>
          <w:rFonts w:hint="eastAsia" w:ascii="仿宋" w:hAnsi="仿宋" w:eastAsia="仿宋"/>
          <w:b w:val="0"/>
          <w:spacing w:val="-4"/>
          <w:sz w:val="32"/>
          <w:szCs w:val="32"/>
        </w:rPr>
        <w:t>项目</w:t>
      </w:r>
      <w:r>
        <w:rPr>
          <w:rStyle w:val="5"/>
          <w:rFonts w:hint="eastAsia" w:ascii="仿宋" w:hAnsi="仿宋" w:eastAsia="仿宋"/>
          <w:b w:val="0"/>
          <w:spacing w:val="-4"/>
          <w:sz w:val="32"/>
          <w:szCs w:val="32"/>
          <w:lang w:eastAsia="zh-CN"/>
        </w:rPr>
        <w:t>使用竞争性谈判方式并进行网上发布招标公告，经过竞争性谈判方式确定中标单位，在工程完成后进行了竣工验收工作。</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（二）项目管理情况分析</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lang w:eastAsia="zh-CN"/>
        </w:rPr>
        <w:t>通过对清单的严格把控，对中标单位所使用的设备进行了仔细的核实，在布线施工过程中严格按照消防等工程强制性要求，进行质量控制，项目结束后会同使用单位及公安局网信办对工程是否满足质量及使用要求进行了统一验收。</w:t>
      </w:r>
    </w:p>
    <w:p>
      <w:pPr>
        <w:spacing w:line="540" w:lineRule="exact"/>
        <w:ind w:firstLine="640"/>
        <w:rPr>
          <w:rStyle w:val="5"/>
          <w:rFonts w:ascii="黑体" w:hAnsi="黑体" w:eastAsia="黑体"/>
        </w:rPr>
      </w:pPr>
      <w:r>
        <w:rPr>
          <w:rStyle w:val="5"/>
          <w:rFonts w:hint="eastAsia" w:ascii="黑体" w:hAnsi="黑体" w:eastAsia="黑体"/>
          <w:b w:val="0"/>
          <w:spacing w:val="-4"/>
          <w:sz w:val="32"/>
          <w:szCs w:val="32"/>
        </w:rPr>
        <w:t>四、项目绩效情况</w:t>
      </w:r>
      <w:r>
        <w:rPr>
          <w:rStyle w:val="5"/>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5"/>
          <w:rFonts w:hint="eastAsia" w:ascii="仿宋" w:hAnsi="仿宋" w:eastAsia="仿宋"/>
          <w:b w:val="0"/>
          <w:spacing w:val="-4"/>
          <w:sz w:val="32"/>
          <w:szCs w:val="32"/>
          <w:lang w:eastAsia="zh-CN"/>
        </w:rPr>
      </w:pPr>
      <w:r>
        <w:rPr>
          <w:rStyle w:val="5"/>
          <w:rFonts w:hint="eastAsia" w:ascii="仿宋" w:hAnsi="仿宋" w:eastAsia="仿宋"/>
          <w:b w:val="0"/>
          <w:spacing w:val="-4"/>
          <w:sz w:val="32"/>
          <w:szCs w:val="32"/>
          <w:lang w:eastAsia="zh-CN"/>
        </w:rPr>
        <w:t>该项目已按既定目标完成，该项目的实施有利于社会稳定，对存在安全隐患起到防范、监督、辅助作用，有利于公共场所的公共秩序。</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hint="eastAsia" w:ascii="仿宋" w:hAnsi="仿宋" w:eastAsia="仿宋"/>
          <w:spacing w:val="-4"/>
          <w:sz w:val="32"/>
          <w:szCs w:val="32"/>
          <w:lang w:eastAsia="zh-CN"/>
        </w:rPr>
      </w:pPr>
      <w:r>
        <w:rPr>
          <w:rFonts w:hint="eastAsia" w:ascii="仿宋" w:hAnsi="仿宋" w:eastAsia="仿宋"/>
          <w:spacing w:val="-4"/>
          <w:sz w:val="32"/>
          <w:szCs w:val="32"/>
          <w:lang w:eastAsia="zh-CN"/>
        </w:rPr>
        <w:t>无</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五、其他需要说明的问题</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Fonts w:hint="eastAsia" w:ascii="仿宋_GB2312" w:eastAsia="仿宋_GB2312"/>
          <w:spacing w:val="-4"/>
          <w:sz w:val="32"/>
          <w:szCs w:val="32"/>
          <w:lang w:eastAsia="zh-CN"/>
        </w:rPr>
      </w:pPr>
      <w:r>
        <w:rPr>
          <w:rFonts w:hint="eastAsia" w:ascii="仿宋_GB2312" w:eastAsia="仿宋_GB2312"/>
          <w:spacing w:val="-4"/>
          <w:sz w:val="32"/>
          <w:szCs w:val="32"/>
        </w:rPr>
        <w:t>该项目按照合同约定，保修期为</w:t>
      </w:r>
      <w:r>
        <w:rPr>
          <w:rFonts w:hint="eastAsia" w:ascii="仿宋_GB2312" w:eastAsia="仿宋_GB2312"/>
          <w:spacing w:val="-4"/>
          <w:sz w:val="32"/>
          <w:szCs w:val="32"/>
          <w:lang w:eastAsia="zh-CN"/>
        </w:rPr>
        <w:t>一</w:t>
      </w:r>
      <w:r>
        <w:rPr>
          <w:rFonts w:hint="eastAsia" w:ascii="仿宋_GB2312" w:eastAsia="仿宋_GB2312"/>
          <w:spacing w:val="-4"/>
          <w:sz w:val="32"/>
          <w:szCs w:val="32"/>
        </w:rPr>
        <w:t>年，自验收合格之日起计算，验收合格后，将持续监测使用过程中出现的问题，及时反馈，确保该项目的有效性及实用性</w:t>
      </w:r>
      <w:r>
        <w:rPr>
          <w:rFonts w:hint="eastAsia" w:ascii="仿宋_GB2312" w:eastAsia="仿宋_GB2312"/>
          <w:spacing w:val="-4"/>
          <w:sz w:val="32"/>
          <w:szCs w:val="32"/>
          <w:lang w:eastAsia="zh-CN"/>
        </w:rPr>
        <w:t>。</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Fonts w:hint="eastAsia" w:ascii="仿宋_GB2312" w:eastAsia="仿宋_GB2312"/>
          <w:spacing w:val="-4"/>
          <w:sz w:val="32"/>
          <w:szCs w:val="32"/>
        </w:rPr>
      </w:pPr>
      <w:r>
        <w:rPr>
          <w:rFonts w:hint="eastAsia" w:ascii="仿宋_GB2312" w:eastAsia="仿宋_GB2312"/>
          <w:spacing w:val="-4"/>
          <w:sz w:val="32"/>
          <w:szCs w:val="32"/>
        </w:rPr>
        <w:t>在设备类项目采购中应从产品质量售后服务等综合考虑产品价格，估算价格需完全包含所采购设备的运费、税金、安装、保存费用等。</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（包括资金安排、使用过程中的经验、做法、存在问题、改进措施和有关建议等）</w:t>
      </w:r>
    </w:p>
    <w:p>
      <w:pPr>
        <w:numPr>
          <w:ilvl w:val="0"/>
          <w:numId w:val="1"/>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其他</w:t>
      </w:r>
    </w:p>
    <w:p>
      <w:pPr>
        <w:spacing w:line="540" w:lineRule="exact"/>
        <w:ind w:firstLine="564" w:firstLineChars="181"/>
        <w:rPr>
          <w:rFonts w:hint="eastAsia" w:ascii="仿宋_GB2312" w:eastAsia="仿宋_GB2312"/>
          <w:spacing w:val="-4"/>
          <w:sz w:val="32"/>
          <w:szCs w:val="32"/>
          <w:lang w:eastAsia="zh-CN"/>
        </w:rPr>
      </w:pPr>
      <w:r>
        <w:rPr>
          <w:rFonts w:hint="eastAsia" w:ascii="仿宋_GB2312" w:eastAsia="仿宋_GB2312"/>
          <w:spacing w:val="-4"/>
          <w:sz w:val="32"/>
          <w:szCs w:val="32"/>
          <w:lang w:eastAsia="zh-CN"/>
        </w:rPr>
        <w:t>无</w:t>
      </w:r>
    </w:p>
    <w:p>
      <w:pPr>
        <w:spacing w:line="540" w:lineRule="exact"/>
        <w:ind w:firstLine="567" w:firstLineChars="181"/>
        <w:rPr>
          <w:rFonts w:ascii="楷体" w:hAnsi="楷体" w:eastAsia="楷体"/>
          <w:b/>
          <w:spacing w:val="-4"/>
          <w:sz w:val="32"/>
          <w:szCs w:val="32"/>
        </w:rPr>
      </w:pP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六、项目评价工作情况</w:t>
      </w:r>
    </w:p>
    <w:p>
      <w:pPr>
        <w:spacing w:line="540" w:lineRule="exact"/>
        <w:ind w:firstLine="564" w:firstLineChars="181"/>
        <w:rPr>
          <w:rFonts w:hint="eastAsia" w:ascii="仿宋_GB2312" w:eastAsia="仿宋_GB2312"/>
          <w:spacing w:val="-4"/>
          <w:sz w:val="32"/>
          <w:szCs w:val="32"/>
          <w:lang w:eastAsia="zh-CN"/>
        </w:rPr>
      </w:pPr>
      <w:r>
        <w:rPr>
          <w:rFonts w:hint="eastAsia" w:ascii="仿宋_GB2312" w:eastAsia="仿宋_GB2312"/>
          <w:spacing w:val="-4"/>
          <w:sz w:val="32"/>
          <w:szCs w:val="32"/>
          <w:lang w:eastAsia="zh-CN"/>
        </w:rPr>
        <w:t>无</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七、附表</w:t>
      </w:r>
    </w:p>
    <w:p>
      <w:pPr>
        <w:spacing w:line="540" w:lineRule="exact"/>
        <w:ind w:firstLine="567"/>
        <w:rPr>
          <w:rStyle w:val="5"/>
          <w:rFonts w:ascii="仿宋" w:hAnsi="仿宋" w:eastAsia="仿宋"/>
          <w:b w:val="0"/>
          <w:spacing w:val="-4"/>
          <w:sz w:val="32"/>
          <w:szCs w:val="32"/>
        </w:rPr>
      </w:pPr>
      <w:r>
        <w:rPr>
          <w:rStyle w:val="5"/>
          <w:rFonts w:hint="eastAsia" w:ascii="仿宋" w:hAnsi="仿宋" w:eastAsia="仿宋"/>
          <w:b w:val="0"/>
          <w:spacing w:val="-4"/>
          <w:sz w:val="32"/>
          <w:szCs w:val="32"/>
        </w:rPr>
        <w:t>《</w:t>
      </w:r>
      <w:r>
        <w:rPr>
          <w:rStyle w:val="5"/>
          <w:rFonts w:hint="eastAsia" w:ascii="仿宋" w:hAnsi="仿宋" w:eastAsia="仿宋"/>
          <w:b w:val="0"/>
          <w:spacing w:val="-4"/>
          <w:sz w:val="32"/>
          <w:szCs w:val="32"/>
          <w:lang w:eastAsia="zh-CN"/>
        </w:rPr>
        <w:t>玛纳斯</w:t>
      </w:r>
      <w:r>
        <w:rPr>
          <w:rStyle w:val="5"/>
          <w:rFonts w:hint="eastAsia" w:ascii="仿宋" w:hAnsi="仿宋" w:eastAsia="仿宋"/>
          <w:b w:val="0"/>
          <w:spacing w:val="-4"/>
          <w:sz w:val="32"/>
          <w:szCs w:val="32"/>
        </w:rPr>
        <w:t>财政项目支出绩效自评表》</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566"/>
        <w:gridCol w:w="2130"/>
        <w:gridCol w:w="2024"/>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b w:val="0"/>
                <w:bCs w:val="0"/>
                <w:kern w:val="0"/>
                <w:sz w:val="24"/>
                <w:szCs w:val="24"/>
                <w:lang w:val="en-US" w:eastAsia="zh-CN"/>
              </w:rPr>
              <w:t>2018</w:t>
            </w:r>
            <w:r>
              <w:rPr>
                <w:rFonts w:hint="eastAsia" w:ascii="楷体" w:hAnsi="楷体" w:eastAsia="楷体" w:cs="楷体"/>
                <w:b w:val="0"/>
                <w:bCs w:val="0"/>
                <w:kern w:val="0"/>
                <w:sz w:val="24"/>
                <w:szCs w:val="24"/>
              </w:rPr>
              <w:t xml:space="preserve"> 年度</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566"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13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24"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新玛纳斯人服务中心监控及广播设备</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玛纳斯县项目代建管理处</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ascii="宋体" w:hAnsi="宋体" w:cs="宋体"/>
                <w:kern w:val="0"/>
                <w:sz w:val="20"/>
                <w:szCs w:val="20"/>
              </w:rPr>
            </w:pPr>
            <w:r>
              <w:rPr>
                <w:rFonts w:hint="eastAsia" w:ascii="宋体" w:hAnsi="宋体" w:cs="宋体"/>
                <w:kern w:val="0"/>
                <w:sz w:val="20"/>
                <w:szCs w:val="20"/>
              </w:rPr>
              <w:t xml:space="preserve"> 预算数：</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40.6万元</w:t>
            </w:r>
            <w:r>
              <w:rPr>
                <w:rFonts w:hint="eastAsia" w:ascii="宋体" w:hAnsi="宋体" w:cs="宋体"/>
                <w:kern w:val="0"/>
                <w:sz w:val="20"/>
                <w:szCs w:val="20"/>
              </w:rPr>
              <w:t>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20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40.6万元</w:t>
            </w:r>
          </w:p>
        </w:tc>
      </w:tr>
      <w:tr>
        <w:tblPrEx>
          <w:tblLayout w:type="fixed"/>
          <w:tblCellMar>
            <w:top w:w="0" w:type="dxa"/>
            <w:left w:w="108" w:type="dxa"/>
            <w:bottom w:w="0" w:type="dxa"/>
            <w:right w:w="108" w:type="dxa"/>
          </w:tblCellMar>
        </w:tblPrEx>
        <w:trPr>
          <w:trHeight w:val="509"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c>
          <w:tcPr>
            <w:tcW w:w="213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20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0</w:t>
            </w:r>
          </w:p>
        </w:tc>
      </w:tr>
      <w:tr>
        <w:tblPrEx>
          <w:tblLayout w:type="fixed"/>
          <w:tblCellMar>
            <w:top w:w="0" w:type="dxa"/>
            <w:left w:w="108" w:type="dxa"/>
            <w:bottom w:w="0" w:type="dxa"/>
            <w:right w:w="108" w:type="dxa"/>
          </w:tblCellMar>
        </w:tblPrEx>
        <w:trPr>
          <w:trHeight w:val="328"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自治区财政安排</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c>
          <w:tcPr>
            <w:tcW w:w="2130"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eastAsia="zh-CN"/>
              </w:rPr>
              <w:t>自治区财政安排</w:t>
            </w:r>
          </w:p>
        </w:tc>
        <w:tc>
          <w:tcPr>
            <w:tcW w:w="20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0</w:t>
            </w: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州财政安排</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0</w:t>
            </w:r>
          </w:p>
        </w:tc>
        <w:tc>
          <w:tcPr>
            <w:tcW w:w="2130"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lang w:eastAsia="zh-CN"/>
              </w:rPr>
              <w:t>州财政安排</w:t>
            </w:r>
          </w:p>
        </w:tc>
        <w:tc>
          <w:tcPr>
            <w:tcW w:w="20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0</w:t>
            </w: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县财政配套</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40.6万元</w:t>
            </w:r>
          </w:p>
        </w:tc>
        <w:tc>
          <w:tcPr>
            <w:tcW w:w="2130"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lang w:eastAsia="zh-CN"/>
              </w:rPr>
              <w:t>县财政配套</w:t>
            </w:r>
          </w:p>
        </w:tc>
        <w:tc>
          <w:tcPr>
            <w:tcW w:w="20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40.6万元</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0</w:t>
            </w:r>
          </w:p>
        </w:tc>
        <w:tc>
          <w:tcPr>
            <w:tcW w:w="2130" w:type="dxa"/>
            <w:tcBorders>
              <w:top w:val="single" w:color="auto" w:sz="4" w:space="0"/>
              <w:left w:val="nil"/>
              <w:bottom w:val="nil"/>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20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0</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14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rPr>
              <w:t>预期目标</w:t>
            </w:r>
            <w:r>
              <w:rPr>
                <w:rFonts w:hint="eastAsia" w:ascii="宋体" w:hAnsi="宋体" w:cs="宋体"/>
                <w:kern w:val="0"/>
                <w:sz w:val="20"/>
                <w:szCs w:val="20"/>
                <w:lang w:val="en-US" w:eastAsia="zh-CN"/>
              </w:rPr>
              <w:t xml:space="preserve"> </w:t>
            </w:r>
          </w:p>
        </w:tc>
        <w:tc>
          <w:tcPr>
            <w:tcW w:w="415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146"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 xml:space="preserve"> 完成新玛纳斯人服务中心监控及广播设备项目内所有工程量，完成验收工作，根据合同验收结束后，拨付70％工程款，即 40.6万元</w:t>
            </w:r>
          </w:p>
        </w:tc>
        <w:tc>
          <w:tcPr>
            <w:tcW w:w="4154"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lang w:val="en-US" w:eastAsia="zh-CN"/>
              </w:rPr>
              <w:t>实际已全部完成新玛纳斯人服务中心监控及广播设备项目内所有工程量，支付工程款 40.6万元</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1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20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完成全部清单内工程量，验收合格后支付</w:t>
            </w:r>
            <w:r>
              <w:rPr>
                <w:rFonts w:hint="eastAsia" w:ascii="宋体" w:hAnsi="宋体" w:cs="宋体"/>
                <w:kern w:val="0"/>
                <w:sz w:val="20"/>
                <w:szCs w:val="20"/>
                <w:lang w:val="en-US" w:eastAsia="zh-CN"/>
              </w:rPr>
              <w:t>70％工程款，即40.6万元</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实际已全部完成新玛纳斯人服务中心监控及广播设备项目内所有工程量，支付工程款 40.6万元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rPr>
              <w:t>质量要求</w:t>
            </w:r>
            <w:r>
              <w:rPr>
                <w:rFonts w:hint="eastAsia" w:ascii="宋体" w:hAnsi="宋体" w:cs="宋体"/>
                <w:kern w:val="0"/>
                <w:sz w:val="20"/>
                <w:szCs w:val="20"/>
                <w:lang w:eastAsia="zh-CN"/>
              </w:rPr>
              <w:t>：</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质量符合国家验收标准，所有设备与清单一致，必须满足清单内技术参数要求</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质量符合国家验收标准</w:t>
            </w:r>
            <w:r>
              <w:rPr>
                <w:rFonts w:hint="eastAsia" w:ascii="宋体" w:hAnsi="宋体" w:cs="宋体"/>
                <w:kern w:val="0"/>
                <w:sz w:val="20"/>
                <w:szCs w:val="20"/>
              </w:rPr>
              <w:t>　</w:t>
            </w:r>
            <w:r>
              <w:rPr>
                <w:rFonts w:hint="eastAsia" w:ascii="宋体" w:hAnsi="宋体" w:cs="宋体"/>
                <w:kern w:val="0"/>
                <w:sz w:val="20"/>
                <w:szCs w:val="20"/>
                <w:lang w:eastAsia="zh-CN"/>
              </w:rPr>
              <w:t>所有设备与清单一致，满足清单内技术参数要求</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保质期：</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3年</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3年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eastAsia="zh-CN"/>
              </w:rPr>
            </w:pPr>
            <w:r>
              <w:rPr>
                <w:rFonts w:hint="eastAsia" w:ascii="宋体" w:hAnsi="宋体" w:cs="宋体"/>
                <w:kern w:val="0"/>
                <w:sz w:val="20"/>
                <w:szCs w:val="20"/>
              </w:rPr>
              <w:t>开工日期</w:t>
            </w:r>
            <w:r>
              <w:rPr>
                <w:rFonts w:hint="eastAsia" w:ascii="宋体" w:hAnsi="宋体" w:cs="宋体"/>
                <w:kern w:val="0"/>
                <w:sz w:val="20"/>
                <w:szCs w:val="20"/>
                <w:lang w:eastAsia="zh-CN"/>
              </w:rPr>
              <w:t>：</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2018-5-17</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lang w:val="en-US" w:eastAsia="zh-CN"/>
              </w:rPr>
              <w:t>2018-5-17</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安装时限</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15日内</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15日内</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成交金额</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58万</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eastAsia="zh-CN"/>
              </w:rPr>
            </w:pPr>
            <w:r>
              <w:rPr>
                <w:rFonts w:hint="eastAsia" w:ascii="宋体" w:hAnsi="宋体" w:cs="宋体"/>
                <w:kern w:val="0"/>
                <w:sz w:val="20"/>
                <w:szCs w:val="20"/>
                <w:lang w:val="en-US" w:eastAsia="zh-CN"/>
              </w:rPr>
              <w:t>58万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1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监控面积</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2.5万平方米</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2.5万平方米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对人员密集场所进行安防配置，完成维稳要求</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对人员密集场所进行安防配置，完成维稳要求</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1101"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二氧化碳排放量</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0</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eastAsia="zh-CN"/>
              </w:rPr>
            </w:pPr>
            <w:r>
              <w:rPr>
                <w:rFonts w:hint="eastAsia" w:ascii="宋体" w:hAnsi="宋体" w:cs="宋体"/>
                <w:kern w:val="0"/>
                <w:sz w:val="20"/>
                <w:szCs w:val="20"/>
                <w:lang w:val="en-US" w:eastAsia="zh-CN"/>
              </w:rPr>
              <w:t>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eastAsia="zh-CN"/>
              </w:rPr>
            </w:pPr>
            <w:r>
              <w:rPr>
                <w:rFonts w:hint="eastAsia" w:ascii="宋体" w:hAnsi="宋体" w:cs="宋体"/>
                <w:kern w:val="0"/>
                <w:sz w:val="20"/>
                <w:szCs w:val="20"/>
              </w:rPr>
              <w:t xml:space="preserve"> 保修期</w:t>
            </w:r>
            <w:r>
              <w:rPr>
                <w:rFonts w:hint="eastAsia" w:ascii="宋体" w:hAnsi="宋体" w:cs="宋体"/>
                <w:kern w:val="0"/>
                <w:sz w:val="20"/>
                <w:szCs w:val="20"/>
                <w:lang w:eastAsia="zh-CN"/>
              </w:rPr>
              <w:t>：</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3年</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3年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eastAsia="zh-CN"/>
              </w:rPr>
            </w:pPr>
            <w:r>
              <w:rPr>
                <w:rFonts w:hint="eastAsia" w:ascii="宋体" w:hAnsi="宋体" w:cs="宋体"/>
                <w:kern w:val="0"/>
                <w:sz w:val="20"/>
                <w:szCs w:val="20"/>
              </w:rPr>
              <w:t xml:space="preserve"> 满意度</w:t>
            </w:r>
            <w:r>
              <w:rPr>
                <w:rFonts w:hint="eastAsia" w:ascii="宋体" w:hAnsi="宋体" w:cs="宋体"/>
                <w:kern w:val="0"/>
                <w:sz w:val="20"/>
                <w:szCs w:val="20"/>
                <w:lang w:eastAsia="zh-CN"/>
              </w:rPr>
              <w:t>：</w:t>
            </w:r>
          </w:p>
        </w:tc>
        <w:tc>
          <w:tcPr>
            <w:tcW w:w="21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1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1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1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rPr>
          <w:rStyle w:val="5"/>
          <w:rFonts w:hint="eastAsia" w:ascii="仿宋" w:hAnsi="仿宋" w:eastAsia="仿宋"/>
          <w:b w:val="0"/>
          <w:spacing w:val="-4"/>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A97B"/>
    <w:multiLevelType w:val="singleLevel"/>
    <w:tmpl w:val="07E4A97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15F68"/>
    <w:rsid w:val="05543D42"/>
    <w:rsid w:val="0C895A51"/>
    <w:rsid w:val="0DC15F68"/>
    <w:rsid w:val="1BA3059C"/>
    <w:rsid w:val="40E23EFF"/>
    <w:rsid w:val="416B1D95"/>
    <w:rsid w:val="64FD2A74"/>
    <w:rsid w:val="65510D8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val="0"/>
      <w:adjustRightInd/>
      <w:snapToGrid/>
      <w:spacing w:after="0"/>
      <w:jc w:val="both"/>
    </w:pPr>
    <w:rPr>
      <w:rFonts w:ascii="Times New Roman" w:hAnsi="Times New Roman" w:eastAsia="宋体" w:cs="Times New Roman"/>
      <w:kern w:val="2"/>
      <w:sz w:val="24"/>
      <w:szCs w:val="24"/>
    </w:r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2019-02-02T03:50:00Z</dcterms:created>
  <dc:creator>北方</dc:creator>
  <cp:lastModifiedBy>Administrator</cp:lastModifiedBy>
  <dcterms:modified xsi:type="dcterms:W3CDTF">2024-03-28T10:02:50Z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