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spacing w:after="0" w:line="520" w:lineRule="exact"/>
        <w:ind w:firstLine="540" w:firstLineChars="150"/>
        <w:rPr>
          <w:rFonts w:ascii="仿宋" w:hAnsi="仿宋" w:eastAsia="仿宋" w:cs="仿宋"/>
          <w:color w:val="auto"/>
          <w:sz w:val="36"/>
          <w:szCs w:val="36"/>
        </w:rPr>
      </w:pPr>
      <w:bookmarkStart w:id="0" w:name="_GoBack"/>
      <w:bookmarkEnd w:id="0"/>
      <w:r>
        <w:rPr>
          <w:rFonts w:ascii="仿宋" w:hAnsi="仿宋" w:eastAsia="仿宋" w:cs="仿宋"/>
          <w:color w:val="auto"/>
          <w:sz w:val="36"/>
          <w:szCs w:val="36"/>
        </w:rPr>
        <w:t>2017</w:t>
      </w:r>
      <w:r>
        <w:rPr>
          <w:rFonts w:hint="eastAsia" w:ascii="仿宋" w:hAnsi="仿宋" w:eastAsia="仿宋" w:cs="仿宋"/>
          <w:color w:val="auto"/>
          <w:sz w:val="36"/>
          <w:szCs w:val="36"/>
        </w:rPr>
        <w:t>年度玛纳斯县工商局部门决算公开说明</w:t>
      </w:r>
    </w:p>
    <w:p>
      <w:pPr>
        <w:shd w:val="clear"/>
        <w:spacing w:line="220" w:lineRule="atLeast"/>
        <w:ind w:firstLine="600" w:firstLineChars="200"/>
        <w:rPr>
          <w:rFonts w:ascii="仿宋" w:hAnsi="仿宋" w:eastAsia="仿宋" w:cs="仿宋"/>
          <w:color w:val="auto"/>
          <w:sz w:val="30"/>
          <w:szCs w:val="30"/>
        </w:rPr>
      </w:pPr>
    </w:p>
    <w:p>
      <w:pPr>
        <w:shd w:val="clear"/>
        <w:spacing w:after="0" w:line="520" w:lineRule="exact"/>
        <w:ind w:firstLine="643" w:firstLineChars="200"/>
        <w:jc w:val="center"/>
        <w:rPr>
          <w:rFonts w:ascii="仿宋" w:hAnsi="仿宋" w:eastAsia="仿宋" w:cs="仿宋"/>
          <w:b/>
          <w:color w:val="auto"/>
          <w:sz w:val="32"/>
          <w:szCs w:val="32"/>
        </w:rPr>
      </w:pPr>
      <w:r>
        <w:rPr>
          <w:rFonts w:hint="eastAsia" w:ascii="仿宋" w:hAnsi="仿宋" w:eastAsia="仿宋" w:cs="仿宋"/>
          <w:b/>
          <w:color w:val="auto"/>
          <w:sz w:val="32"/>
          <w:szCs w:val="32"/>
        </w:rPr>
        <w:t>目</w:t>
      </w:r>
      <w:r>
        <w:rPr>
          <w:rFonts w:ascii="仿宋" w:hAnsi="仿宋" w:eastAsia="仿宋" w:cs="仿宋"/>
          <w:b/>
          <w:color w:val="auto"/>
          <w:sz w:val="32"/>
          <w:szCs w:val="32"/>
        </w:rPr>
        <w:t xml:space="preserve">  </w:t>
      </w:r>
      <w:r>
        <w:rPr>
          <w:rFonts w:hint="eastAsia" w:ascii="仿宋" w:hAnsi="仿宋" w:eastAsia="仿宋" w:cs="仿宋"/>
          <w:b/>
          <w:color w:val="auto"/>
          <w:sz w:val="32"/>
          <w:szCs w:val="32"/>
        </w:rPr>
        <w:t>录</w:t>
      </w:r>
    </w:p>
    <w:p>
      <w:pPr>
        <w:shd w:val="clear"/>
        <w:spacing w:line="220" w:lineRule="atLeast"/>
        <w:ind w:firstLine="600" w:firstLineChars="200"/>
        <w:rPr>
          <w:rFonts w:ascii="仿宋" w:hAnsi="仿宋" w:eastAsia="仿宋" w:cs="仿宋"/>
          <w:color w:val="auto"/>
          <w:sz w:val="30"/>
          <w:szCs w:val="30"/>
        </w:rPr>
      </w:pPr>
    </w:p>
    <w:p>
      <w:pPr>
        <w:shd w:val="clear"/>
        <w:spacing w:after="0" w:line="520" w:lineRule="exact"/>
        <w:ind w:firstLine="602" w:firstLineChars="200"/>
        <w:rPr>
          <w:rFonts w:ascii="仿宋" w:hAnsi="仿宋" w:eastAsia="仿宋" w:cs="仿宋"/>
          <w:b/>
          <w:bCs/>
          <w:color w:val="auto"/>
          <w:sz w:val="30"/>
          <w:szCs w:val="30"/>
        </w:rPr>
      </w:pPr>
      <w:r>
        <w:rPr>
          <w:rFonts w:hint="eastAsia" w:ascii="仿宋" w:hAnsi="仿宋" w:eastAsia="仿宋" w:cs="仿宋"/>
          <w:b/>
          <w:bCs/>
          <w:color w:val="auto"/>
          <w:sz w:val="30"/>
          <w:szCs w:val="30"/>
        </w:rPr>
        <w:t>第一部分</w:t>
      </w:r>
      <w:r>
        <w:rPr>
          <w:rFonts w:ascii="仿宋" w:hAnsi="仿宋" w:eastAsia="仿宋" w:cs="仿宋"/>
          <w:b/>
          <w:bCs/>
          <w:color w:val="auto"/>
          <w:sz w:val="30"/>
          <w:szCs w:val="30"/>
        </w:rPr>
        <w:t xml:space="preserve"> </w:t>
      </w:r>
      <w:r>
        <w:rPr>
          <w:rFonts w:hint="eastAsia" w:ascii="仿宋" w:hAnsi="仿宋" w:eastAsia="仿宋" w:cs="仿宋"/>
          <w:b/>
          <w:bCs/>
          <w:color w:val="auto"/>
          <w:sz w:val="30"/>
          <w:szCs w:val="30"/>
        </w:rPr>
        <w:t>工行局概况</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一、主要职能、机构设置及人员情况</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二、部门决算单位构成</w:t>
      </w:r>
    </w:p>
    <w:p>
      <w:pPr>
        <w:shd w:val="clear"/>
        <w:spacing w:after="0" w:line="520" w:lineRule="exact"/>
        <w:ind w:firstLine="602" w:firstLineChars="200"/>
        <w:rPr>
          <w:rFonts w:ascii="仿宋" w:hAnsi="仿宋" w:eastAsia="仿宋" w:cs="仿宋"/>
          <w:b/>
          <w:bCs/>
          <w:color w:val="auto"/>
          <w:sz w:val="30"/>
          <w:szCs w:val="30"/>
        </w:rPr>
      </w:pPr>
      <w:r>
        <w:rPr>
          <w:rFonts w:hint="eastAsia" w:ascii="仿宋" w:hAnsi="仿宋" w:eastAsia="仿宋" w:cs="仿宋"/>
          <w:b/>
          <w:bCs/>
          <w:color w:val="auto"/>
          <w:sz w:val="30"/>
          <w:szCs w:val="30"/>
        </w:rPr>
        <w:t>第二部分</w:t>
      </w:r>
      <w:r>
        <w:rPr>
          <w:rFonts w:ascii="仿宋" w:hAnsi="仿宋" w:eastAsia="仿宋" w:cs="仿宋"/>
          <w:b/>
          <w:bCs/>
          <w:color w:val="auto"/>
          <w:sz w:val="30"/>
          <w:szCs w:val="30"/>
        </w:rPr>
        <w:t xml:space="preserve"> </w:t>
      </w:r>
      <w:r>
        <w:rPr>
          <w:rFonts w:hint="eastAsia" w:ascii="仿宋" w:hAnsi="仿宋" w:eastAsia="仿宋" w:cs="仿宋"/>
          <w:b/>
          <w:bCs/>
          <w:color w:val="auto"/>
          <w:sz w:val="30"/>
          <w:szCs w:val="30"/>
        </w:rPr>
        <w:t>部门决算情况说明</w:t>
      </w:r>
      <w:r>
        <w:rPr>
          <w:rFonts w:ascii="仿宋" w:hAnsi="仿宋" w:eastAsia="仿宋" w:cs="仿宋"/>
          <w:b/>
          <w:bCs/>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一、部门收支总体情况</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（一）部门收入支出决算总体情况说明</w:t>
      </w:r>
      <w:r>
        <w:rPr>
          <w:rFonts w:ascii="仿宋" w:hAnsi="仿宋" w:eastAsia="仿宋" w:cs="仿宋"/>
          <w:color w:val="auto"/>
          <w:sz w:val="30"/>
          <w:szCs w:val="30"/>
        </w:rPr>
        <w:t xml:space="preserve"> </w:t>
      </w:r>
    </w:p>
    <w:p>
      <w:pPr>
        <w:numPr>
          <w:ilvl w:val="0"/>
          <w:numId w:val="1"/>
        </w:num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部门收入总体情况说明</w:t>
      </w:r>
      <w:r>
        <w:rPr>
          <w:rFonts w:ascii="仿宋" w:hAnsi="仿宋" w:eastAsia="仿宋" w:cs="仿宋"/>
          <w:color w:val="auto"/>
          <w:sz w:val="30"/>
          <w:szCs w:val="30"/>
        </w:rPr>
        <w:t xml:space="preserve"> </w:t>
      </w:r>
    </w:p>
    <w:p>
      <w:pPr>
        <w:numPr>
          <w:ilvl w:val="0"/>
          <w:numId w:val="1"/>
        </w:num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部门支出总体情况说明</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二、部门财政拨款收支情况</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（一）财政拨款收支总体情况说明</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（二）一般公共预算支出决算情况说明</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（三）政府性基金预算收支决算情况说明</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（四）政府性基金预算支出决算情况说明</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三、部门结转结余情况</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四、一般公共预算“三公”经费支出情况</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五、机关运行经费支出情况</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六、政府采购情况</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七、其他重要事项的情况</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（一）国有资产占用情况说明</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（二）国有资产收益征缴情况说明</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（三）部门项目支出情况和项目绩效评价情况说明</w:t>
      </w:r>
      <w:r>
        <w:rPr>
          <w:rFonts w:ascii="仿宋" w:hAnsi="仿宋" w:eastAsia="仿宋" w:cs="仿宋"/>
          <w:color w:val="auto"/>
          <w:sz w:val="30"/>
          <w:szCs w:val="30"/>
        </w:rPr>
        <w:t xml:space="preserve"> </w:t>
      </w:r>
    </w:p>
    <w:p>
      <w:pPr>
        <w:shd w:val="clear"/>
        <w:spacing w:after="0" w:line="520" w:lineRule="exact"/>
        <w:ind w:firstLine="602" w:firstLineChars="200"/>
        <w:rPr>
          <w:rFonts w:ascii="仿宋" w:hAnsi="仿宋" w:eastAsia="仿宋" w:cs="仿宋"/>
          <w:b/>
          <w:bCs/>
          <w:color w:val="auto"/>
          <w:sz w:val="30"/>
          <w:szCs w:val="30"/>
        </w:rPr>
      </w:pPr>
      <w:r>
        <w:rPr>
          <w:rFonts w:hint="eastAsia" w:ascii="仿宋" w:hAnsi="仿宋" w:eastAsia="仿宋" w:cs="仿宋"/>
          <w:b/>
          <w:bCs/>
          <w:color w:val="auto"/>
          <w:sz w:val="30"/>
          <w:szCs w:val="30"/>
        </w:rPr>
        <w:t>第三部分</w:t>
      </w:r>
      <w:r>
        <w:rPr>
          <w:rFonts w:ascii="仿宋" w:hAnsi="仿宋" w:eastAsia="仿宋" w:cs="仿宋"/>
          <w:b/>
          <w:bCs/>
          <w:color w:val="auto"/>
          <w:sz w:val="30"/>
          <w:szCs w:val="30"/>
        </w:rPr>
        <w:t xml:space="preserve"> </w:t>
      </w:r>
      <w:r>
        <w:rPr>
          <w:rFonts w:hint="eastAsia" w:ascii="仿宋" w:hAnsi="仿宋" w:eastAsia="仿宋" w:cs="仿宋"/>
          <w:b/>
          <w:bCs/>
          <w:color w:val="auto"/>
          <w:sz w:val="30"/>
          <w:szCs w:val="30"/>
        </w:rPr>
        <w:t>专业名词解释</w:t>
      </w:r>
      <w:r>
        <w:rPr>
          <w:rFonts w:ascii="仿宋" w:hAnsi="仿宋" w:eastAsia="仿宋" w:cs="仿宋"/>
          <w:b/>
          <w:bCs/>
          <w:color w:val="auto"/>
          <w:sz w:val="30"/>
          <w:szCs w:val="30"/>
        </w:rPr>
        <w:t xml:space="preserve"> </w:t>
      </w:r>
    </w:p>
    <w:p>
      <w:pPr>
        <w:shd w:val="clear"/>
        <w:spacing w:after="0" w:line="520" w:lineRule="exact"/>
        <w:ind w:firstLine="602" w:firstLineChars="200"/>
        <w:rPr>
          <w:rFonts w:ascii="仿宋" w:hAnsi="仿宋" w:eastAsia="仿宋" w:cs="仿宋"/>
          <w:b/>
          <w:bCs/>
          <w:color w:val="auto"/>
          <w:sz w:val="30"/>
          <w:szCs w:val="30"/>
        </w:rPr>
      </w:pPr>
      <w:r>
        <w:rPr>
          <w:rFonts w:hint="eastAsia" w:ascii="仿宋" w:hAnsi="仿宋" w:eastAsia="仿宋" w:cs="仿宋"/>
          <w:b/>
          <w:bCs/>
          <w:color w:val="auto"/>
          <w:sz w:val="30"/>
          <w:szCs w:val="30"/>
        </w:rPr>
        <w:t>第四部分</w:t>
      </w:r>
      <w:r>
        <w:rPr>
          <w:rFonts w:ascii="仿宋" w:hAnsi="仿宋" w:eastAsia="仿宋" w:cs="仿宋"/>
          <w:b/>
          <w:bCs/>
          <w:color w:val="auto"/>
          <w:sz w:val="30"/>
          <w:szCs w:val="30"/>
        </w:rPr>
        <w:t xml:space="preserve"> </w:t>
      </w:r>
      <w:r>
        <w:rPr>
          <w:rFonts w:hint="eastAsia" w:ascii="仿宋" w:hAnsi="仿宋" w:eastAsia="仿宋" w:cs="仿宋"/>
          <w:b/>
          <w:bCs/>
          <w:color w:val="auto"/>
          <w:sz w:val="30"/>
          <w:szCs w:val="30"/>
        </w:rPr>
        <w:t>部门决算报表</w:t>
      </w:r>
      <w:r>
        <w:rPr>
          <w:rFonts w:ascii="仿宋" w:hAnsi="仿宋" w:eastAsia="仿宋" w:cs="仿宋"/>
          <w:b/>
          <w:bCs/>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一、报表封面</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二、部门收支总体情况（</w:t>
      </w:r>
      <w:r>
        <w:rPr>
          <w:rFonts w:ascii="仿宋" w:hAnsi="仿宋" w:eastAsia="仿宋" w:cs="仿宋"/>
          <w:color w:val="auto"/>
          <w:sz w:val="30"/>
          <w:szCs w:val="30"/>
        </w:rPr>
        <w:t>11</w:t>
      </w:r>
      <w:r>
        <w:rPr>
          <w:rFonts w:hint="eastAsia" w:ascii="仿宋" w:hAnsi="仿宋" w:eastAsia="仿宋" w:cs="仿宋"/>
          <w:color w:val="auto"/>
          <w:sz w:val="30"/>
          <w:szCs w:val="30"/>
        </w:rPr>
        <w:t>张）：</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《收入支出决算总表》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《收入决算表》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《支出决算表》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《收入支出决算表》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《项目收入支出决算表》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《行政事业类项目收入支出决算表》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《基本建设类项目收入支出决算表》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《基本支出决算明细表》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《项目支出决算明细表》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《财政专户管理资金收入支出决算表》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三、财政拨款收支情况（</w:t>
      </w:r>
      <w:r>
        <w:rPr>
          <w:rFonts w:ascii="仿宋" w:hAnsi="仿宋" w:eastAsia="仿宋" w:cs="仿宋"/>
          <w:color w:val="auto"/>
          <w:sz w:val="30"/>
          <w:szCs w:val="30"/>
        </w:rPr>
        <w:t>9</w:t>
      </w:r>
      <w:r>
        <w:rPr>
          <w:rFonts w:hint="eastAsia" w:ascii="仿宋" w:hAnsi="仿宋" w:eastAsia="仿宋" w:cs="仿宋"/>
          <w:color w:val="auto"/>
          <w:sz w:val="30"/>
          <w:szCs w:val="30"/>
        </w:rPr>
        <w:t>张）</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《财政拨款收入支出决算总表》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《一般公共预算财政拨款收入支出决算表》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《一般公共预算财政拨款支出决算明细表》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《一般公共预算财政拨款基本支出决算明细表》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《一般公共预算财政拨款项目支出决算明细表》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《政府性基金预算财政拨款收入支出决算表》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《政府性基金预算财政拨款支出决算明细表》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《政府性基金预算财政拨款基本支出决算明细表》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《政府性基金预算财政拨款项目支出决算明细表》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四、单位资产负责情况（</w:t>
      </w:r>
      <w:r>
        <w:rPr>
          <w:rFonts w:ascii="仿宋" w:hAnsi="仿宋" w:eastAsia="仿宋" w:cs="仿宋"/>
          <w:color w:val="auto"/>
          <w:sz w:val="30"/>
          <w:szCs w:val="30"/>
        </w:rPr>
        <w:t>1</w:t>
      </w:r>
      <w:r>
        <w:rPr>
          <w:rFonts w:hint="eastAsia" w:ascii="仿宋" w:hAnsi="仿宋" w:eastAsia="仿宋" w:cs="仿宋"/>
          <w:color w:val="auto"/>
          <w:sz w:val="30"/>
          <w:szCs w:val="30"/>
        </w:rPr>
        <w:t>张）：《资产负债简表》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五、部门决算附表（</w:t>
      </w:r>
      <w:r>
        <w:rPr>
          <w:rFonts w:ascii="仿宋" w:hAnsi="仿宋" w:eastAsia="仿宋" w:cs="仿宋"/>
          <w:color w:val="auto"/>
          <w:sz w:val="30"/>
          <w:szCs w:val="30"/>
        </w:rPr>
        <w:t>5</w:t>
      </w:r>
      <w:r>
        <w:rPr>
          <w:rFonts w:hint="eastAsia" w:ascii="仿宋" w:hAnsi="仿宋" w:eastAsia="仿宋" w:cs="仿宋"/>
          <w:color w:val="auto"/>
          <w:sz w:val="30"/>
          <w:szCs w:val="30"/>
        </w:rPr>
        <w:t>张）</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《资产情况表》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《国有资产收益征缴情况表》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《基本数字表》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《机构人员情况表》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《非税收入征缴情况表》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六、填报说明附表（</w:t>
      </w:r>
      <w:r>
        <w:rPr>
          <w:rFonts w:ascii="仿宋" w:hAnsi="仿宋" w:eastAsia="仿宋" w:cs="仿宋"/>
          <w:color w:val="auto"/>
          <w:sz w:val="30"/>
          <w:szCs w:val="30"/>
        </w:rPr>
        <w:t>2</w:t>
      </w:r>
      <w:r>
        <w:rPr>
          <w:rFonts w:hint="eastAsia" w:ascii="仿宋" w:hAnsi="仿宋" w:eastAsia="仿宋" w:cs="仿宋"/>
          <w:color w:val="auto"/>
          <w:sz w:val="30"/>
          <w:szCs w:val="30"/>
        </w:rPr>
        <w:t>张）</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《部门决算相关信息统计表》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《政府采购情况表》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七、“三公”经费支出情况</w:t>
      </w:r>
      <w:r>
        <w:rPr>
          <w:rFonts w:ascii="仿宋" w:hAnsi="仿宋" w:eastAsia="仿宋" w:cs="仿宋"/>
          <w:color w:val="auto"/>
          <w:sz w:val="30"/>
          <w:szCs w:val="30"/>
        </w:rPr>
        <w:t>(1</w:t>
      </w:r>
      <w:r>
        <w:rPr>
          <w:rFonts w:hint="eastAsia" w:ascii="仿宋" w:hAnsi="仿宋" w:eastAsia="仿宋" w:cs="仿宋"/>
          <w:color w:val="auto"/>
          <w:sz w:val="30"/>
          <w:szCs w:val="30"/>
        </w:rPr>
        <w:t>张</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《2017年度一般公共预算“三公”经费支出情况表》</w:t>
      </w:r>
      <w:r>
        <w:rPr>
          <w:rFonts w:ascii="仿宋" w:hAnsi="仿宋" w:eastAsia="仿宋" w:cs="仿宋"/>
          <w:color w:val="auto"/>
          <w:sz w:val="30"/>
          <w:szCs w:val="30"/>
        </w:rPr>
        <w:t xml:space="preserve"> </w:t>
      </w:r>
    </w:p>
    <w:p>
      <w:pPr>
        <w:shd w:val="clear"/>
        <w:spacing w:line="220" w:lineRule="atLeast"/>
        <w:ind w:firstLine="600" w:firstLineChars="200"/>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after="0" w:line="520" w:lineRule="exact"/>
        <w:jc w:val="center"/>
        <w:rPr>
          <w:rFonts w:ascii="仿宋" w:hAnsi="仿宋" w:eastAsia="仿宋" w:cs="仿宋"/>
          <w:b/>
          <w:bCs/>
          <w:color w:val="auto"/>
          <w:sz w:val="30"/>
          <w:szCs w:val="30"/>
        </w:rPr>
      </w:pPr>
    </w:p>
    <w:p>
      <w:pPr>
        <w:shd w:val="clear"/>
        <w:spacing w:after="0" w:line="520" w:lineRule="exact"/>
        <w:jc w:val="center"/>
        <w:rPr>
          <w:rFonts w:ascii="仿宋" w:hAnsi="仿宋" w:eastAsia="仿宋" w:cs="仿宋"/>
          <w:b/>
          <w:bCs/>
          <w:color w:val="auto"/>
          <w:sz w:val="30"/>
          <w:szCs w:val="30"/>
        </w:rPr>
      </w:pPr>
    </w:p>
    <w:p>
      <w:pPr>
        <w:shd w:val="clear"/>
        <w:spacing w:after="0" w:line="520" w:lineRule="exact"/>
        <w:jc w:val="center"/>
        <w:rPr>
          <w:rFonts w:hint="eastAsia" w:ascii="仿宋" w:hAnsi="仿宋" w:eastAsia="仿宋" w:cs="仿宋"/>
          <w:b/>
          <w:bCs/>
          <w:color w:val="auto"/>
          <w:sz w:val="30"/>
          <w:szCs w:val="30"/>
        </w:rPr>
      </w:pPr>
    </w:p>
    <w:p>
      <w:pPr>
        <w:shd w:val="clear"/>
        <w:spacing w:after="0" w:line="520" w:lineRule="exact"/>
        <w:jc w:val="center"/>
        <w:rPr>
          <w:rFonts w:hint="eastAsia" w:ascii="仿宋" w:hAnsi="仿宋" w:eastAsia="仿宋" w:cs="仿宋"/>
          <w:b/>
          <w:bCs/>
          <w:color w:val="auto"/>
          <w:sz w:val="30"/>
          <w:szCs w:val="30"/>
        </w:rPr>
      </w:pPr>
    </w:p>
    <w:p>
      <w:pPr>
        <w:shd w:val="clear"/>
        <w:spacing w:after="0" w:line="520" w:lineRule="exact"/>
        <w:jc w:val="center"/>
        <w:rPr>
          <w:rFonts w:ascii="仿宋" w:hAnsi="仿宋" w:eastAsia="仿宋" w:cs="仿宋"/>
          <w:b/>
          <w:bCs/>
          <w:color w:val="auto"/>
          <w:sz w:val="30"/>
          <w:szCs w:val="30"/>
        </w:rPr>
      </w:pPr>
      <w:r>
        <w:rPr>
          <w:rFonts w:hint="eastAsia" w:ascii="仿宋" w:hAnsi="仿宋" w:eastAsia="仿宋" w:cs="仿宋"/>
          <w:b/>
          <w:bCs/>
          <w:color w:val="auto"/>
          <w:sz w:val="30"/>
          <w:szCs w:val="30"/>
        </w:rPr>
        <w:t>第一部分</w:t>
      </w:r>
      <w:r>
        <w:rPr>
          <w:rFonts w:ascii="仿宋" w:hAnsi="仿宋" w:eastAsia="仿宋" w:cs="仿宋"/>
          <w:b/>
          <w:bCs/>
          <w:color w:val="auto"/>
          <w:sz w:val="30"/>
          <w:szCs w:val="30"/>
        </w:rPr>
        <w:t xml:space="preserve"> </w:t>
      </w:r>
      <w:r>
        <w:rPr>
          <w:rFonts w:hint="eastAsia" w:ascii="仿宋" w:hAnsi="仿宋" w:eastAsia="仿宋" w:cs="仿宋"/>
          <w:b/>
          <w:bCs/>
          <w:color w:val="auto"/>
          <w:sz w:val="30"/>
          <w:szCs w:val="30"/>
        </w:rPr>
        <w:t>部门单位概况</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一、部门单位基本情况</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主要职能。根据（玛政办发[2016]18号）文件《玛纳斯县人民政府办公室关于印发工商行政管理局主要职责内设机构和人员编制的规定（修订）的通知》及（玛党发机编发[2016]05号）文件《玛纳斯县12315消费者投诉指挥举报中心的通知》，玛纳斯县工商行政管理局及隶属工商局管理的12315投诉举报中心具体职能如下：</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(1)贯彻执行国家和自治区有关工商行政管理的方针、政策及法律、法规，拟定本县有关工商行政管理规范性文件、具体措施并组织实施。</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(2)组织管理工商企业和从事经营活动的单位、个人的注册，核定注册单位名称，审定、批准、颁发有关证照并实行监督管理。</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(3)组织监督市场竞争行为，查处垄断、不正当竞争、走私贩私、传销和变相传销和经济违法行为。</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(4)组织监督市场交易行为，按规定组织监督检查流通领域商品质量，组织查处假冒伪劣等违法行为，保护经营者、消费者的合法权益。</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(5)组织实施各类市场经营秩序的规范管理和监督，并对开办各类交易市场及商品展销会进行登记管理。</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(6)组织监管经纪人、经纪机构。</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(7)组织管理经济合同，组织查处合同欺诈行为，组织管理动产抵押物登记，组织监管拍卖行为。</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(8)保护商标专用权，组织查处商标侵权行为。</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(9)组织管理广告发布和广告经营活动，查处违法行为。</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(10)组织管理个体工商户、个人合伙、个人独资和私营企业的经营行为。</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(11)组织对网络交易市场的监督管理，查处违法行为。</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(12)承办玛纳斯县人民政府、昌吉回族自治州工商行政管理局交办的其他事项。</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(13)受理消费者在购买、使用商品或接受服务过程中合法权益受到侵害的投诉以及对侵害消费者权益、制售假冒伪劣商品及其他经济违法行为的举报；</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(14)受理农民购买、使用直接用于农业生产的假冒伪劣生产资料及其权益受到损害等方面的投诉、举报；</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(15)受理由上级或相关部门移交的投诉、举报案件、并调解消费者与经营者发生的消费者权益争议；</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(16)会同消保科、经检队查处侵害消费者权益和制售假冒伪劣商品的案件；</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(17)依照工商行政管理机关业务职责分工，分流应当由机关内部其他部门处理的有关投诉、举报案件，移交应由其他部门处理的有关投诉、举报；</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(18)提供消费者权益保护及工商行政管理方面的法律、法规、规章及其消费信息、消费知识等方面的咨询服务；</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(19)采录、汇总、统计、分析消费者投诉、举报数据和资料，向政府和有关部门提供市场监管和行政执法的有关信息和建议，并审核归档；</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(20)公布有关消费者投诉、举报信息，发布市场预警、消费维权提示等相关信息；</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(21)指导协调工商所12315投诉举报网络的业务工作，承办领导交办的其他工作。</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2．机构情况，包括当年变动情况及原因。</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玛纳斯县工商局设6个内设机构：办公室、法规（监察）室、注册登记监督管理室、商标广告监督管理室、合同消保监督管理室、市场经济检查大队（网络交易监督管理室）。</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其他机构：城镇工商所、新湖工商所、乐土驿工商所、城郊工商所、玛纳斯县12315消费者投诉指挥举报中心；</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3．人员情况，包括当年变动情况及原因。</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玛纳斯县工商行政管理局人员编制45名。其中：行政编制人员44名，机关工勤编制人员1名。玛纳斯县12315消费者投诉指挥举报中心全额事业编制数5名。</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实有人数及变动情况：</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截止2017年12月31日，玛纳斯县工商行政管理局实有在职人数39人。其中：行政在职人数36人，在职行政工勤人数1人，事业在职人数2人。实有退休职工30人。 </w:t>
      </w:r>
    </w:p>
    <w:p>
      <w:pPr>
        <w:shd w:val="clea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人员增减变动情况： 2017年1月份退休2人，2月份退休2人，7月辞职1人，10月新招录事业编制2人，10月退休1人，11月退休1人，12月调出1人。</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二、部门决算单位构成。</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从决算单位构成看，工商局部门决算包括：工商局部门本级决算。</w:t>
      </w:r>
      <w:r>
        <w:rPr>
          <w:rFonts w:ascii="仿宋" w:hAnsi="仿宋" w:eastAsia="仿宋" w:cs="仿宋"/>
          <w:color w:val="auto"/>
          <w:sz w:val="30"/>
          <w:szCs w:val="30"/>
        </w:rPr>
        <w:t xml:space="preserve"> </w:t>
      </w:r>
    </w:p>
    <w:p>
      <w:pPr>
        <w:shd w:val="clear"/>
        <w:spacing w:line="220" w:lineRule="atLeas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纳入工商局</w:t>
      </w:r>
      <w:r>
        <w:rPr>
          <w:rFonts w:ascii="仿宋" w:hAnsi="仿宋" w:eastAsia="仿宋" w:cs="仿宋"/>
          <w:color w:val="auto"/>
          <w:sz w:val="30"/>
          <w:szCs w:val="30"/>
        </w:rPr>
        <w:t>2017</w:t>
      </w:r>
      <w:r>
        <w:rPr>
          <w:rFonts w:hint="eastAsia" w:ascii="仿宋" w:hAnsi="仿宋" w:eastAsia="仿宋" w:cs="仿宋"/>
          <w:color w:val="auto"/>
          <w:sz w:val="30"/>
          <w:szCs w:val="30"/>
        </w:rPr>
        <w:t>年部门决算编制范围的单位名单见下表：</w:t>
      </w:r>
      <w:r>
        <w:rPr>
          <w:rFonts w:ascii="仿宋" w:hAnsi="仿宋" w:eastAsia="仿宋" w:cs="仿宋"/>
          <w:color w:val="auto"/>
          <w:sz w:val="30"/>
          <w:szCs w:val="30"/>
        </w:rPr>
        <w:t xml:space="preserve"> </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hd w:val="clear"/>
              <w:spacing w:line="220" w:lineRule="atLeast"/>
              <w:jc w:val="center"/>
              <w:rPr>
                <w:rFonts w:ascii="仿宋" w:hAnsi="仿宋" w:eastAsia="仿宋" w:cs="仿宋"/>
                <w:color w:val="auto"/>
                <w:sz w:val="30"/>
                <w:szCs w:val="30"/>
              </w:rPr>
            </w:pPr>
            <w:r>
              <w:rPr>
                <w:rFonts w:hint="eastAsia" w:ascii="仿宋" w:hAnsi="仿宋" w:eastAsia="仿宋" w:cs="仿宋"/>
                <w:color w:val="auto"/>
                <w:sz w:val="30"/>
                <w:szCs w:val="30"/>
              </w:rPr>
              <w:t>序号</w:t>
            </w:r>
          </w:p>
        </w:tc>
        <w:tc>
          <w:tcPr>
            <w:tcW w:w="2841" w:type="dxa"/>
          </w:tcPr>
          <w:p>
            <w:pPr>
              <w:widowControl w:val="0"/>
              <w:shd w:val="clear"/>
              <w:spacing w:line="220" w:lineRule="atLeast"/>
              <w:jc w:val="center"/>
              <w:rPr>
                <w:rFonts w:ascii="仿宋" w:hAnsi="仿宋" w:eastAsia="仿宋" w:cs="仿宋"/>
                <w:color w:val="auto"/>
                <w:sz w:val="30"/>
                <w:szCs w:val="30"/>
              </w:rPr>
            </w:pPr>
            <w:r>
              <w:rPr>
                <w:rFonts w:hint="eastAsia" w:ascii="仿宋" w:hAnsi="仿宋" w:eastAsia="仿宋" w:cs="仿宋"/>
                <w:color w:val="auto"/>
                <w:sz w:val="30"/>
                <w:szCs w:val="30"/>
              </w:rPr>
              <w:t>单位名称</w:t>
            </w:r>
          </w:p>
        </w:tc>
        <w:tc>
          <w:tcPr>
            <w:tcW w:w="2841" w:type="dxa"/>
          </w:tcPr>
          <w:p>
            <w:pPr>
              <w:widowControl w:val="0"/>
              <w:shd w:val="clear"/>
              <w:spacing w:line="220" w:lineRule="atLeast"/>
              <w:jc w:val="center"/>
              <w:rPr>
                <w:rFonts w:ascii="仿宋" w:hAnsi="仿宋" w:eastAsia="仿宋" w:cs="仿宋"/>
                <w:color w:val="auto"/>
                <w:sz w:val="30"/>
                <w:szCs w:val="30"/>
              </w:rPr>
            </w:pPr>
            <w:r>
              <w:rPr>
                <w:rFonts w:hint="eastAsia" w:ascii="仿宋" w:hAnsi="仿宋" w:eastAsia="仿宋" w:cs="仿宋"/>
                <w:color w:val="auto"/>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hd w:val="clear"/>
              <w:spacing w:line="220" w:lineRule="atLeast"/>
              <w:jc w:val="center"/>
              <w:rPr>
                <w:rFonts w:ascii="仿宋" w:hAnsi="仿宋" w:eastAsia="仿宋" w:cs="仿宋"/>
                <w:color w:val="auto"/>
                <w:sz w:val="30"/>
                <w:szCs w:val="30"/>
              </w:rPr>
            </w:pPr>
            <w:r>
              <w:rPr>
                <w:rFonts w:ascii="仿宋" w:hAnsi="仿宋" w:eastAsia="仿宋" w:cs="仿宋"/>
                <w:color w:val="auto"/>
                <w:sz w:val="30"/>
                <w:szCs w:val="30"/>
              </w:rPr>
              <w:t>1</w:t>
            </w:r>
          </w:p>
        </w:tc>
        <w:tc>
          <w:tcPr>
            <w:tcW w:w="2841" w:type="dxa"/>
          </w:tcPr>
          <w:p>
            <w:pPr>
              <w:widowControl w:val="0"/>
              <w:shd w:val="clear"/>
              <w:spacing w:line="220" w:lineRule="atLeast"/>
              <w:jc w:val="center"/>
              <w:rPr>
                <w:rFonts w:ascii="仿宋" w:hAnsi="仿宋" w:eastAsia="仿宋" w:cs="仿宋"/>
                <w:color w:val="auto"/>
                <w:sz w:val="30"/>
                <w:szCs w:val="30"/>
              </w:rPr>
            </w:pPr>
            <w:r>
              <w:rPr>
                <w:rFonts w:hint="eastAsia" w:ascii="仿宋" w:hAnsi="仿宋" w:eastAsia="仿宋" w:cs="仿宋"/>
                <w:color w:val="auto"/>
                <w:sz w:val="30"/>
                <w:szCs w:val="30"/>
              </w:rPr>
              <w:t>工商局本级</w:t>
            </w:r>
          </w:p>
        </w:tc>
        <w:tc>
          <w:tcPr>
            <w:tcW w:w="2841" w:type="dxa"/>
          </w:tcPr>
          <w:p>
            <w:pPr>
              <w:widowControl w:val="0"/>
              <w:shd w:val="clear"/>
              <w:spacing w:line="220" w:lineRule="atLeast"/>
              <w:jc w:val="center"/>
              <w:rPr>
                <w:rFonts w:ascii="仿宋" w:hAnsi="仿宋" w:eastAsia="仿宋" w:cs="仿宋"/>
                <w:color w:val="auto"/>
                <w:sz w:val="30"/>
                <w:szCs w:val="30"/>
              </w:rPr>
            </w:pPr>
          </w:p>
        </w:tc>
      </w:tr>
    </w:tbl>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line="220" w:lineRule="atLeast"/>
        <w:rPr>
          <w:rFonts w:ascii="仿宋" w:hAnsi="仿宋" w:eastAsia="仿宋" w:cs="仿宋"/>
          <w:color w:val="auto"/>
          <w:sz w:val="30"/>
          <w:szCs w:val="30"/>
        </w:rPr>
      </w:pPr>
    </w:p>
    <w:p>
      <w:pPr>
        <w:shd w:val="clear"/>
        <w:spacing w:after="0" w:line="520" w:lineRule="exact"/>
        <w:jc w:val="center"/>
        <w:rPr>
          <w:rFonts w:ascii="仿宋" w:hAnsi="仿宋" w:eastAsia="仿宋" w:cs="仿宋"/>
          <w:b/>
          <w:bCs/>
          <w:color w:val="auto"/>
          <w:sz w:val="30"/>
          <w:szCs w:val="30"/>
        </w:rPr>
      </w:pPr>
    </w:p>
    <w:p>
      <w:pPr>
        <w:shd w:val="clear"/>
        <w:spacing w:after="0" w:line="520" w:lineRule="exact"/>
        <w:jc w:val="center"/>
        <w:rPr>
          <w:rFonts w:ascii="仿宋" w:hAnsi="仿宋" w:eastAsia="仿宋" w:cs="仿宋"/>
          <w:b/>
          <w:bCs/>
          <w:color w:val="auto"/>
          <w:sz w:val="30"/>
          <w:szCs w:val="30"/>
        </w:rPr>
      </w:pPr>
    </w:p>
    <w:p>
      <w:pPr>
        <w:shd w:val="clear"/>
        <w:spacing w:after="0" w:line="520" w:lineRule="exact"/>
        <w:jc w:val="center"/>
        <w:rPr>
          <w:rFonts w:ascii="仿宋" w:hAnsi="仿宋" w:eastAsia="仿宋" w:cs="仿宋"/>
          <w:b/>
          <w:bCs/>
          <w:color w:val="auto"/>
          <w:sz w:val="30"/>
          <w:szCs w:val="30"/>
        </w:rPr>
      </w:pPr>
      <w:r>
        <w:rPr>
          <w:rFonts w:hint="eastAsia" w:ascii="仿宋" w:hAnsi="仿宋" w:eastAsia="仿宋" w:cs="仿宋"/>
          <w:b/>
          <w:bCs/>
          <w:color w:val="auto"/>
          <w:sz w:val="30"/>
          <w:szCs w:val="30"/>
        </w:rPr>
        <w:t>第二部分</w:t>
      </w:r>
      <w:r>
        <w:rPr>
          <w:rFonts w:ascii="仿宋" w:hAnsi="仿宋" w:eastAsia="仿宋" w:cs="仿宋"/>
          <w:b/>
          <w:bCs/>
          <w:color w:val="auto"/>
          <w:sz w:val="30"/>
          <w:szCs w:val="30"/>
        </w:rPr>
        <w:t xml:space="preserve"> </w:t>
      </w:r>
      <w:r>
        <w:rPr>
          <w:rFonts w:hint="eastAsia" w:ascii="仿宋" w:hAnsi="仿宋" w:eastAsia="仿宋" w:cs="仿宋"/>
          <w:b/>
          <w:bCs/>
          <w:color w:val="auto"/>
          <w:sz w:val="30"/>
          <w:szCs w:val="30"/>
        </w:rPr>
        <w:t>部门决算情况说明</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一、部门收支总体情况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（一）部门收入支出决算总体情况说明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2017年我局部门决算安排收入675.11万元，与上年相比：增加20.03万元，增长3.06%。支出674.51万元与上年相比：增加19.43万元，增长2.97%。结余0.59万元，与上年相比：增加0.59万元，增长100%。主要增长原因为存在欠款未付。</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决算支出与预算相比，增加135.21万元，增长了25%。</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主要增加原因：1.工资福利支出差异较大的原因为2017年我局新调入事业编制2人。2.商品服务支出差异较大的原因为我局承担行政执法职责，投入用于行政执法的经费较大。</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2016年我局部门支出655.08万元，包括：工资福利支出459.62万元，商品服务支出54.62万元，对个人和家庭的补助支出140.84万元。</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决算支出与上年相比，增加19.43万元，增长2.9%。</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主要增长主要原因：对个人和家庭补助支出退休人员退休费交由社保统一管理发放，社保缴费基数增加。</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其他有关说明内容。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无</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（二）部门收入总体情况说明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 本年收入合计675.10万元，其中：财政拨款收入603.19万元，占89%；其他收入71.91万元，占11%。主要增加原因：1.工资福利支出差异较大的原因为2017年我局新调入事业编制2人。2.商品服务支出差异较大的原因为我局承担行政执法职责，投入用于行政执法的经费较大。</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与预算相比情况。 2017年度财政拨款预算收入539.89万元，追加了商品服务支出等执法办案业务经费，招录事业编2人，追加人员经费。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其他有关说明内容。 无</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（三）部门支出总体情况说明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本年支出合计674.51万元，其中：基本支出674.51万元，占100%；增长主要原因：对个人和家庭补助支出退休人员退休费交由社保统一管理发放，社保缴费基数增加。</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与预算相比情况。2017年度财政拨款预算收入539.89万元，追加了商品服务支出等执法办案业务经费，招录事业编2人，追加人员经费。</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其他有关说明内容。无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二、部门财政拨款收支情况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（一）财政拨款收支总体情况说明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2017年度财政拨款收入603.19万元，与上年相比，减少51.85万元，降低7.9%。减少变化的主要原因是：退休人员退休费交由社保统一管理发放。财政拨款支出603.19万元，与上年相比，减少51.85万元，降低7.9%。其中：基本支出603.19万元，项目支出0万元。增减变化的主要原因是：退休人员退休费交由社保统一管理发放。财政拨款结转结余0.059万元，与上年相比，增加0.059万元，增长0.5%。减加变化的主要原因是：未及时结账。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与预算相比情况。 2017年度财政拨款预算收入539.89万元，</w:t>
      </w:r>
      <w:r>
        <w:rPr>
          <w:rFonts w:hint="eastAsia" w:ascii="仿宋" w:hAnsi="仿宋" w:eastAsia="仿宋" w:cs="仿宋"/>
          <w:color w:val="auto"/>
          <w:sz w:val="30"/>
          <w:szCs w:val="30"/>
          <w:lang w:eastAsia="zh-CN"/>
        </w:rPr>
        <w:t>决算收入</w:t>
      </w:r>
      <w:r>
        <w:rPr>
          <w:rFonts w:hint="eastAsia" w:ascii="仿宋" w:hAnsi="仿宋" w:eastAsia="仿宋" w:cs="仿宋"/>
          <w:color w:val="auto"/>
          <w:sz w:val="30"/>
          <w:szCs w:val="30"/>
          <w:lang w:val="en-US" w:eastAsia="zh-CN"/>
        </w:rPr>
        <w:t>603.19万元，较预算增加了63.3万元，增长了11.73%。主要是</w:t>
      </w:r>
      <w:r>
        <w:rPr>
          <w:rFonts w:hint="eastAsia" w:ascii="仿宋" w:hAnsi="仿宋" w:eastAsia="仿宋" w:cs="仿宋"/>
          <w:color w:val="auto"/>
          <w:sz w:val="30"/>
          <w:szCs w:val="30"/>
        </w:rPr>
        <w:t>追加了商品服务支出等执法办案业务经费，招录事业编2人，追加人员经费。</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其他有关说明内容。 无</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 （二）一般公共预算支出决算情况说明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2017年度一般公共预算财政拨款支出603.19万元。与上年相比，减少22.91万元，降低35%。减少变化的主要原因是：退休人员退休费交由社保统一管理发放。其中：按功能分类科目，一般公共服务支出支出542.98万元，社会保障和就业支出支出60.21万元。按经济分类科目，工资福利支出464.59万元，商品服务支出50.25万元，对个人和家庭的补助支出88.35万元。</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与预算相比情况。</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2017年度财政拨款预算收入539.89万元，增减变化的主要原因是追加了商品服务支出等执法办案业务经费，招录事业编2人，追加人员经费。</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其他有关说明内容。 无</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（三）政府性基金预算收支决算情况说明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 2017年度政府性基金预算财政拨款收入0万元，与上年相比，增加0万元，增长0%。增减变化的主要原因是：年初无预算安排。政府性基金预算财政拨款支出0元，与上年相比，增加0元，增长0%。增减变化的主要原因是：严格执行预算。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与预算相比情况。</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2017年度政府性基金预算财政拨款收入0万元，与预算相比，增加0万元，增长0%。增减变化的主要原因是：年初无预算安排。政府性基金预算财政拨款支出0万元，与预算相比，增加0万元，增长0%。增减变化的主要原因是：年初无预算安排。</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其他有关说明内容。无</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（四）政府性基金预算支出决算情况说明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2017年度政府性基金预算支出0元。与上年相比，增加0万元，增长0%。增减变化的主要原因是：年初无预算安排。</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与预算相比情况。无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其他有关说明内容。无</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三、部门结转结余情况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年末结转结余0.5万元。与上年相比，增加0.5万元，增长5%。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其中财政拨款结转结余0.5万元。与上年相比，增加0.5万元，增长5%。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其他有关说明内容。无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四、一般公共预算“三公”经费支出情况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2017年度一般公共预算“三公”经费支出决算14.83万元，比上年增加0.6万元，增长4.2%，增加主要原因是我局车辆保有量为9辆数量多，并且2017年我单位承担大量的行政执法工作，都需要车辆不断运行保证。其中，因公出国（境）费支出0万元，占0%，比上年增加0万元，增长0%，增加原因是压缩公用经费。公务用车购置及运行维护费支出14.28万元，占96%，比上年增加0.6万元，增长4.2%，增加原因是我局车辆保有量为9辆数量多，并且2017年我单位承担大量的行政执法工作，都需要车辆不断加油加气修护运行保证；公务接待费支出0.54万元，占4%，比上年减少0.04万元，降低6%，减少原因是严格控制公务接待，就餐一律为工作餐。具体情况如下：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因公出国（境）费支出0万元。预算0万元。工商局年使用一般公共预算财政拨款安排的出国（境）团组0个，累计0人次。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公务用车购置及运行维护费支出14.28万元,其中，公务用车购置0万元，公务用车运行维护费14.28万元。主要用于车辆燃气燃油、车辆保险、车辆维修维护等。2017年，单位一般公共财政拨款安排的公务用车购置量0辆，保有量为9辆。预算下达4万元，增加10万元，主要原因是：我局车辆保有量为9辆数量多，并且2017年我单位承担大量的行政执法工作，都需要车辆不断运行保证。</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公务接待费0.54万元。具体是：国内公务接待支出0.54万元，主要是上级检查工作用餐等。工商局国内公务接待9批次，118人次。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与预算相比情况。</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2017年度年初一般公共预算“三公”经费支出决算14.83万元，决算比预算增加0万元，增长0%，增加原因是严格执行财政预算安排。其中，因公出国（境）费支出0万元，占0%，决算比预算增加0万元，增长0%，增加原因是年初无预算安排；公务用车购置及运行维护费支出14.28万元，占96%，决算比预算增加0万元，增长0%，增加原因是严格执行财政预算安排；</w:t>
      </w:r>
    </w:p>
    <w:p>
      <w:pPr>
        <w:shd w:val="clear"/>
        <w:spacing w:after="0" w:line="520" w:lineRule="exact"/>
        <w:rPr>
          <w:rFonts w:ascii="仿宋" w:hAnsi="仿宋" w:eastAsia="仿宋" w:cs="仿宋"/>
          <w:color w:val="auto"/>
          <w:sz w:val="30"/>
          <w:szCs w:val="30"/>
        </w:rPr>
      </w:pPr>
      <w:r>
        <w:rPr>
          <w:rFonts w:hint="eastAsia" w:ascii="仿宋" w:hAnsi="仿宋" w:eastAsia="仿宋" w:cs="仿宋"/>
          <w:color w:val="auto"/>
          <w:sz w:val="30"/>
          <w:szCs w:val="30"/>
        </w:rPr>
        <w:t>公务接待费支出0.54万元，占4%，决算比预算增加0万元，增长0%，增加原因是严格执行财政预算安排。</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其他有关说明内容。无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五、机关运行经费支出情况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2017年度工商局机关运行经费支出88.04万元。比上年增加9.94万元，增长12.73%，主要原因是增加公用经费。</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其他有关说明内容。无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六、政府采购情况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工商局政府采购计划0万元，其中：政府采购货物支出0万元、政府采购工程支出0万元、政府采购服务支出0万元；实际采购0万元，其中：政府采购货物支出0万元、政府采购工程支出0万元、政府采购服务支出0万元。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其他有关说明内容。无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七、其他重要事项的情况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（一）国有资产占用情况说明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截至2017年12月31日，资产总计952.02万元，其中：流动资产100.79万元，固定资产851.22万元，其中：房屋8,656.61（平方米），价值549.68万元，共有车辆9辆，价值117.06万元，其中：部级领导干部用车0辆、一般公务用车4辆、一般执法执勤用车5辆、特种专业技术用车0辆、其他用车0辆；单位价值50万元以上通用设备0台（套）、单位价值100万元以上专用设备0台（套），其他固定资产价值184.48万元。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其他有关说明内容。 无</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（二）国有资产收益征缴情况说明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截至</w:t>
      </w:r>
      <w:r>
        <w:rPr>
          <w:rFonts w:hint="eastAsia" w:ascii="仿宋" w:hAnsi="仿宋" w:eastAsia="仿宋" w:cs="仿宋"/>
          <w:color w:val="auto"/>
          <w:sz w:val="30"/>
          <w:szCs w:val="30"/>
          <w:lang w:eastAsia="zh-CN"/>
        </w:rPr>
        <w:t>2017年</w:t>
      </w:r>
      <w:r>
        <w:rPr>
          <w:rFonts w:hint="eastAsia" w:ascii="仿宋" w:hAnsi="仿宋" w:eastAsia="仿宋" w:cs="仿宋"/>
          <w:color w:val="auto"/>
          <w:sz w:val="30"/>
          <w:szCs w:val="30"/>
        </w:rPr>
        <w:t xml:space="preserve">12月31日，工商局单位资产有偿使用收入合计8.54万元。其中：已缴国库8.54万元，已缴财政专户0万元，应缴未缴0万元，单位留用0万元。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其他有关说明内容。 无</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（三）部门项目支出情况和项目绩效评价情况说明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2017年度，本部门单位实行绩效管理的项目0个，涉及预算0万元，项目支出决算0万元。 </w:t>
      </w:r>
    </w:p>
    <w:p>
      <w:pPr>
        <w:shd w:val="clear"/>
        <w:spacing w:after="0"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其他有关说明内容。 无</w:t>
      </w:r>
    </w:p>
    <w:p>
      <w:pPr>
        <w:shd w:val="clear"/>
        <w:spacing w:line="220" w:lineRule="atLeast"/>
        <w:ind w:firstLine="600" w:firstLineChars="200"/>
        <w:rPr>
          <w:rFonts w:ascii="仿宋" w:hAnsi="仿宋" w:eastAsia="仿宋" w:cs="仿宋"/>
          <w:color w:val="auto"/>
          <w:sz w:val="30"/>
          <w:szCs w:val="30"/>
        </w:rPr>
      </w:pPr>
    </w:p>
    <w:p>
      <w:pPr>
        <w:shd w:val="clear"/>
        <w:spacing w:line="220" w:lineRule="atLeast"/>
        <w:ind w:firstLine="2711" w:firstLineChars="900"/>
        <w:jc w:val="both"/>
        <w:rPr>
          <w:rFonts w:ascii="仿宋" w:hAnsi="仿宋" w:eastAsia="仿宋" w:cs="仿宋"/>
          <w:b/>
          <w:bCs/>
          <w:color w:val="auto"/>
          <w:sz w:val="30"/>
          <w:szCs w:val="30"/>
        </w:rPr>
      </w:pPr>
    </w:p>
    <w:p>
      <w:pPr>
        <w:shd w:val="clear"/>
        <w:spacing w:line="220" w:lineRule="atLeast"/>
        <w:ind w:firstLine="2711" w:firstLineChars="900"/>
        <w:jc w:val="both"/>
        <w:rPr>
          <w:rFonts w:ascii="仿宋" w:hAnsi="仿宋" w:eastAsia="仿宋" w:cs="仿宋"/>
          <w:b/>
          <w:bCs/>
          <w:color w:val="auto"/>
          <w:sz w:val="30"/>
          <w:szCs w:val="30"/>
        </w:rPr>
      </w:pPr>
      <w:r>
        <w:rPr>
          <w:rFonts w:hint="eastAsia" w:ascii="仿宋" w:hAnsi="仿宋" w:eastAsia="仿宋" w:cs="仿宋"/>
          <w:b/>
          <w:bCs/>
          <w:color w:val="auto"/>
          <w:sz w:val="30"/>
          <w:szCs w:val="30"/>
        </w:rPr>
        <w:t>第三部分</w:t>
      </w:r>
      <w:r>
        <w:rPr>
          <w:rFonts w:ascii="仿宋" w:hAnsi="仿宋" w:eastAsia="仿宋" w:cs="仿宋"/>
          <w:b/>
          <w:bCs/>
          <w:color w:val="auto"/>
          <w:sz w:val="30"/>
          <w:szCs w:val="30"/>
        </w:rPr>
        <w:t xml:space="preserve"> </w:t>
      </w:r>
      <w:r>
        <w:rPr>
          <w:rFonts w:hint="eastAsia" w:ascii="仿宋" w:hAnsi="仿宋" w:eastAsia="仿宋" w:cs="仿宋"/>
          <w:b/>
          <w:bCs/>
          <w:color w:val="auto"/>
          <w:sz w:val="30"/>
          <w:szCs w:val="30"/>
        </w:rPr>
        <w:t>专业名词解释</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财政拨款收入：指同级财政当年拨付的资金。</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上级补助收入：指事业单位从主管部门和上级单位取得的非财政补助收入。</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事业收入：指事业单位开展专业业务活动及其辅助活动所取得的收入。</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经营收入：指事业单位在专业业务活动及其辅助活动之外开展非独立核算经营活动取得的收入。</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附属单位缴款：指事业单位附属的独立核算单位按有关规定上缴的收入。</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其他收入：指除上述“财政拨款收入”、“事业收入”、“经营收入”、“附属单位缴款”等之外取得的收入。</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用事业基金弥补收支差额：指事业单位在当年的“财政拨款</w:t>
      </w:r>
      <w:r>
        <w:rPr>
          <w:rFonts w:ascii="仿宋" w:hAnsi="仿宋" w:eastAsia="仿宋" w:cs="仿宋"/>
          <w:color w:val="auto"/>
          <w:sz w:val="30"/>
          <w:szCs w:val="30"/>
        </w:rPr>
        <w:t xml:space="preserve"> </w:t>
      </w:r>
      <w:r>
        <w:rPr>
          <w:rFonts w:hint="eastAsia" w:ascii="仿宋" w:hAnsi="仿宋" w:eastAsia="仿宋" w:cs="仿宋"/>
          <w:color w:val="auto"/>
          <w:sz w:val="30"/>
          <w:szCs w:val="30"/>
        </w:rPr>
        <w:t>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上年结转和结余：指以前年度支出预算因客观条件变化未执行完毕、结转到本年度按有关规定继续使用的资金，既包括财政拨款结转和结余，也包括事业收入、经营收入、其他收入的结转和结余。</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结余分配：反映单位当年结余的分配情况。</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基本支出：指为保障机构正常运转、完成日常工作任务而发生的人员支出和公用支出。</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项目支出：指在基本支出之外为完成特定行政任务和事业发展目标所发生的支出。</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经营支出：指事业单位在专业业务活动及其辅助活动之外开展非独立核算经营活动发生的支出。</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对附属单位补助支出：指事业单位发生的用非财政预算资金对附属单位的补助支出。</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“三公”经费：指用一般公共预算财政拨款安排的因公出国（境）费、公务用车购置及运行费和公务接待费。其中，因公出国（境）费反映单位公务出国（境）的住宿费、旅费、伙食补助</w:t>
      </w:r>
      <w:r>
        <w:rPr>
          <w:rFonts w:ascii="仿宋" w:hAnsi="仿宋" w:eastAsia="仿宋" w:cs="仿宋"/>
          <w:color w:val="auto"/>
          <w:sz w:val="30"/>
          <w:szCs w:val="30"/>
        </w:rPr>
        <w:t xml:space="preserve"> </w:t>
      </w:r>
      <w:r>
        <w:rPr>
          <w:rFonts w:hint="eastAsia" w:ascii="仿宋" w:hAnsi="仿宋" w:eastAsia="仿宋" w:cs="仿宋"/>
          <w:color w:val="auto"/>
          <w:sz w:val="30"/>
          <w:szCs w:val="30"/>
        </w:rPr>
        <w:t>费、杂费、培训费等支出；公务用车购置及运行费反映单位公务用车购置费及租用费、燃料费、维修费、过路过桥费、保险费、安全奖励费用等支出；公务接待费反映单位按规定开支的各类公务接待（含外宾接待）支出。</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本单位支出功能分类说明。</w:t>
      </w:r>
      <w:r>
        <w:rPr>
          <w:rFonts w:ascii="仿宋" w:hAnsi="仿宋" w:eastAsia="仿宋" w:cs="仿宋"/>
          <w:color w:val="auto"/>
          <w:sz w:val="30"/>
          <w:szCs w:val="30"/>
        </w:rPr>
        <w:t>2011501</w:t>
      </w:r>
      <w:r>
        <w:rPr>
          <w:rFonts w:hint="eastAsia" w:ascii="仿宋" w:hAnsi="仿宋" w:eastAsia="仿宋" w:cs="仿宋"/>
          <w:color w:val="auto"/>
          <w:sz w:val="30"/>
          <w:szCs w:val="30"/>
        </w:rPr>
        <w:t>：指行政运行。</w:t>
      </w:r>
      <w:r>
        <w:rPr>
          <w:rFonts w:ascii="仿宋" w:hAnsi="仿宋" w:eastAsia="仿宋" w:cs="仿宋"/>
          <w:color w:val="auto"/>
          <w:sz w:val="30"/>
          <w:szCs w:val="30"/>
        </w:rPr>
        <w:t>2080505</w:t>
      </w:r>
      <w:r>
        <w:rPr>
          <w:rFonts w:hint="eastAsia" w:ascii="仿宋" w:hAnsi="仿宋" w:eastAsia="仿宋" w:cs="仿宋"/>
          <w:color w:val="auto"/>
          <w:sz w:val="30"/>
          <w:szCs w:val="30"/>
        </w:rPr>
        <w:t>：指机关事业单位基本养老保险缴费支出。</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无其他有关说明内容。</w:t>
      </w:r>
      <w:r>
        <w:rPr>
          <w:rFonts w:ascii="仿宋" w:hAnsi="仿宋" w:eastAsia="仿宋" w:cs="仿宋"/>
          <w:color w:val="auto"/>
          <w:sz w:val="30"/>
          <w:szCs w:val="30"/>
        </w:rPr>
        <w:t xml:space="preserve"> </w:t>
      </w:r>
    </w:p>
    <w:p>
      <w:pPr>
        <w:shd w:val="clear"/>
        <w:spacing w:line="220" w:lineRule="atLeast"/>
        <w:ind w:firstLine="600" w:firstLineChars="200"/>
        <w:rPr>
          <w:rFonts w:ascii="仿宋" w:hAnsi="仿宋" w:eastAsia="仿宋" w:cs="仿宋"/>
          <w:color w:val="auto"/>
          <w:sz w:val="30"/>
          <w:szCs w:val="30"/>
        </w:rPr>
      </w:pPr>
    </w:p>
    <w:p>
      <w:pPr>
        <w:shd w:val="clear"/>
        <w:spacing w:line="220" w:lineRule="atLeast"/>
        <w:ind w:firstLine="602" w:firstLineChars="200"/>
        <w:jc w:val="center"/>
        <w:rPr>
          <w:rFonts w:ascii="仿宋" w:hAnsi="仿宋" w:eastAsia="仿宋" w:cs="仿宋"/>
          <w:b/>
          <w:bCs/>
          <w:color w:val="auto"/>
          <w:sz w:val="30"/>
          <w:szCs w:val="30"/>
        </w:rPr>
      </w:pPr>
      <w:r>
        <w:rPr>
          <w:rFonts w:hint="eastAsia" w:ascii="仿宋" w:hAnsi="仿宋" w:eastAsia="仿宋" w:cs="仿宋"/>
          <w:b/>
          <w:bCs/>
          <w:color w:val="auto"/>
          <w:sz w:val="30"/>
          <w:szCs w:val="30"/>
        </w:rPr>
        <w:t>第四部分</w:t>
      </w:r>
      <w:r>
        <w:rPr>
          <w:rFonts w:ascii="仿宋" w:hAnsi="仿宋" w:eastAsia="仿宋" w:cs="仿宋"/>
          <w:b/>
          <w:bCs/>
          <w:color w:val="auto"/>
          <w:sz w:val="30"/>
          <w:szCs w:val="30"/>
        </w:rPr>
        <w:t xml:space="preserve"> </w:t>
      </w:r>
      <w:r>
        <w:rPr>
          <w:rFonts w:hint="eastAsia" w:ascii="仿宋" w:hAnsi="仿宋" w:eastAsia="仿宋" w:cs="仿宋"/>
          <w:b/>
          <w:bCs/>
          <w:color w:val="auto"/>
          <w:sz w:val="30"/>
          <w:szCs w:val="30"/>
        </w:rPr>
        <w:t>部门决算报表（见附表）</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一、报表封面</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二、《收入支出决算总表》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三、《收入决算表》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四、《支出决算表》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五、《收入支出决算表》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六、《项目收入支出决算表》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七、《行政事业类项目收入支出决算表》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八、《基本建设类项目收入支出决算表》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九、《支出决算明细表》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十、《基本支出决算明细表》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十一、《项目支出决算明细表》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十二、《财政专户管理资金收入支出决算表》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十三、《财政拨款收入支出决算总表》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十四、《一般公共预算财政拨款收入支出决算表》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十五、《一般公共预算财政拨款支出决算明细表》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十六、《一般公共预算财政拨款基本支出决算明细表》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十七、《一般公共预算财政拨款项目支出决算明细表》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十八、《政府性基金预算财政拨款收入支出决算表》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十九、《政府性基金预算财政拨款支出决算明细表》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二十、《政府性基金预算财政拨款基本支出决算明细表》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二十一、《政府性基金预算财政拨款项目支出决算明细表》。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二十二、《资产负债简表》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二十三、《资产情况表》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二十四、《国有资产收益征缴情况表》、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二十五、《基本数字表》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二十六、《机构人员情况表》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二十七、《非税收入征缴情况表》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二十八、《部门决算相关信息统计表》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二十九、《政府采购情况表》</w:t>
      </w:r>
      <w:r>
        <w:rPr>
          <w:rFonts w:ascii="仿宋" w:hAnsi="仿宋" w:eastAsia="仿宋" w:cs="仿宋"/>
          <w:color w:val="auto"/>
          <w:sz w:val="30"/>
          <w:szCs w:val="30"/>
        </w:rPr>
        <w:t xml:space="preserve"> </w:t>
      </w:r>
    </w:p>
    <w:p>
      <w:pPr>
        <w:shd w:val="clear"/>
        <w:spacing w:after="0" w:line="52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三十、《2017年度一般公共预算“三公”经费支出情况表》</w:t>
      </w:r>
      <w:r>
        <w:rPr>
          <w:rFonts w:ascii="仿宋" w:hAnsi="仿宋" w:eastAsia="仿宋" w:cs="仿宋"/>
          <w:color w:val="auto"/>
          <w:sz w:val="30"/>
          <w:szCs w:val="30"/>
        </w:rPr>
        <w:t xml:space="preserve"> </w:t>
      </w:r>
    </w:p>
    <w:p>
      <w:pPr>
        <w:shd w:val="clear"/>
        <w:spacing w:line="220" w:lineRule="atLeast"/>
        <w:ind w:firstLine="600" w:firstLineChars="200"/>
        <w:rPr>
          <w:rFonts w:ascii="仿宋" w:hAnsi="仿宋" w:eastAsia="仿宋" w:cs="仿宋"/>
          <w:color w:val="auto"/>
          <w:sz w:val="30"/>
          <w:szCs w:val="30"/>
        </w:rPr>
      </w:pPr>
    </w:p>
    <w:p>
      <w:pPr>
        <w:shd w:val="clear"/>
        <w:spacing w:line="220" w:lineRule="atLeast"/>
        <w:ind w:firstLine="600" w:firstLineChars="200"/>
        <w:rPr>
          <w:rFonts w:ascii="仿宋" w:hAnsi="仿宋" w:eastAsia="仿宋" w:cs="仿宋"/>
          <w:color w:val="auto"/>
          <w:sz w:val="30"/>
          <w:szCs w:val="30"/>
        </w:rPr>
      </w:pPr>
    </w:p>
    <w:p>
      <w:pPr>
        <w:shd w:val="clear"/>
        <w:spacing w:line="220" w:lineRule="atLeast"/>
        <w:ind w:firstLine="600" w:firstLineChars="200"/>
        <w:rPr>
          <w:rFonts w:ascii="仿宋" w:hAnsi="仿宋" w:eastAsia="仿宋" w:cs="仿宋"/>
          <w:color w:val="auto"/>
          <w:sz w:val="30"/>
          <w:szCs w:val="30"/>
        </w:rPr>
      </w:pPr>
    </w:p>
    <w:p>
      <w:pPr>
        <w:shd w:val="clear"/>
        <w:spacing w:line="220" w:lineRule="atLeast"/>
        <w:ind w:firstLine="600" w:firstLineChars="200"/>
        <w:rPr>
          <w:rFonts w:ascii="仿宋" w:hAnsi="仿宋" w:eastAsia="仿宋" w:cs="仿宋"/>
          <w:color w:val="auto"/>
          <w:sz w:val="30"/>
          <w:szCs w:val="30"/>
        </w:rPr>
      </w:pPr>
    </w:p>
    <w:p>
      <w:pPr>
        <w:shd w:val="clear"/>
        <w:rPr>
          <w:color w:val="auto"/>
        </w:rPr>
      </w:pPr>
    </w:p>
    <w:sectPr>
      <w:foot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3"/>
                </w:pPr>
                <w:r>
                  <w:fldChar w:fldCharType="begin"/>
                </w:r>
                <w:r>
                  <w:instrText xml:space="preserve"> PAGE  \* MERGEFORMAT </w:instrText>
                </w:r>
                <w:r>
                  <w:fldChar w:fldCharType="separate"/>
                </w:r>
                <w:r>
                  <w:t>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F557AB"/>
    <w:multiLevelType w:val="singleLevel"/>
    <w:tmpl w:val="D7F557AB"/>
    <w:lvl w:ilvl="0" w:tentative="0">
      <w:start w:val="2"/>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240"/>
    <w:rsid w:val="00141B8D"/>
    <w:rsid w:val="0023560C"/>
    <w:rsid w:val="00327067"/>
    <w:rsid w:val="003D0E2F"/>
    <w:rsid w:val="004722CF"/>
    <w:rsid w:val="00472A92"/>
    <w:rsid w:val="004D69F2"/>
    <w:rsid w:val="004E6F6C"/>
    <w:rsid w:val="005F7240"/>
    <w:rsid w:val="006636B4"/>
    <w:rsid w:val="007603E0"/>
    <w:rsid w:val="00C41E72"/>
    <w:rsid w:val="00C66F53"/>
    <w:rsid w:val="00D51C33"/>
    <w:rsid w:val="00D54B6C"/>
    <w:rsid w:val="00DC143B"/>
    <w:rsid w:val="00E83C89"/>
    <w:rsid w:val="00F92E8F"/>
    <w:rsid w:val="00F960B3"/>
    <w:rsid w:val="01712194"/>
    <w:rsid w:val="14E20B73"/>
    <w:rsid w:val="1A447548"/>
    <w:rsid w:val="1BC64CEC"/>
    <w:rsid w:val="1D670C7D"/>
    <w:rsid w:val="1E64704F"/>
    <w:rsid w:val="32A07E77"/>
    <w:rsid w:val="37764643"/>
    <w:rsid w:val="3DBA2248"/>
    <w:rsid w:val="3E200D62"/>
    <w:rsid w:val="3E984075"/>
    <w:rsid w:val="4C9129FF"/>
    <w:rsid w:val="544B3102"/>
    <w:rsid w:val="66793207"/>
    <w:rsid w:val="69F82229"/>
    <w:rsid w:val="6D7F42F0"/>
    <w:rsid w:val="74AB45D7"/>
    <w:rsid w:val="7CDC627C"/>
    <w:rsid w:val="7DAC4DB6"/>
    <w:rsid w:val="7E211BB5"/>
    <w:rsid w:val="7E551F3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9"/>
    <w:qFormat/>
    <w:uiPriority w:val="99"/>
  </w:style>
  <w:style w:type="paragraph" w:styleId="3">
    <w:name w:val="footer"/>
    <w:basedOn w:val="1"/>
    <w:link w:val="10"/>
    <w:qFormat/>
    <w:uiPriority w:val="99"/>
    <w:pPr>
      <w:tabs>
        <w:tab w:val="center" w:pos="4153"/>
        <w:tab w:val="right" w:pos="8306"/>
      </w:tabs>
    </w:pPr>
    <w:rPr>
      <w:sz w:val="18"/>
    </w:rPr>
  </w:style>
  <w:style w:type="paragraph" w:styleId="4">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5">
    <w:name w:val="Normal (Web)"/>
    <w:basedOn w:val="1"/>
    <w:qFormat/>
    <w:uiPriority w:val="99"/>
    <w:rPr>
      <w:sz w:val="24"/>
    </w:rPr>
  </w:style>
  <w:style w:type="table" w:styleId="7">
    <w:name w:val="Table Grid"/>
    <w:basedOn w:val="6"/>
    <w:qFormat/>
    <w:uiPriority w:val="99"/>
    <w:pPr>
      <w:widowControl w:val="0"/>
      <w:jc w:val="both"/>
    </w:pPr>
    <w:rPr>
      <w:rFonts w:eastAsia="微软雅黑"/>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批注文字 Char"/>
    <w:basedOn w:val="8"/>
    <w:link w:val="2"/>
    <w:semiHidden/>
    <w:qFormat/>
    <w:uiPriority w:val="99"/>
    <w:rPr>
      <w:rFonts w:ascii="Tahoma" w:hAnsi="Tahoma" w:eastAsia="微软雅黑"/>
      <w:kern w:val="0"/>
      <w:sz w:val="22"/>
    </w:rPr>
  </w:style>
  <w:style w:type="character" w:customStyle="1" w:styleId="10">
    <w:name w:val="页脚 Char"/>
    <w:basedOn w:val="8"/>
    <w:link w:val="3"/>
    <w:semiHidden/>
    <w:qFormat/>
    <w:uiPriority w:val="99"/>
    <w:rPr>
      <w:rFonts w:ascii="Tahoma" w:hAnsi="Tahoma" w:eastAsia="微软雅黑"/>
      <w:kern w:val="0"/>
      <w:sz w:val="18"/>
      <w:szCs w:val="18"/>
    </w:rPr>
  </w:style>
  <w:style w:type="character" w:customStyle="1" w:styleId="11">
    <w:name w:val="页眉 Char"/>
    <w:basedOn w:val="8"/>
    <w:link w:val="4"/>
    <w:semiHidden/>
    <w:qFormat/>
    <w:uiPriority w:val="99"/>
    <w:rPr>
      <w:rFonts w:ascii="Tahoma" w:hAnsi="Tahoma" w:eastAsia="微软雅黑"/>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丰华文化用品广场</Company>
  <Pages>18</Pages>
  <Words>1171</Words>
  <Characters>6675</Characters>
  <Lines>55</Lines>
  <Paragraphs>15</Paragraphs>
  <TotalTime>69</TotalTime>
  <ScaleCrop>false</ScaleCrop>
  <LinksUpToDate>false</LinksUpToDate>
  <CharactersWithSpaces>7831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2018-07-10T10:05:00Z</dcterms:created>
  <dc:creator>丰华网络</dc:creator>
  <cp:lastModifiedBy>Administrator</cp:lastModifiedBy>
  <cp:lastPrinted>2018-09-20T11:10:00Z</cp:lastPrinted>
  <dcterms:modified xsi:type="dcterms:W3CDTF">2025-02-08T09:56:00Z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