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0" w:name="_GoBack"/>
      <w:bookmarkEnd w:id="0"/>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新疆昌吉州生态环境局玛纳斯县分局</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w:t>
      </w:r>
      <w:r>
        <w:rPr>
          <w:rFonts w:ascii="仿宋_GB2312" w:hAnsi="仿宋_GB2312" w:eastAsia="仿宋_GB2312"/>
          <w:b/>
          <w:kern w:val="0"/>
          <w:sz w:val="36"/>
          <w:szCs w:val="24"/>
        </w:rPr>
        <w:t xml:space="preserve">  </w:t>
      </w:r>
      <w:r>
        <w:rPr>
          <w:rFonts w:hint="eastAsia" w:ascii="仿宋_GB2312" w:hAnsi="仿宋_GB2312" w:eastAsia="仿宋_GB2312"/>
          <w:b/>
          <w:kern w:val="0"/>
          <w:sz w:val="36"/>
          <w:szCs w:val="24"/>
        </w:rPr>
        <w:t>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w:t>
      </w:r>
      <w:r>
        <w:rPr>
          <w:rFonts w:ascii="仿宋_GB2312" w:hAnsi="仿宋_GB2312" w:eastAsia="仿宋_GB2312"/>
          <w:b/>
          <w:sz w:val="32"/>
          <w:szCs w:val="24"/>
        </w:rPr>
        <w:t xml:space="preserve"> </w:t>
      </w:r>
      <w:r>
        <w:rPr>
          <w:rFonts w:hint="eastAsia" w:ascii="仿宋_GB2312" w:hAnsi="仿宋_GB2312" w:eastAsia="仿宋_GB2312"/>
          <w:b/>
          <w:sz w:val="32"/>
          <w:szCs w:val="24"/>
        </w:rPr>
        <w:t>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w:t>
      </w:r>
      <w:r>
        <w:rPr>
          <w:rFonts w:ascii="黑体" w:hAnsi="黑体" w:eastAsia="黑体"/>
          <w:sz w:val="32"/>
          <w:szCs w:val="24"/>
        </w:rPr>
        <w:t xml:space="preserve"> </w:t>
      </w:r>
      <w:r>
        <w:rPr>
          <w:rFonts w:hint="eastAsia" w:ascii="黑体" w:hAnsi="黑体" w:eastAsia="黑体"/>
          <w:sz w:val="32"/>
          <w:szCs w:val="24"/>
        </w:rPr>
        <w:t>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w:t>
      </w:r>
      <w:r>
        <w:rPr>
          <w:rFonts w:hint="eastAsia" w:ascii="仿宋_GB2312" w:hAnsi="仿宋_GB2312" w:eastAsia="仿宋_GB2312"/>
          <w:sz w:val="32"/>
          <w:szCs w:val="24"/>
        </w:rPr>
        <w:t>贯彻执行国家和省、州环境保护方针、政策、法律、法规及行政规章，协同相关部门制定与环境保护相关的经济、技术资源配置和产业政策；组织实施本县辖区内的有关环境保护行政措施；组织和参与对全县重大经济、技术政策、发展规划及重大经济开发计划进行环境影响评价。</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w:t>
      </w:r>
      <w:r>
        <w:rPr>
          <w:rFonts w:hint="eastAsia" w:ascii="仿宋_GB2312" w:hAnsi="仿宋_GB2312" w:eastAsia="仿宋_GB2312"/>
          <w:sz w:val="32"/>
          <w:szCs w:val="24"/>
        </w:rPr>
        <w:t>编制全县环境保护规划、计划；参与制订本县经济和社会发展中长期规划、年度计划及资源节约和综合利用规划；参与审核城镇总体规划。</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3.</w:t>
      </w:r>
      <w:r>
        <w:rPr>
          <w:rFonts w:hint="eastAsia" w:ascii="仿宋_GB2312" w:hAnsi="仿宋_GB2312" w:eastAsia="仿宋_GB2312"/>
          <w:sz w:val="32"/>
          <w:szCs w:val="24"/>
        </w:rPr>
        <w:t>负责全县大气、水体、土壤、噪声、固体废物、有机化学品、放射性物质、电磁辐射以及机动车等污染的防治工作。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4.</w:t>
      </w:r>
      <w:r>
        <w:rPr>
          <w:rFonts w:hint="eastAsia" w:ascii="仿宋_GB2312" w:hAnsi="仿宋_GB2312" w:eastAsia="仿宋_GB2312"/>
          <w:sz w:val="32"/>
          <w:szCs w:val="24"/>
        </w:rPr>
        <w:t>负责组织实施环保目标责任制；会同有关部门监督管理饮用水水源地环境保护工作；负责全县农村环境综合整治工作；组织协调生态县、生态乡镇、生态村的建设工作。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5.</w:t>
      </w:r>
      <w:r>
        <w:rPr>
          <w:rFonts w:hint="eastAsia" w:ascii="仿宋_GB2312" w:hAnsi="仿宋_GB2312" w:eastAsia="仿宋_GB2312"/>
          <w:sz w:val="32"/>
          <w:szCs w:val="24"/>
        </w:rPr>
        <w:t>负责全县环境监测、环境统计、环境信息工作；负责发布污染辖区内环境质量状况公报；负责环境保护标准的实施；组织对全县环境质量监测和污染源监督性监测；编制全县环境质量报告。</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6.</w:t>
      </w:r>
      <w:r>
        <w:rPr>
          <w:rFonts w:hint="eastAsia" w:ascii="仿宋_GB2312" w:hAnsi="仿宋_GB2312" w:eastAsia="仿宋_GB2312"/>
          <w:sz w:val="32"/>
          <w:szCs w:val="24"/>
        </w:rPr>
        <w:t>负责全县环境监察、环境信访工作；负责全县污染源、污染处理设施和新建项目的监督检查工作；负责全县环境违法行为的查处工作；负责辖区环境污染事故纠纷的调查处理工作；协助上级调处跨地区、跨流域的环境污染事故纠纷；负责辖区内的排污费征收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7.</w:t>
      </w:r>
      <w:r>
        <w:rPr>
          <w:rFonts w:hint="eastAsia" w:ascii="仿宋_GB2312" w:hAnsi="仿宋_GB2312" w:eastAsia="仿宋_GB2312"/>
          <w:sz w:val="32"/>
          <w:szCs w:val="24"/>
        </w:rPr>
        <w:t>负责全县的污染减排工作；监督实施主要污染物排放总量控制和排污许可证制度；负责督查、督办、核查各乡镇、企业污染物减排任务完成情况；组织实施总量减排考核工作。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8.</w:t>
      </w:r>
      <w:r>
        <w:rPr>
          <w:rFonts w:hint="eastAsia" w:ascii="仿宋_GB2312" w:hAnsi="仿宋_GB2312" w:eastAsia="仿宋_GB2312"/>
          <w:sz w:val="32"/>
          <w:szCs w:val="24"/>
        </w:rPr>
        <w:t>负责指导和协调环境保护宣传教育工作；制定并组织实施环境保护宣传教育方案，开展生态文明建设的有关宣传教育工作；指导绿色创建工作；负责环境行政案件的应诉工作；负责环境保护行政稽查和环境保护执法检查；组织、指导和协调环境保护宣传教育工作，推动公众和非政府组织参与环境保护。</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9.</w:t>
      </w:r>
      <w:r>
        <w:rPr>
          <w:rFonts w:hint="eastAsia" w:ascii="仿宋_GB2312" w:hAnsi="仿宋_GB2312" w:eastAsia="仿宋_GB2312"/>
          <w:sz w:val="32"/>
          <w:szCs w:val="24"/>
        </w:rPr>
        <w:t>负责建设项目环境影响评价和“三同时”工作；按照审批权限负责建设项目环保审批验收工作；负责污染源的治理和工业污染源达标排放工作。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10.</w:t>
      </w:r>
      <w:r>
        <w:rPr>
          <w:rFonts w:hint="eastAsia" w:ascii="仿宋_GB2312" w:hAnsi="仿宋_GB2312" w:eastAsia="仿宋_GB2312"/>
          <w:sz w:val="32"/>
          <w:szCs w:val="24"/>
        </w:rPr>
        <w:t>负责生态保护工作；拟定生态保护规划并监督执行；协调并监督相关部门开展生态保护工作；监督对生态环境有影响的自然资源开发利用活动、重要生态环境建设和生态破坏恢复工作。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11.</w:t>
      </w:r>
      <w:r>
        <w:rPr>
          <w:rFonts w:hint="eastAsia" w:ascii="仿宋_GB2312" w:hAnsi="仿宋_GB2312" w:eastAsia="仿宋_GB2312"/>
          <w:sz w:val="32"/>
          <w:szCs w:val="24"/>
        </w:rPr>
        <w:t>承办县委、县政府及上级部门交办的各项工作。</w:t>
      </w:r>
    </w:p>
    <w:p>
      <w:pPr>
        <w:spacing w:line="600" w:lineRule="exact"/>
        <w:ind w:firstLine="640"/>
        <w:rPr>
          <w:rFonts w:ascii="仿宋_GB2312" w:hAnsi="仿宋_GB2312" w:eastAsia="仿宋_GB2312"/>
          <w:sz w:val="32"/>
          <w:szCs w:val="24"/>
        </w:rPr>
      </w:pP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新疆昌吉州生态环境局玛纳斯县分局</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15</w:t>
      </w:r>
      <w:r>
        <w:rPr>
          <w:rFonts w:hint="eastAsia" w:ascii="仿宋_GB2312" w:hAnsi="仿宋_GB2312" w:eastAsia="仿宋_GB2312"/>
          <w:sz w:val="32"/>
          <w:szCs w:val="24"/>
        </w:rPr>
        <w:t>人，其中：在职人员</w:t>
      </w:r>
      <w:r>
        <w:rPr>
          <w:rFonts w:ascii="仿宋_GB2312" w:hAnsi="仿宋_GB2312" w:eastAsia="仿宋_GB2312"/>
          <w:sz w:val="32"/>
          <w:szCs w:val="24"/>
        </w:rPr>
        <w:t>15</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从部门决算单位构成看，新疆昌吉州生态环境局玛纳斯县分局部门决算包括：新疆昌吉州生态环境局玛纳斯县分局决算。单位无下属预算单位，下设</w:t>
      </w:r>
      <w:r>
        <w:rPr>
          <w:rFonts w:ascii="仿宋_GB2312" w:hAnsi="仿宋_GB2312" w:eastAsia="仿宋_GB2312"/>
          <w:sz w:val="32"/>
          <w:szCs w:val="24"/>
        </w:rPr>
        <w:t>5</w:t>
      </w:r>
      <w:r>
        <w:rPr>
          <w:rFonts w:hint="eastAsia" w:ascii="仿宋_GB2312" w:hAnsi="仿宋_GB2312" w:eastAsia="仿宋_GB2312"/>
          <w:sz w:val="32"/>
          <w:szCs w:val="24"/>
        </w:rPr>
        <w:t>个</w:t>
      </w:r>
      <w:r>
        <w:rPr>
          <w:rFonts w:hint="eastAsia" w:ascii="仿宋_GB2312" w:hAnsi="仿宋_GB2312" w:eastAsia="仿宋_GB2312"/>
          <w:sz w:val="32"/>
          <w:szCs w:val="24"/>
          <w:lang w:val="en-US" w:eastAsia="zh-CN"/>
        </w:rPr>
        <w:t>处</w:t>
      </w:r>
      <w:r>
        <w:rPr>
          <w:rFonts w:hint="eastAsia" w:ascii="仿宋_GB2312" w:hAnsi="仿宋_GB2312" w:eastAsia="仿宋_GB2312"/>
          <w:sz w:val="32"/>
          <w:szCs w:val="24"/>
        </w:rPr>
        <w:t>室，分别是：监察法规办、污染控办、行政办、财务室、生态宣教办。</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w:t>
      </w:r>
      <w:r>
        <w:rPr>
          <w:rFonts w:ascii="黑体" w:hAnsi="黑体" w:eastAsia="黑体"/>
          <w:sz w:val="32"/>
          <w:szCs w:val="24"/>
        </w:rPr>
        <w:t xml:space="preserve"> </w:t>
      </w:r>
      <w:r>
        <w:rPr>
          <w:rFonts w:hint="eastAsia" w:ascii="黑体" w:hAnsi="黑体" w:eastAsia="黑体"/>
          <w:sz w:val="32"/>
          <w:szCs w:val="24"/>
        </w:rPr>
        <w:t>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2,356.94</w:t>
      </w:r>
      <w:r>
        <w:rPr>
          <w:rFonts w:hint="eastAsia" w:ascii="仿宋_GB2312" w:hAnsi="仿宋_GB2312" w:eastAsia="仿宋_GB2312"/>
          <w:sz w:val="32"/>
          <w:szCs w:val="24"/>
        </w:rPr>
        <w:t>万元，与上年相比，增加</w:t>
      </w:r>
      <w:r>
        <w:rPr>
          <w:rFonts w:ascii="仿宋_GB2312" w:hAnsi="仿宋_GB2312" w:eastAsia="仿宋_GB2312"/>
          <w:sz w:val="32"/>
          <w:szCs w:val="24"/>
        </w:rPr>
        <w:t>695.23</w:t>
      </w:r>
      <w:r>
        <w:rPr>
          <w:rFonts w:hint="eastAsia" w:ascii="仿宋_GB2312" w:hAnsi="仿宋_GB2312" w:eastAsia="仿宋_GB2312"/>
          <w:sz w:val="32"/>
          <w:szCs w:val="24"/>
        </w:rPr>
        <w:t>万元，增长</w:t>
      </w:r>
      <w:r>
        <w:rPr>
          <w:rFonts w:ascii="仿宋_GB2312" w:hAnsi="仿宋_GB2312" w:eastAsia="仿宋_GB2312"/>
          <w:sz w:val="32"/>
          <w:szCs w:val="24"/>
        </w:rPr>
        <w:t>41.84%</w:t>
      </w:r>
      <w:r>
        <w:rPr>
          <w:rFonts w:hint="eastAsia" w:ascii="仿宋_GB2312" w:hAnsi="仿宋_GB2312" w:eastAsia="仿宋_GB2312"/>
          <w:sz w:val="32"/>
          <w:szCs w:val="24"/>
        </w:rPr>
        <w:t>，主要原因是：为提高我县环境空气质量，降低污染和能耗，还人民一片蓝天，本年度协助企业申请大气污染防治专项资金，加强对企业锅炉烟气脱硫超低排放的改造，提高大气质量，加大投入力度，同时本年度还申请农村生活污水专项资金，因此本年收入增加。本年支出</w:t>
      </w:r>
      <w:r>
        <w:rPr>
          <w:rFonts w:ascii="仿宋_GB2312" w:hAnsi="仿宋_GB2312" w:eastAsia="仿宋_GB2312"/>
          <w:sz w:val="32"/>
          <w:szCs w:val="24"/>
        </w:rPr>
        <w:t>2,356.90</w:t>
      </w:r>
      <w:r>
        <w:rPr>
          <w:rFonts w:hint="eastAsia" w:ascii="仿宋_GB2312" w:hAnsi="仿宋_GB2312" w:eastAsia="仿宋_GB2312"/>
          <w:sz w:val="32"/>
          <w:szCs w:val="24"/>
        </w:rPr>
        <w:t>万元，与上年相比，增加</w:t>
      </w:r>
      <w:r>
        <w:rPr>
          <w:rFonts w:ascii="仿宋_GB2312" w:hAnsi="仿宋_GB2312" w:eastAsia="仿宋_GB2312"/>
          <w:sz w:val="32"/>
          <w:szCs w:val="24"/>
        </w:rPr>
        <w:t>695.19</w:t>
      </w:r>
      <w:r>
        <w:rPr>
          <w:rFonts w:hint="eastAsia" w:ascii="仿宋_GB2312" w:hAnsi="仿宋_GB2312" w:eastAsia="仿宋_GB2312"/>
          <w:sz w:val="32"/>
          <w:szCs w:val="24"/>
        </w:rPr>
        <w:t>万元，增长</w:t>
      </w:r>
      <w:r>
        <w:rPr>
          <w:rFonts w:ascii="仿宋_GB2312" w:hAnsi="仿宋_GB2312" w:eastAsia="仿宋_GB2312"/>
          <w:sz w:val="32"/>
          <w:szCs w:val="24"/>
        </w:rPr>
        <w:t>41.84%</w:t>
      </w:r>
      <w:r>
        <w:rPr>
          <w:rFonts w:hint="eastAsia" w:ascii="仿宋_GB2312" w:hAnsi="仿宋_GB2312" w:eastAsia="仿宋_GB2312"/>
          <w:sz w:val="32"/>
          <w:szCs w:val="24"/>
        </w:rPr>
        <w:t>，主要原因是：因上年度有农村生活污水项目未完工，按照项目合同进度</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部分工程款未支付，于本年度完工后和本年度农村生活污水项目资金一起支付，同时支付中央大气污染防治资金及农村生活污水项目专项资</w:t>
      </w:r>
      <w:r>
        <w:rPr>
          <w:rFonts w:hint="eastAsia" w:ascii="仿宋_GB2312" w:hAnsi="仿宋_GB2312" w:eastAsia="仿宋_GB2312"/>
          <w:sz w:val="32"/>
          <w:szCs w:val="24"/>
          <w:lang w:val="en-US" w:eastAsia="zh-CN"/>
        </w:rPr>
        <w:t>金</w:t>
      </w:r>
      <w:r>
        <w:rPr>
          <w:rFonts w:hint="eastAsia" w:ascii="仿宋_GB2312" w:hAnsi="仿宋_GB2312" w:eastAsia="仿宋_GB2312"/>
          <w:sz w:val="32"/>
          <w:szCs w:val="24"/>
        </w:rPr>
        <w:t>，因此本年支出增加。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2,356.94</w:t>
      </w:r>
      <w:r>
        <w:rPr>
          <w:rFonts w:hint="eastAsia" w:ascii="仿宋_GB2312" w:hAnsi="仿宋_GB2312" w:eastAsia="仿宋_GB2312"/>
          <w:sz w:val="32"/>
          <w:szCs w:val="24"/>
        </w:rPr>
        <w:t>万元，其中：财政拨款收入</w:t>
      </w:r>
      <w:r>
        <w:rPr>
          <w:rFonts w:ascii="仿宋_GB2312" w:hAnsi="仿宋_GB2312" w:eastAsia="仿宋_GB2312"/>
          <w:sz w:val="32"/>
          <w:szCs w:val="24"/>
        </w:rPr>
        <w:t>2,356.9</w:t>
      </w:r>
      <w:r>
        <w:rPr>
          <w:rFonts w:hint="eastAsia" w:ascii="仿宋_GB2312" w:hAnsi="仿宋_GB2312" w:eastAsia="仿宋_GB2312"/>
          <w:sz w:val="32"/>
          <w:szCs w:val="24"/>
        </w:rPr>
        <w:t>0万元，占99.998</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0.04</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sz w:val="32"/>
          <w:szCs w:val="24"/>
        </w:rPr>
        <w:t>.002</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2,356.9</w:t>
      </w:r>
      <w:r>
        <w:rPr>
          <w:rFonts w:hint="eastAsia" w:ascii="仿宋_GB2312" w:hAnsi="仿宋_GB2312" w:eastAsia="仿宋_GB2312"/>
          <w:sz w:val="32"/>
          <w:szCs w:val="24"/>
        </w:rPr>
        <w:t>0万元，其中：基本支出</w:t>
      </w:r>
      <w:r>
        <w:rPr>
          <w:rFonts w:ascii="仿宋_GB2312" w:hAnsi="仿宋_GB2312" w:eastAsia="仿宋_GB2312"/>
          <w:sz w:val="32"/>
          <w:szCs w:val="24"/>
        </w:rPr>
        <w:t>279.4</w:t>
      </w:r>
      <w:r>
        <w:rPr>
          <w:rFonts w:hint="eastAsia" w:ascii="仿宋_GB2312" w:hAnsi="仿宋_GB2312" w:eastAsia="仿宋_GB2312"/>
          <w:sz w:val="32"/>
          <w:szCs w:val="24"/>
        </w:rPr>
        <w:t>0万元，占</w:t>
      </w:r>
      <w:r>
        <w:rPr>
          <w:rFonts w:ascii="仿宋_GB2312" w:hAnsi="仿宋_GB2312" w:eastAsia="仿宋_GB2312"/>
          <w:sz w:val="32"/>
          <w:szCs w:val="24"/>
        </w:rPr>
        <w:t>11.85%</w:t>
      </w:r>
      <w:r>
        <w:rPr>
          <w:rFonts w:hint="eastAsia" w:ascii="仿宋_GB2312" w:hAnsi="仿宋_GB2312" w:eastAsia="仿宋_GB2312"/>
          <w:sz w:val="32"/>
          <w:szCs w:val="24"/>
        </w:rPr>
        <w:t>；项目支出</w:t>
      </w:r>
      <w:r>
        <w:rPr>
          <w:rFonts w:ascii="仿宋_GB2312" w:hAnsi="仿宋_GB2312" w:eastAsia="仿宋_GB2312"/>
          <w:sz w:val="32"/>
          <w:szCs w:val="24"/>
        </w:rPr>
        <w:t>2,077.5</w:t>
      </w:r>
      <w:r>
        <w:rPr>
          <w:rFonts w:hint="eastAsia" w:ascii="仿宋_GB2312" w:hAnsi="仿宋_GB2312" w:eastAsia="仿宋_GB2312"/>
          <w:sz w:val="32"/>
          <w:szCs w:val="24"/>
        </w:rPr>
        <w:t>0万元，占</w:t>
      </w:r>
      <w:r>
        <w:rPr>
          <w:rFonts w:ascii="仿宋_GB2312" w:hAnsi="仿宋_GB2312" w:eastAsia="仿宋_GB2312"/>
          <w:sz w:val="32"/>
          <w:szCs w:val="24"/>
        </w:rPr>
        <w:t>88.15%</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2,356.9</w:t>
      </w:r>
      <w:r>
        <w:rPr>
          <w:rFonts w:hint="eastAsia" w:ascii="仿宋_GB2312" w:hAnsi="仿宋_GB2312" w:eastAsia="仿宋_GB2312"/>
          <w:sz w:val="32"/>
          <w:szCs w:val="24"/>
        </w:rPr>
        <w:t>0万元，与上年相比，增加</w:t>
      </w:r>
      <w:r>
        <w:rPr>
          <w:rFonts w:ascii="仿宋_GB2312" w:hAnsi="仿宋_GB2312" w:eastAsia="仿宋_GB2312"/>
          <w:sz w:val="32"/>
          <w:szCs w:val="24"/>
        </w:rPr>
        <w:t>695.23</w:t>
      </w:r>
      <w:r>
        <w:rPr>
          <w:rFonts w:hint="eastAsia" w:ascii="仿宋_GB2312" w:hAnsi="仿宋_GB2312" w:eastAsia="仿宋_GB2312"/>
          <w:sz w:val="32"/>
          <w:szCs w:val="24"/>
        </w:rPr>
        <w:t>万元，增长</w:t>
      </w:r>
      <w:r>
        <w:rPr>
          <w:rFonts w:ascii="仿宋_GB2312" w:hAnsi="仿宋_GB2312" w:eastAsia="仿宋_GB2312"/>
          <w:sz w:val="32"/>
          <w:szCs w:val="24"/>
        </w:rPr>
        <w:t>41.84%</w:t>
      </w:r>
      <w:r>
        <w:rPr>
          <w:rFonts w:hint="eastAsia" w:ascii="仿宋_GB2312" w:hAnsi="仿宋_GB2312" w:eastAsia="仿宋_GB2312"/>
          <w:sz w:val="32"/>
          <w:szCs w:val="24"/>
        </w:rPr>
        <w:t>。主要原因是：国家和自治区环保部门加大了对我县大气污染防治及农村生活污水专项资金的补助投入力度，因此本年财政拨款收入增加。财政拨款支出</w:t>
      </w:r>
      <w:r>
        <w:rPr>
          <w:rFonts w:ascii="仿宋_GB2312" w:hAnsi="仿宋_GB2312" w:eastAsia="仿宋_GB2312"/>
          <w:sz w:val="32"/>
          <w:szCs w:val="24"/>
        </w:rPr>
        <w:t>2,356.9</w:t>
      </w:r>
      <w:r>
        <w:rPr>
          <w:rFonts w:hint="eastAsia" w:ascii="仿宋_GB2312" w:hAnsi="仿宋_GB2312" w:eastAsia="仿宋_GB2312"/>
          <w:sz w:val="32"/>
          <w:szCs w:val="24"/>
        </w:rPr>
        <w:t>0万元，与上年相比，增加</w:t>
      </w:r>
      <w:r>
        <w:rPr>
          <w:rFonts w:ascii="仿宋_GB2312" w:hAnsi="仿宋_GB2312" w:eastAsia="仿宋_GB2312"/>
          <w:sz w:val="32"/>
          <w:szCs w:val="24"/>
        </w:rPr>
        <w:t>695.23</w:t>
      </w:r>
      <w:r>
        <w:rPr>
          <w:rFonts w:hint="eastAsia" w:ascii="仿宋_GB2312" w:hAnsi="仿宋_GB2312" w:eastAsia="仿宋_GB2312"/>
          <w:sz w:val="32"/>
          <w:szCs w:val="24"/>
        </w:rPr>
        <w:t>万元，增长</w:t>
      </w:r>
      <w:r>
        <w:rPr>
          <w:rFonts w:ascii="仿宋_GB2312" w:hAnsi="仿宋_GB2312" w:eastAsia="仿宋_GB2312"/>
          <w:sz w:val="32"/>
          <w:szCs w:val="24"/>
        </w:rPr>
        <w:t>41.84%</w:t>
      </w:r>
      <w:r>
        <w:rPr>
          <w:rFonts w:hint="eastAsia" w:ascii="仿宋_GB2312" w:hAnsi="仿宋_GB2312" w:eastAsia="仿宋_GB2312"/>
          <w:sz w:val="32"/>
          <w:szCs w:val="24"/>
        </w:rPr>
        <w:t>，主要原因是：本年度支付了中央大气污染防治资金及农村生活污水项目专项资</w:t>
      </w:r>
      <w:r>
        <w:rPr>
          <w:rFonts w:hint="eastAsia" w:ascii="仿宋_GB2312" w:hAnsi="仿宋_GB2312" w:eastAsia="仿宋_GB2312"/>
          <w:sz w:val="32"/>
          <w:szCs w:val="24"/>
          <w:lang w:val="en-US" w:eastAsia="zh-CN"/>
        </w:rPr>
        <w:t>金</w:t>
      </w:r>
      <w:r>
        <w:rPr>
          <w:rFonts w:hint="eastAsia" w:ascii="仿宋_GB2312" w:hAnsi="仿宋_GB2312" w:eastAsia="仿宋_GB2312"/>
          <w:sz w:val="32"/>
          <w:szCs w:val="24"/>
        </w:rPr>
        <w:t>（上年度未支付完的尾款和本年度产生的项目），因此本年财政拨款支出增加。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297.23</w:t>
      </w:r>
      <w:r>
        <w:rPr>
          <w:rFonts w:hint="eastAsia" w:ascii="仿宋_GB2312" w:hAnsi="仿宋_GB2312" w:eastAsia="仿宋_GB2312"/>
          <w:sz w:val="32"/>
          <w:szCs w:val="24"/>
        </w:rPr>
        <w:t>万元，决算数</w:t>
      </w:r>
      <w:r>
        <w:rPr>
          <w:rFonts w:ascii="仿宋_GB2312" w:hAnsi="仿宋_GB2312" w:eastAsia="仿宋_GB2312"/>
          <w:sz w:val="32"/>
          <w:szCs w:val="24"/>
        </w:rPr>
        <w:t>2,356.9</w:t>
      </w:r>
      <w:r>
        <w:rPr>
          <w:rFonts w:hint="eastAsia" w:ascii="仿宋_GB2312" w:hAnsi="仿宋_GB2312" w:eastAsia="仿宋_GB2312"/>
          <w:sz w:val="32"/>
          <w:szCs w:val="24"/>
        </w:rPr>
        <w:t>0万元，预决算差异率</w:t>
      </w:r>
      <w:r>
        <w:rPr>
          <w:rFonts w:ascii="仿宋_GB2312" w:hAnsi="仿宋_GB2312" w:eastAsia="仿宋_GB2312"/>
          <w:sz w:val="32"/>
          <w:szCs w:val="24"/>
        </w:rPr>
        <w:t>692.95%</w:t>
      </w:r>
      <w:r>
        <w:rPr>
          <w:rFonts w:hint="eastAsia" w:ascii="仿宋_GB2312" w:hAnsi="仿宋_GB2312" w:eastAsia="仿宋_GB2312"/>
          <w:sz w:val="32"/>
          <w:szCs w:val="24"/>
        </w:rPr>
        <w:t>，主要原因是：因</w:t>
      </w:r>
      <w:r>
        <w:rPr>
          <w:rFonts w:hint="eastAsia" w:ascii="仿宋_GB2312" w:hAnsi="仿宋_GB2312" w:eastAsia="仿宋_GB2312"/>
          <w:sz w:val="32"/>
          <w:szCs w:val="24"/>
          <w:lang w:val="en-US" w:eastAsia="zh-CN"/>
        </w:rPr>
        <w:t>年初</w:t>
      </w:r>
      <w:r>
        <w:rPr>
          <w:rFonts w:hint="eastAsia" w:ascii="仿宋_GB2312" w:hAnsi="仿宋_GB2312" w:eastAsia="仿宋_GB2312"/>
          <w:sz w:val="32"/>
          <w:szCs w:val="24"/>
        </w:rPr>
        <w:t>预算数不包括本年度新申请的项目资金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导致预决算相比产生差异</w:t>
      </w:r>
      <w:r>
        <w:rPr>
          <w:rFonts w:hint="eastAsia" w:ascii="仿宋_GB2312" w:hAnsi="仿宋_GB2312" w:eastAsia="仿宋_GB2312"/>
          <w:sz w:val="32"/>
          <w:szCs w:val="24"/>
        </w:rPr>
        <w:t>。财政拨款支出年初预算数</w:t>
      </w:r>
      <w:r>
        <w:rPr>
          <w:rFonts w:ascii="仿宋_GB2312" w:hAnsi="仿宋_GB2312" w:eastAsia="仿宋_GB2312"/>
          <w:sz w:val="32"/>
          <w:szCs w:val="24"/>
        </w:rPr>
        <w:t>297.23</w:t>
      </w:r>
      <w:r>
        <w:rPr>
          <w:rFonts w:hint="eastAsia" w:ascii="仿宋_GB2312" w:hAnsi="仿宋_GB2312" w:eastAsia="仿宋_GB2312"/>
          <w:sz w:val="32"/>
          <w:szCs w:val="24"/>
        </w:rPr>
        <w:t>万元，决算数</w:t>
      </w:r>
      <w:r>
        <w:rPr>
          <w:rFonts w:ascii="仿宋_GB2312" w:hAnsi="仿宋_GB2312" w:eastAsia="仿宋_GB2312"/>
          <w:sz w:val="32"/>
          <w:szCs w:val="24"/>
        </w:rPr>
        <w:t>2,356.9</w:t>
      </w:r>
      <w:r>
        <w:rPr>
          <w:rFonts w:hint="eastAsia" w:ascii="仿宋_GB2312" w:hAnsi="仿宋_GB2312" w:eastAsia="仿宋_GB2312"/>
          <w:sz w:val="32"/>
          <w:szCs w:val="24"/>
        </w:rPr>
        <w:t>0万元，预决算差异率</w:t>
      </w:r>
      <w:r>
        <w:rPr>
          <w:rFonts w:ascii="仿宋_GB2312" w:hAnsi="仿宋_GB2312" w:eastAsia="仿宋_GB2312"/>
          <w:sz w:val="32"/>
          <w:szCs w:val="24"/>
        </w:rPr>
        <w:t>692.95%</w:t>
      </w:r>
      <w:r>
        <w:rPr>
          <w:rFonts w:hint="eastAsia" w:ascii="仿宋_GB2312" w:hAnsi="仿宋_GB2312" w:eastAsia="仿宋_GB2312"/>
          <w:sz w:val="32"/>
          <w:szCs w:val="24"/>
        </w:rPr>
        <w:t>，主要原因是：因</w:t>
      </w:r>
      <w:r>
        <w:rPr>
          <w:rFonts w:hint="eastAsia" w:ascii="仿宋_GB2312" w:hAnsi="仿宋_GB2312" w:eastAsia="仿宋_GB2312"/>
          <w:sz w:val="32"/>
          <w:szCs w:val="24"/>
          <w:lang w:val="en-US" w:eastAsia="zh-CN"/>
        </w:rPr>
        <w:t>年初</w:t>
      </w:r>
      <w:r>
        <w:rPr>
          <w:rFonts w:hint="eastAsia" w:ascii="仿宋_GB2312" w:hAnsi="仿宋_GB2312" w:eastAsia="仿宋_GB2312"/>
          <w:sz w:val="32"/>
          <w:szCs w:val="24"/>
        </w:rPr>
        <w:t>预算数不包括本年度新申请的项目资金</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导致预决算相比产生差异</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2,356.9</w:t>
      </w:r>
      <w:r>
        <w:rPr>
          <w:rFonts w:hint="eastAsia" w:ascii="仿宋_GB2312" w:hAnsi="仿宋_GB2312" w:eastAsia="仿宋_GB2312"/>
          <w:sz w:val="32"/>
          <w:szCs w:val="24"/>
        </w:rPr>
        <w:t>0万元。按功能分类科目项级科目公开，其中：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18.94</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2080506</w:t>
      </w:r>
      <w:r>
        <w:rPr>
          <w:rFonts w:hint="eastAsia" w:ascii="仿宋_GB2312" w:hAnsi="仿宋_GB2312" w:eastAsia="仿宋_GB2312"/>
          <w:sz w:val="32"/>
          <w:szCs w:val="24"/>
        </w:rPr>
        <w:t>机关事业单位职业年金缴费支出</w:t>
      </w:r>
      <w:r>
        <w:rPr>
          <w:rFonts w:ascii="仿宋_GB2312" w:hAnsi="仿宋_GB2312" w:eastAsia="仿宋_GB2312"/>
          <w:sz w:val="32"/>
          <w:szCs w:val="24"/>
        </w:rPr>
        <w:t>4.11</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2110101</w:t>
      </w:r>
      <w:r>
        <w:rPr>
          <w:rFonts w:hint="eastAsia" w:ascii="仿宋_GB2312" w:hAnsi="仿宋_GB2312" w:eastAsia="仿宋_GB2312"/>
          <w:sz w:val="32"/>
          <w:szCs w:val="24"/>
        </w:rPr>
        <w:t>行政运行</w:t>
      </w:r>
      <w:r>
        <w:rPr>
          <w:rFonts w:ascii="仿宋_GB2312" w:hAnsi="仿宋_GB2312" w:eastAsia="仿宋_GB2312"/>
          <w:sz w:val="32"/>
          <w:szCs w:val="24"/>
        </w:rPr>
        <w:t>256.35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2110301</w:t>
      </w:r>
      <w:r>
        <w:rPr>
          <w:rFonts w:hint="eastAsia" w:ascii="仿宋_GB2312" w:hAnsi="仿宋_GB2312" w:eastAsia="仿宋_GB2312"/>
          <w:sz w:val="32"/>
          <w:szCs w:val="24"/>
        </w:rPr>
        <w:t>大气</w:t>
      </w:r>
      <w:r>
        <w:rPr>
          <w:rFonts w:ascii="仿宋_GB2312" w:hAnsi="仿宋_GB2312" w:eastAsia="仿宋_GB2312"/>
          <w:sz w:val="32"/>
          <w:szCs w:val="24"/>
        </w:rPr>
        <w:t>1930</w:t>
      </w:r>
      <w:r>
        <w:rPr>
          <w:rFonts w:hint="eastAsia" w:ascii="仿宋_GB2312" w:hAnsi="仿宋_GB2312" w:eastAsia="仿宋_GB2312"/>
          <w:sz w:val="32"/>
          <w:szCs w:val="24"/>
        </w:rPr>
        <w:t>.00万元；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2110402</w:t>
      </w:r>
      <w:r>
        <w:rPr>
          <w:rFonts w:hint="eastAsia" w:ascii="仿宋_GB2312" w:hAnsi="仿宋_GB2312" w:eastAsia="仿宋_GB2312"/>
          <w:sz w:val="32"/>
          <w:szCs w:val="24"/>
        </w:rPr>
        <w:t>农村环境保护</w:t>
      </w:r>
      <w:r>
        <w:rPr>
          <w:rFonts w:ascii="仿宋_GB2312" w:hAnsi="仿宋_GB2312" w:eastAsia="仿宋_GB2312"/>
          <w:sz w:val="32"/>
          <w:szCs w:val="24"/>
        </w:rPr>
        <w:t>147.5</w:t>
      </w:r>
      <w:r>
        <w:rPr>
          <w:rFonts w:hint="eastAsia" w:ascii="仿宋_GB2312" w:hAnsi="仿宋_GB2312" w:eastAsia="仿宋_GB2312"/>
          <w:sz w:val="32"/>
          <w:szCs w:val="24"/>
        </w:rPr>
        <w:t>0万元。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279.4</w:t>
      </w:r>
      <w:r>
        <w:rPr>
          <w:rFonts w:hint="eastAsia" w:ascii="仿宋_GB2312" w:hAnsi="仿宋_GB2312" w:eastAsia="仿宋_GB2312"/>
          <w:sz w:val="32"/>
          <w:szCs w:val="24"/>
        </w:rPr>
        <w:t>0万元，其中：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254.4</w:t>
      </w:r>
      <w:r>
        <w:rPr>
          <w:rFonts w:hint="eastAsia" w:ascii="仿宋_GB2312" w:hAnsi="仿宋_GB2312" w:eastAsia="仿宋_GB2312"/>
          <w:sz w:val="32"/>
          <w:szCs w:val="24"/>
        </w:rPr>
        <w:t>0万元，包括：基本工资、津贴补贴、奖金、机关事业单位基本养老保险缴费、职业年金缴费、职工基本医疗保险缴费、公务员医疗补助缴费、其他社会保障缴费、住房公积金、其他工资福利支出、退休费、奖励金、其他对个人和家庭的补助。</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25</w:t>
      </w:r>
      <w:r>
        <w:rPr>
          <w:rFonts w:hint="eastAsia" w:ascii="仿宋_GB2312" w:hAnsi="仿宋_GB2312" w:eastAsia="仿宋_GB2312"/>
          <w:sz w:val="32"/>
          <w:szCs w:val="24"/>
        </w:rPr>
        <w:t>.00万元，包括：办公费、印刷费、手续费、电费、邮电费、取暖费、差旅费、租赁费、培训费、公务接待费、劳务费、工会经费、福利费、公务用车运行维护费、其他交通费用、税金及附加费用、其他商品和服务支出。</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11.3</w:t>
      </w:r>
      <w:r>
        <w:rPr>
          <w:rFonts w:hint="eastAsia" w:ascii="仿宋_GB2312" w:hAnsi="仿宋_GB2312" w:eastAsia="仿宋_GB2312"/>
          <w:sz w:val="32"/>
          <w:szCs w:val="24"/>
        </w:rPr>
        <w:t>0万元，比上年减少</w:t>
      </w:r>
      <w:r>
        <w:rPr>
          <w:rFonts w:ascii="仿宋_GB2312" w:hAnsi="仿宋_GB2312" w:eastAsia="仿宋_GB2312"/>
          <w:sz w:val="32"/>
          <w:szCs w:val="24"/>
        </w:rPr>
        <w:t>2.29</w:t>
      </w:r>
      <w:r>
        <w:rPr>
          <w:rFonts w:hint="eastAsia" w:ascii="仿宋_GB2312" w:hAnsi="仿宋_GB2312" w:eastAsia="仿宋_GB2312"/>
          <w:sz w:val="32"/>
          <w:szCs w:val="24"/>
        </w:rPr>
        <w:t>万元，降低</w:t>
      </w:r>
      <w:r>
        <w:rPr>
          <w:rFonts w:ascii="仿宋_GB2312" w:hAnsi="仿宋_GB2312" w:eastAsia="仿宋_GB2312"/>
          <w:sz w:val="32"/>
          <w:szCs w:val="24"/>
        </w:rPr>
        <w:t>16.8</w:t>
      </w:r>
      <w:r>
        <w:rPr>
          <w:rFonts w:hint="eastAsia" w:ascii="仿宋_GB2312" w:hAnsi="仿宋_GB2312" w:eastAsia="仿宋_GB2312"/>
          <w:sz w:val="32"/>
          <w:szCs w:val="24"/>
        </w:rPr>
        <w:t>5</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hint="eastAsia" w:ascii="仿宋" w:hAnsi="仿宋" w:eastAsia="仿宋"/>
          <w:kern w:val="0"/>
          <w:sz w:val="32"/>
          <w:szCs w:val="24"/>
        </w:rPr>
        <w:t>我局厉行节约</w:t>
      </w:r>
      <w:r>
        <w:rPr>
          <w:rFonts w:hint="eastAsia" w:ascii="仿宋_GB2312" w:hAnsi="仿宋_GB2312" w:eastAsia="仿宋_GB2312"/>
          <w:sz w:val="32"/>
          <w:szCs w:val="24"/>
        </w:rPr>
        <w:t>，</w:t>
      </w:r>
      <w:r>
        <w:rPr>
          <w:rFonts w:hint="eastAsia" w:ascii="仿宋" w:hAnsi="仿宋" w:eastAsia="仿宋"/>
          <w:kern w:val="0"/>
          <w:sz w:val="32"/>
          <w:szCs w:val="24"/>
        </w:rPr>
        <w:t>从严控制和压缩</w:t>
      </w:r>
      <w:r>
        <w:rPr>
          <w:rFonts w:hint="eastAsia" w:ascii="仿宋_GB2312" w:hAnsi="仿宋_GB2312" w:eastAsia="仿宋_GB2312"/>
          <w:sz w:val="32"/>
          <w:szCs w:val="24"/>
        </w:rPr>
        <w:t>“三公”</w:t>
      </w:r>
      <w:r>
        <w:rPr>
          <w:rFonts w:hint="eastAsia" w:ascii="仿宋" w:hAnsi="仿宋" w:eastAsia="仿宋"/>
          <w:kern w:val="0"/>
          <w:sz w:val="32"/>
          <w:szCs w:val="24"/>
        </w:rPr>
        <w:t>经费支出、压缩公务接待费和公务用车购置及运行维护费。</w:t>
      </w:r>
      <w:r>
        <w:rPr>
          <w:rFonts w:hint="eastAsia" w:ascii="仿宋_GB2312" w:hAnsi="仿宋_GB2312" w:eastAsia="仿宋_GB2312"/>
          <w:sz w:val="32"/>
          <w:szCs w:val="24"/>
        </w:rPr>
        <w:t>其中，因公出国（境）费支出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sz w:val="32"/>
          <w:szCs w:val="24"/>
        </w:rPr>
        <w:t>.00万元，增长</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年单位无因公出国（境）费支出；公务用车购置及运行维护费支出</w:t>
      </w:r>
      <w:r>
        <w:rPr>
          <w:rFonts w:ascii="仿宋_GB2312" w:hAnsi="仿宋_GB2312" w:eastAsia="仿宋_GB2312"/>
          <w:sz w:val="32"/>
          <w:szCs w:val="24"/>
        </w:rPr>
        <w:t>8.77</w:t>
      </w:r>
      <w:r>
        <w:rPr>
          <w:rFonts w:hint="eastAsia" w:ascii="仿宋_GB2312" w:hAnsi="仿宋_GB2312" w:eastAsia="仿宋_GB2312"/>
          <w:sz w:val="32"/>
          <w:szCs w:val="24"/>
        </w:rPr>
        <w:t>万元，占</w:t>
      </w:r>
      <w:r>
        <w:rPr>
          <w:rFonts w:ascii="仿宋_GB2312" w:hAnsi="仿宋_GB2312" w:eastAsia="仿宋_GB2312"/>
          <w:sz w:val="32"/>
          <w:szCs w:val="24"/>
        </w:rPr>
        <w:t>77.6</w:t>
      </w:r>
      <w:r>
        <w:rPr>
          <w:rFonts w:hint="eastAsia" w:ascii="仿宋_GB2312" w:hAnsi="仿宋_GB2312" w:eastAsia="仿宋_GB2312"/>
          <w:sz w:val="32"/>
          <w:szCs w:val="24"/>
        </w:rPr>
        <w:t>1</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2.01</w:t>
      </w:r>
      <w:r>
        <w:rPr>
          <w:rFonts w:hint="eastAsia" w:ascii="仿宋_GB2312" w:hAnsi="仿宋_GB2312" w:eastAsia="仿宋_GB2312"/>
          <w:sz w:val="32"/>
          <w:szCs w:val="24"/>
        </w:rPr>
        <w:t>万元，降低</w:t>
      </w:r>
      <w:r>
        <w:rPr>
          <w:rFonts w:ascii="仿宋_GB2312" w:hAnsi="仿宋_GB2312" w:eastAsia="仿宋_GB2312"/>
          <w:sz w:val="32"/>
          <w:szCs w:val="24"/>
        </w:rPr>
        <w:t>18.6</w:t>
      </w:r>
      <w:r>
        <w:rPr>
          <w:rFonts w:hint="eastAsia" w:ascii="仿宋_GB2312" w:hAnsi="仿宋_GB2312" w:eastAsia="仿宋_GB2312"/>
          <w:sz w:val="32"/>
          <w:szCs w:val="24"/>
        </w:rPr>
        <w:t>5</w:t>
      </w:r>
      <w:r>
        <w:rPr>
          <w:rFonts w:ascii="仿宋_GB2312" w:hAnsi="仿宋_GB2312" w:eastAsia="仿宋_GB2312"/>
          <w:sz w:val="32"/>
          <w:szCs w:val="24"/>
        </w:rPr>
        <w:t>%</w:t>
      </w:r>
      <w:r>
        <w:rPr>
          <w:rFonts w:hint="eastAsia" w:ascii="仿宋_GB2312" w:hAnsi="仿宋_GB2312" w:eastAsia="仿宋_GB2312"/>
          <w:sz w:val="32"/>
          <w:szCs w:val="24"/>
        </w:rPr>
        <w:t>，主要原因是根据节约环保和相关规定要求，我单位进一步加强了公车管理，</w:t>
      </w:r>
      <w:r>
        <w:rPr>
          <w:rFonts w:hint="eastAsia" w:ascii="仿宋_GB2312" w:hAnsi="仿宋_GB2312" w:eastAsia="仿宋_GB2312"/>
          <w:sz w:val="32"/>
          <w:szCs w:val="24"/>
          <w:lang w:val="en-US" w:eastAsia="zh-CN"/>
        </w:rPr>
        <w:t>减少</w:t>
      </w:r>
      <w:r>
        <w:rPr>
          <w:rFonts w:hint="eastAsia" w:ascii="仿宋_GB2312" w:hAnsi="仿宋_GB2312" w:eastAsia="仿宋_GB2312"/>
          <w:sz w:val="32"/>
          <w:szCs w:val="24"/>
        </w:rPr>
        <w:t>对公车的使用、维修、加油等</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，降低了车辆的费用；公务接待费支出</w:t>
      </w:r>
      <w:r>
        <w:rPr>
          <w:rFonts w:ascii="仿宋_GB2312" w:hAnsi="仿宋_GB2312" w:eastAsia="仿宋_GB2312"/>
          <w:sz w:val="32"/>
          <w:szCs w:val="24"/>
        </w:rPr>
        <w:t>2.53</w:t>
      </w:r>
      <w:r>
        <w:rPr>
          <w:rFonts w:hint="eastAsia" w:ascii="仿宋_GB2312" w:hAnsi="仿宋_GB2312" w:eastAsia="仿宋_GB2312"/>
          <w:sz w:val="32"/>
          <w:szCs w:val="24"/>
        </w:rPr>
        <w:t>万元，占</w:t>
      </w:r>
      <w:r>
        <w:rPr>
          <w:rFonts w:ascii="仿宋_GB2312" w:hAnsi="仿宋_GB2312" w:eastAsia="仿宋_GB2312"/>
          <w:sz w:val="32"/>
          <w:szCs w:val="24"/>
        </w:rPr>
        <w:t>22.3</w:t>
      </w:r>
      <w:r>
        <w:rPr>
          <w:rFonts w:hint="eastAsia" w:ascii="仿宋_GB2312" w:hAnsi="仿宋_GB2312" w:eastAsia="仿宋_GB2312"/>
          <w:sz w:val="32"/>
          <w:szCs w:val="24"/>
        </w:rPr>
        <w:t>9</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0.28</w:t>
      </w:r>
      <w:r>
        <w:rPr>
          <w:rFonts w:hint="eastAsia" w:ascii="仿宋_GB2312" w:hAnsi="仿宋_GB2312" w:eastAsia="仿宋_GB2312"/>
          <w:sz w:val="32"/>
          <w:szCs w:val="24"/>
        </w:rPr>
        <w:t>万元，降低</w:t>
      </w:r>
      <w:r>
        <w:rPr>
          <w:rFonts w:ascii="仿宋_GB2312" w:hAnsi="仿宋_GB2312" w:eastAsia="仿宋_GB2312"/>
          <w:sz w:val="32"/>
          <w:szCs w:val="24"/>
        </w:rPr>
        <w:t>9.9</w:t>
      </w:r>
      <w:r>
        <w:rPr>
          <w:rFonts w:hint="eastAsia" w:ascii="仿宋_GB2312" w:hAnsi="仿宋_GB2312" w:eastAsia="仿宋_GB2312"/>
          <w:sz w:val="32"/>
          <w:szCs w:val="24"/>
        </w:rPr>
        <w:t>6</w:t>
      </w:r>
      <w:r>
        <w:rPr>
          <w:rFonts w:ascii="仿宋_GB2312" w:hAnsi="仿宋_GB2312" w:eastAsia="仿宋_GB2312"/>
          <w:sz w:val="32"/>
          <w:szCs w:val="24"/>
        </w:rPr>
        <w:t>%</w:t>
      </w:r>
      <w:r>
        <w:rPr>
          <w:rFonts w:hint="eastAsia" w:ascii="仿宋_GB2312" w:hAnsi="仿宋_GB2312" w:eastAsia="仿宋_GB2312"/>
          <w:sz w:val="32"/>
          <w:szCs w:val="24"/>
        </w:rPr>
        <w:t>，主要原因是一是减少了上级业务部门对我局工作检查指导频次</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二是</w:t>
      </w:r>
      <w:r>
        <w:rPr>
          <w:rFonts w:hint="eastAsia" w:ascii="仿宋" w:hAnsi="仿宋" w:eastAsia="仿宋"/>
          <w:kern w:val="0"/>
          <w:sz w:val="32"/>
          <w:szCs w:val="24"/>
        </w:rPr>
        <w:t>我局全面贯彻落实八项规定及厉行节约的相关要求，从严控制接待标准及陪同人数，降低了接待费用</w:t>
      </w:r>
      <w:r>
        <w:rPr>
          <w:rFonts w:hint="eastAsia" w:ascii="仿宋_GB2312" w:hAnsi="仿宋_GB2312" w:eastAsia="仿宋_GB2312"/>
          <w:sz w:val="32"/>
          <w:szCs w:val="24"/>
        </w:rPr>
        <w:t>。具体情况如下：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sz w:val="32"/>
          <w:szCs w:val="24"/>
        </w:rPr>
        <w:t>.00万元，开支内容包括：无因公出国（境）费支出。单位全年安排的因公出国（境）团组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8.77</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sz w:val="32"/>
          <w:szCs w:val="24"/>
        </w:rPr>
        <w:t>.00万元，公务用车运行维护费</w:t>
      </w:r>
      <w:r>
        <w:rPr>
          <w:rFonts w:ascii="仿宋_GB2312" w:hAnsi="仿宋_GB2312" w:eastAsia="仿宋_GB2312"/>
          <w:sz w:val="32"/>
          <w:szCs w:val="24"/>
        </w:rPr>
        <w:t>8.77</w:t>
      </w:r>
      <w:r>
        <w:rPr>
          <w:rFonts w:hint="eastAsia" w:ascii="仿宋_GB2312" w:hAnsi="仿宋_GB2312" w:eastAsia="仿宋_GB2312"/>
          <w:sz w:val="32"/>
          <w:szCs w:val="24"/>
        </w:rPr>
        <w:t>万元。公务用车运行维护费开支内容包括公务用车加油费、车辆保险费以及维修费。公务用车购置数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3</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2.53</w:t>
      </w:r>
      <w:r>
        <w:rPr>
          <w:rFonts w:hint="eastAsia" w:ascii="仿宋_GB2312" w:hAnsi="仿宋_GB2312" w:eastAsia="仿宋_GB2312"/>
          <w:sz w:val="32"/>
          <w:szCs w:val="24"/>
        </w:rPr>
        <w:t>万元，开支内容包括上级业务部门检查指导工作接待餐费。单位全年安排的国内公务接待</w:t>
      </w:r>
      <w:r>
        <w:rPr>
          <w:rFonts w:ascii="仿宋_GB2312" w:hAnsi="仿宋_GB2312" w:eastAsia="仿宋_GB2312"/>
          <w:sz w:val="32"/>
          <w:szCs w:val="24"/>
        </w:rPr>
        <w:t>55</w:t>
      </w:r>
      <w:r>
        <w:rPr>
          <w:rFonts w:hint="eastAsia" w:ascii="仿宋_GB2312" w:hAnsi="仿宋_GB2312" w:eastAsia="仿宋_GB2312"/>
          <w:sz w:val="32"/>
          <w:szCs w:val="24"/>
        </w:rPr>
        <w:t>批次，</w:t>
      </w:r>
      <w:r>
        <w:rPr>
          <w:rFonts w:ascii="仿宋_GB2312" w:hAnsi="仿宋_GB2312" w:eastAsia="仿宋_GB2312"/>
          <w:sz w:val="32"/>
          <w:szCs w:val="24"/>
        </w:rPr>
        <w:t>520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21</w:t>
      </w:r>
      <w:r>
        <w:rPr>
          <w:rFonts w:hint="eastAsia" w:ascii="仿宋_GB2312" w:hAnsi="仿宋_GB2312" w:eastAsia="仿宋_GB2312"/>
          <w:sz w:val="32"/>
          <w:szCs w:val="24"/>
        </w:rPr>
        <w:t>.00万元，决算数</w:t>
      </w:r>
      <w:r>
        <w:rPr>
          <w:rFonts w:ascii="仿宋_GB2312" w:hAnsi="仿宋_GB2312" w:eastAsia="仿宋_GB2312"/>
          <w:sz w:val="32"/>
          <w:szCs w:val="24"/>
        </w:rPr>
        <w:t>11.3</w:t>
      </w:r>
      <w:r>
        <w:rPr>
          <w:rFonts w:hint="eastAsia" w:ascii="仿宋_GB2312" w:hAnsi="仿宋_GB2312" w:eastAsia="仿宋_GB2312"/>
          <w:sz w:val="32"/>
          <w:szCs w:val="24"/>
        </w:rPr>
        <w:t>0万元，预决算差异率</w:t>
      </w:r>
      <w:r>
        <w:rPr>
          <w:rFonts w:ascii="仿宋_GB2312" w:hAnsi="仿宋_GB2312" w:eastAsia="仿宋_GB2312"/>
          <w:sz w:val="32"/>
          <w:szCs w:val="24"/>
        </w:rPr>
        <w:t>-46.</w:t>
      </w:r>
      <w:r>
        <w:rPr>
          <w:rFonts w:hint="eastAsia" w:ascii="仿宋_GB2312" w:hAnsi="仿宋_GB2312" w:eastAsia="仿宋_GB2312"/>
          <w:sz w:val="32"/>
          <w:szCs w:val="24"/>
        </w:rPr>
        <w:t>19</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hint="eastAsia" w:ascii="仿宋" w:hAnsi="仿宋" w:eastAsia="仿宋"/>
          <w:kern w:val="0"/>
          <w:sz w:val="32"/>
          <w:szCs w:val="24"/>
        </w:rPr>
        <w:t>一是减少了公务用车及公务接待的频次</w:t>
      </w:r>
      <w:r>
        <w:rPr>
          <w:rFonts w:hint="eastAsia" w:ascii="仿宋" w:hAnsi="仿宋" w:eastAsia="仿宋"/>
          <w:kern w:val="0"/>
          <w:sz w:val="32"/>
          <w:szCs w:val="24"/>
          <w:lang w:eastAsia="zh-CN"/>
        </w:rPr>
        <w:t>；</w:t>
      </w:r>
      <w:r>
        <w:rPr>
          <w:rFonts w:hint="eastAsia" w:ascii="仿宋" w:hAnsi="仿宋" w:eastAsia="仿宋"/>
          <w:kern w:val="0"/>
          <w:sz w:val="32"/>
          <w:szCs w:val="24"/>
        </w:rPr>
        <w:t>二是我局全面贯彻落实八项规定及厉行节约的相关要求，从严控制接待标准及陪同人数，降低了接待费用公务接待次数、人数减少</w:t>
      </w:r>
      <w:r>
        <w:rPr>
          <w:rFonts w:hint="eastAsia" w:ascii="仿宋" w:hAnsi="仿宋" w:eastAsia="仿宋"/>
          <w:kern w:val="0"/>
          <w:sz w:val="32"/>
          <w:szCs w:val="24"/>
          <w:lang w:eastAsia="zh-CN"/>
        </w:rPr>
        <w:t>；</w:t>
      </w:r>
      <w:r>
        <w:rPr>
          <w:rFonts w:hint="eastAsia" w:ascii="仿宋" w:hAnsi="仿宋" w:eastAsia="仿宋"/>
          <w:kern w:val="0"/>
          <w:sz w:val="32"/>
          <w:szCs w:val="24"/>
        </w:rPr>
        <w:t>三是根据基层减负工作要求我局年内未产生大型会议活动费用</w:t>
      </w:r>
      <w:r>
        <w:rPr>
          <w:rFonts w:hint="eastAsia" w:ascii="仿宋_GB2312" w:hAnsi="仿宋_GB2312" w:eastAsia="仿宋_GB2312"/>
          <w:sz w:val="32"/>
          <w:szCs w:val="24"/>
        </w:rPr>
        <w:t>。其中：因公出国（境）费预算数</w:t>
      </w:r>
      <w:r>
        <w:rPr>
          <w:rFonts w:ascii="仿宋_GB2312" w:hAnsi="仿宋_GB2312" w:eastAsia="仿宋_GB2312"/>
          <w:sz w:val="32"/>
          <w:szCs w:val="24"/>
        </w:rPr>
        <w:t>0</w:t>
      </w:r>
      <w:r>
        <w:rPr>
          <w:rFonts w:hint="eastAsia" w:ascii="仿宋_GB2312" w:hAnsi="仿宋_GB2312" w:eastAsia="仿宋_GB2312"/>
          <w:sz w:val="32"/>
          <w:szCs w:val="24"/>
        </w:rPr>
        <w:t>.00万元，决算数</w:t>
      </w:r>
      <w:r>
        <w:rPr>
          <w:rFonts w:ascii="仿宋_GB2312" w:hAnsi="仿宋_GB2312" w:eastAsia="仿宋_GB2312"/>
          <w:sz w:val="32"/>
          <w:szCs w:val="24"/>
        </w:rPr>
        <w:t>0</w:t>
      </w:r>
      <w:r>
        <w:rPr>
          <w:rFonts w:hint="eastAsia" w:ascii="仿宋_GB2312" w:hAnsi="仿宋_GB2312" w:eastAsia="仿宋_GB2312"/>
          <w:sz w:val="32"/>
          <w:szCs w:val="24"/>
        </w:rPr>
        <w:t>.00万元，预决算差异率</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sz w:val="32"/>
          <w:szCs w:val="24"/>
        </w:rPr>
        <w:t>.00万元，决算数</w:t>
      </w:r>
      <w:r>
        <w:rPr>
          <w:rFonts w:ascii="仿宋_GB2312" w:hAnsi="仿宋_GB2312" w:eastAsia="仿宋_GB2312"/>
          <w:sz w:val="32"/>
          <w:szCs w:val="24"/>
        </w:rPr>
        <w:t>0</w:t>
      </w:r>
      <w:r>
        <w:rPr>
          <w:rFonts w:hint="eastAsia" w:ascii="仿宋_GB2312" w:hAnsi="仿宋_GB2312" w:eastAsia="仿宋_GB2312"/>
          <w:sz w:val="32"/>
          <w:szCs w:val="24"/>
        </w:rPr>
        <w:t>.00万元，预决算差异率</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hint="eastAsia" w:ascii="仿宋" w:hAnsi="仿宋" w:eastAsia="仿宋"/>
          <w:kern w:val="0"/>
          <w:sz w:val="32"/>
          <w:szCs w:val="24"/>
        </w:rPr>
        <w:t>年内我局没有购置车辆的指标</w:t>
      </w:r>
      <w:r>
        <w:rPr>
          <w:rFonts w:hint="eastAsia" w:ascii="仿宋" w:hAnsi="仿宋" w:eastAsia="仿宋"/>
          <w:kern w:val="0"/>
          <w:sz w:val="32"/>
          <w:szCs w:val="24"/>
          <w:lang w:eastAsia="zh-CN"/>
        </w:rPr>
        <w:t>，本单位本年无此项支出</w:t>
      </w:r>
      <w:r>
        <w:rPr>
          <w:rFonts w:hint="eastAsia" w:ascii="仿宋_GB2312" w:hAnsi="仿宋_GB2312" w:eastAsia="仿宋_GB2312"/>
          <w:sz w:val="32"/>
          <w:szCs w:val="24"/>
        </w:rPr>
        <w:t>；公务用车运行费预算数</w:t>
      </w:r>
      <w:r>
        <w:rPr>
          <w:rFonts w:ascii="仿宋_GB2312" w:hAnsi="仿宋_GB2312" w:eastAsia="仿宋_GB2312"/>
          <w:sz w:val="32"/>
          <w:szCs w:val="24"/>
        </w:rPr>
        <w:t>15</w:t>
      </w:r>
      <w:r>
        <w:rPr>
          <w:rFonts w:hint="eastAsia" w:ascii="仿宋_GB2312" w:hAnsi="仿宋_GB2312" w:eastAsia="仿宋_GB2312"/>
          <w:sz w:val="32"/>
          <w:szCs w:val="24"/>
        </w:rPr>
        <w:t>.00万元，决算数</w:t>
      </w:r>
      <w:r>
        <w:rPr>
          <w:rFonts w:ascii="仿宋_GB2312" w:hAnsi="仿宋_GB2312" w:eastAsia="仿宋_GB2312"/>
          <w:sz w:val="32"/>
          <w:szCs w:val="24"/>
        </w:rPr>
        <w:t>8.77</w:t>
      </w:r>
      <w:r>
        <w:rPr>
          <w:rFonts w:hint="eastAsia" w:ascii="仿宋_GB2312" w:hAnsi="仿宋_GB2312" w:eastAsia="仿宋_GB2312"/>
          <w:sz w:val="32"/>
          <w:szCs w:val="24"/>
        </w:rPr>
        <w:t>万元，预决算差异率</w:t>
      </w:r>
      <w:r>
        <w:rPr>
          <w:rFonts w:ascii="仿宋_GB2312" w:hAnsi="仿宋_GB2312" w:eastAsia="仿宋_GB2312"/>
          <w:sz w:val="32"/>
          <w:szCs w:val="24"/>
        </w:rPr>
        <w:t>-41.5</w:t>
      </w:r>
      <w:r>
        <w:rPr>
          <w:rFonts w:hint="eastAsia" w:ascii="仿宋_GB2312" w:hAnsi="仿宋_GB2312" w:eastAsia="仿宋_GB2312"/>
          <w:sz w:val="32"/>
          <w:szCs w:val="24"/>
        </w:rPr>
        <w:t>3</w:t>
      </w:r>
      <w:r>
        <w:rPr>
          <w:rFonts w:ascii="仿宋_GB2312" w:hAnsi="仿宋_GB2312" w:eastAsia="仿宋_GB2312"/>
          <w:sz w:val="32"/>
          <w:szCs w:val="24"/>
        </w:rPr>
        <w:t>%</w:t>
      </w:r>
      <w:r>
        <w:rPr>
          <w:rFonts w:hint="eastAsia" w:ascii="仿宋_GB2312" w:hAnsi="仿宋_GB2312" w:eastAsia="仿宋_GB2312"/>
          <w:sz w:val="32"/>
          <w:szCs w:val="24"/>
        </w:rPr>
        <w:t>，主要原因是：减少了公务用车的频次</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公务用车运行费支出减少</w:t>
      </w:r>
      <w:r>
        <w:rPr>
          <w:rFonts w:hint="eastAsia" w:ascii="仿宋_GB2312" w:hAnsi="仿宋_GB2312" w:eastAsia="仿宋_GB2312"/>
          <w:sz w:val="32"/>
          <w:szCs w:val="24"/>
        </w:rPr>
        <w:t>；公务接待费预算数</w:t>
      </w:r>
      <w:r>
        <w:rPr>
          <w:rFonts w:ascii="仿宋_GB2312" w:hAnsi="仿宋_GB2312" w:eastAsia="仿宋_GB2312"/>
          <w:sz w:val="32"/>
          <w:szCs w:val="24"/>
        </w:rPr>
        <w:t>6</w:t>
      </w:r>
      <w:r>
        <w:rPr>
          <w:rFonts w:hint="eastAsia" w:ascii="仿宋_GB2312" w:hAnsi="仿宋_GB2312" w:eastAsia="仿宋_GB2312"/>
          <w:sz w:val="32"/>
          <w:szCs w:val="24"/>
        </w:rPr>
        <w:t>.00万元，决算数</w:t>
      </w:r>
      <w:r>
        <w:rPr>
          <w:rFonts w:ascii="仿宋_GB2312" w:hAnsi="仿宋_GB2312" w:eastAsia="仿宋_GB2312"/>
          <w:sz w:val="32"/>
          <w:szCs w:val="24"/>
        </w:rPr>
        <w:t>2.53</w:t>
      </w:r>
      <w:r>
        <w:rPr>
          <w:rFonts w:hint="eastAsia" w:ascii="仿宋_GB2312" w:hAnsi="仿宋_GB2312" w:eastAsia="仿宋_GB2312"/>
          <w:sz w:val="32"/>
          <w:szCs w:val="24"/>
        </w:rPr>
        <w:t>万元，预决算差异率</w:t>
      </w:r>
      <w:r>
        <w:rPr>
          <w:rFonts w:ascii="仿宋_GB2312" w:hAnsi="仿宋_GB2312" w:eastAsia="仿宋_GB2312"/>
          <w:sz w:val="32"/>
          <w:szCs w:val="24"/>
        </w:rPr>
        <w:t>-57.8</w:t>
      </w:r>
      <w:r>
        <w:rPr>
          <w:rFonts w:hint="eastAsia" w:ascii="仿宋_GB2312" w:hAnsi="仿宋_GB2312" w:eastAsia="仿宋_GB2312"/>
          <w:sz w:val="32"/>
          <w:szCs w:val="24"/>
        </w:rPr>
        <w:t>3</w:t>
      </w:r>
      <w:r>
        <w:rPr>
          <w:rFonts w:ascii="仿宋_GB2312" w:hAnsi="仿宋_GB2312" w:eastAsia="仿宋_GB2312"/>
          <w:sz w:val="32"/>
          <w:szCs w:val="24"/>
        </w:rPr>
        <w:t>%</w:t>
      </w:r>
      <w:r>
        <w:rPr>
          <w:rFonts w:hint="eastAsia" w:ascii="仿宋_GB2312" w:hAnsi="仿宋_GB2312" w:eastAsia="仿宋_GB2312"/>
          <w:sz w:val="32"/>
          <w:szCs w:val="24"/>
        </w:rPr>
        <w:t>，主要原因是：一是上级业务部门对我局的业务工作的指导，相应也减少了公务接待频次</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二是我局严格落实八项规定及厉行节约的相关要求，从严控制接待标准及陪同人数，公务接待费用有着明显的降低。</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年度新疆昌吉州生态环境局玛纳斯县分局（行政单位和参照公务员法管理事业单位）机关运行经费支出</w:t>
      </w:r>
      <w:r>
        <w:rPr>
          <w:rFonts w:ascii="仿宋_GB2312" w:hAnsi="仿宋_GB2312" w:eastAsia="仿宋_GB2312"/>
          <w:sz w:val="32"/>
          <w:szCs w:val="24"/>
        </w:rPr>
        <w:t>25</w:t>
      </w:r>
      <w:r>
        <w:rPr>
          <w:rFonts w:hint="eastAsia" w:ascii="仿宋_GB2312" w:hAnsi="仿宋_GB2312" w:eastAsia="仿宋_GB2312"/>
          <w:sz w:val="32"/>
          <w:szCs w:val="24"/>
        </w:rPr>
        <w:t>.00万元，比上年减少</w:t>
      </w:r>
      <w:r>
        <w:rPr>
          <w:rFonts w:ascii="仿宋_GB2312" w:hAnsi="仿宋_GB2312" w:eastAsia="仿宋_GB2312"/>
          <w:sz w:val="32"/>
          <w:szCs w:val="24"/>
        </w:rPr>
        <w:t>9.0</w:t>
      </w:r>
      <w:r>
        <w:rPr>
          <w:rFonts w:hint="eastAsia" w:ascii="仿宋_GB2312" w:hAnsi="仿宋_GB2312" w:eastAsia="仿宋_GB2312"/>
          <w:sz w:val="32"/>
          <w:szCs w:val="24"/>
        </w:rPr>
        <w:t>5万元，降低</w:t>
      </w:r>
      <w:r>
        <w:rPr>
          <w:rFonts w:ascii="仿宋_GB2312" w:hAnsi="仿宋_GB2312" w:eastAsia="仿宋_GB2312"/>
          <w:sz w:val="32"/>
          <w:szCs w:val="24"/>
        </w:rPr>
        <w:t>26.5</w:t>
      </w:r>
      <w:r>
        <w:rPr>
          <w:rFonts w:hint="eastAsia" w:ascii="仿宋_GB2312" w:hAnsi="仿宋_GB2312" w:eastAsia="仿宋_GB2312"/>
          <w:sz w:val="32"/>
          <w:szCs w:val="24"/>
        </w:rPr>
        <w:t>8</w:t>
      </w:r>
      <w:r>
        <w:rPr>
          <w:rFonts w:ascii="仿宋_GB2312" w:hAnsi="仿宋_GB2312" w:eastAsia="仿宋_GB2312"/>
          <w:sz w:val="32"/>
          <w:szCs w:val="24"/>
        </w:rPr>
        <w:t>%</w:t>
      </w:r>
      <w:r>
        <w:rPr>
          <w:rFonts w:hint="eastAsia" w:ascii="仿宋_GB2312" w:hAnsi="仿宋_GB2312" w:eastAsia="仿宋_GB2312"/>
          <w:sz w:val="32"/>
          <w:szCs w:val="24"/>
        </w:rPr>
        <w:t>，主要原因是一是公务用车运行费用及公务接待费用减少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二是年初我局完善相关的制度，同时加大了对公务用车、公务接待、水电的管理费用</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三是我局严格按照相关制度执行，从而降低了机关运行经费。</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w:t>
      </w:r>
      <w:r>
        <w:rPr>
          <w:rFonts w:hint="eastAsia" w:ascii="仿宋_GB2312" w:hAnsi="仿宋_GB2312" w:eastAsia="仿宋_GB2312"/>
          <w:sz w:val="32"/>
          <w:szCs w:val="24"/>
        </w:rPr>
        <w:t>.00万元，其中：政府采购货物支出</w:t>
      </w:r>
      <w:r>
        <w:rPr>
          <w:rFonts w:ascii="仿宋_GB2312" w:hAnsi="仿宋_GB2312" w:eastAsia="仿宋_GB2312"/>
          <w:sz w:val="32"/>
          <w:szCs w:val="24"/>
        </w:rPr>
        <w:t>0</w:t>
      </w:r>
      <w:r>
        <w:rPr>
          <w:rFonts w:hint="eastAsia" w:ascii="仿宋_GB2312" w:hAnsi="仿宋_GB2312" w:eastAsia="仿宋_GB2312"/>
          <w:sz w:val="32"/>
          <w:szCs w:val="24"/>
        </w:rPr>
        <w:t>.00万元、政府采购工程支出</w:t>
      </w:r>
      <w:r>
        <w:rPr>
          <w:rFonts w:ascii="仿宋_GB2312" w:hAnsi="仿宋_GB2312" w:eastAsia="仿宋_GB2312"/>
          <w:sz w:val="32"/>
          <w:szCs w:val="24"/>
        </w:rPr>
        <w:t>0</w:t>
      </w:r>
      <w:r>
        <w:rPr>
          <w:rFonts w:hint="eastAsia" w:ascii="仿宋_GB2312" w:hAnsi="仿宋_GB2312" w:eastAsia="仿宋_GB2312"/>
          <w:sz w:val="32"/>
          <w:szCs w:val="24"/>
        </w:rPr>
        <w:t>.00万元、政府采购服务支出</w:t>
      </w:r>
      <w:r>
        <w:rPr>
          <w:rFonts w:ascii="仿宋_GB2312" w:hAnsi="仿宋_GB2312" w:eastAsia="仿宋_GB2312"/>
          <w:sz w:val="32"/>
          <w:szCs w:val="24"/>
        </w:rPr>
        <w:t>0</w:t>
      </w:r>
      <w:r>
        <w:rPr>
          <w:rFonts w:hint="eastAsia" w:ascii="仿宋_GB2312" w:hAnsi="仿宋_GB2312" w:eastAsia="仿宋_GB2312"/>
          <w:sz w:val="32"/>
          <w:szCs w:val="24"/>
        </w:rPr>
        <w:t>.00万元。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w:t>
      </w:r>
      <w:r>
        <w:rPr>
          <w:rFonts w:hint="eastAsia" w:ascii="仿宋_GB2312" w:hAnsi="仿宋_GB2312" w:eastAsia="仿宋_GB2312"/>
          <w:sz w:val="32"/>
          <w:szCs w:val="24"/>
        </w:rPr>
        <w:t>.00万元，占政府采购支出总额的</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sz w:val="32"/>
          <w:szCs w:val="24"/>
        </w:rPr>
        <w:t>.00万元，占政府采购支出总额的</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w:t>
      </w:r>
      <w:r>
        <w:rPr>
          <w:rFonts w:hint="eastAsia" w:ascii="仿宋_GB2312" w:hAnsi="仿宋_GB2312" w:eastAsia="仿宋_GB2312"/>
          <w:sz w:val="32"/>
          <w:szCs w:val="24"/>
        </w:rPr>
        <w:t>.00万元。车辆</w:t>
      </w:r>
      <w:r>
        <w:rPr>
          <w:rFonts w:ascii="仿宋_GB2312" w:hAnsi="仿宋_GB2312" w:eastAsia="仿宋_GB2312"/>
          <w:sz w:val="32"/>
          <w:szCs w:val="24"/>
        </w:rPr>
        <w:t>3</w:t>
      </w:r>
      <w:r>
        <w:rPr>
          <w:rFonts w:hint="eastAsia" w:ascii="仿宋_GB2312" w:hAnsi="仿宋_GB2312" w:eastAsia="仿宋_GB2312"/>
          <w:sz w:val="32"/>
          <w:szCs w:val="24"/>
        </w:rPr>
        <w:t>辆，价值</w:t>
      </w:r>
      <w:r>
        <w:rPr>
          <w:rFonts w:ascii="仿宋_GB2312" w:hAnsi="仿宋_GB2312" w:eastAsia="仿宋_GB2312"/>
          <w:sz w:val="32"/>
          <w:szCs w:val="24"/>
        </w:rPr>
        <w:t>82.77</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2</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1</w:t>
      </w:r>
      <w:r>
        <w:rPr>
          <w:rFonts w:hint="eastAsia" w:ascii="仿宋_GB2312" w:hAnsi="仿宋_GB2312" w:eastAsia="仿宋_GB2312"/>
          <w:sz w:val="32"/>
          <w:szCs w:val="24"/>
        </w:rPr>
        <w:t>辆，其他用车主要是：</w:t>
      </w:r>
      <w:r>
        <w:rPr>
          <w:rFonts w:hint="eastAsia" w:ascii="仿宋" w:hAnsi="仿宋" w:eastAsia="仿宋"/>
          <w:kern w:val="0"/>
          <w:sz w:val="32"/>
          <w:szCs w:val="24"/>
        </w:rPr>
        <w:t>环境监测应急车辆</w:t>
      </w:r>
      <w:r>
        <w:rPr>
          <w:rFonts w:ascii="仿宋" w:hAnsi="仿宋" w:eastAsia="仿宋"/>
          <w:kern w:val="0"/>
          <w:sz w:val="32"/>
          <w:szCs w:val="24"/>
        </w:rPr>
        <w:t>1</w:t>
      </w:r>
      <w:r>
        <w:rPr>
          <w:rFonts w:hint="eastAsia" w:ascii="仿宋" w:hAnsi="仿宋" w:eastAsia="仿宋"/>
          <w:kern w:val="0"/>
          <w:sz w:val="32"/>
          <w:szCs w:val="24"/>
        </w:rPr>
        <w:t>辆</w:t>
      </w:r>
      <w:r>
        <w:rPr>
          <w:rFonts w:hint="eastAsia" w:ascii="仿宋_GB2312" w:hAnsi="仿宋_GB2312" w:eastAsia="仿宋_GB2312"/>
          <w:sz w:val="32"/>
          <w:szCs w:val="24"/>
        </w:rPr>
        <w:t>；单位价值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 w:hAnsi="仿宋" w:eastAsia="仿宋"/>
          <w:kern w:val="0"/>
          <w:sz w:val="32"/>
          <w:szCs w:val="24"/>
        </w:rPr>
      </w:pPr>
      <w:r>
        <w:rPr>
          <w:rFonts w:hint="eastAsia" w:ascii="仿宋" w:hAnsi="仿宋" w:eastAsia="仿宋"/>
          <w:kern w:val="0"/>
          <w:sz w:val="32"/>
          <w:szCs w:val="24"/>
        </w:rPr>
        <w:t>根据预算绩效管理要求，我单位2020年度开展预算绩效评价项目3个，共涉及资金</w:t>
      </w:r>
      <w:r>
        <w:rPr>
          <w:rFonts w:hint="eastAsia" w:ascii="仿宋" w:hAnsi="仿宋" w:eastAsia="仿宋"/>
          <w:kern w:val="0"/>
          <w:sz w:val="32"/>
          <w:szCs w:val="24"/>
          <w:lang w:val="en-US" w:eastAsia="zh-CN"/>
        </w:rPr>
        <w:t>7157.50</w:t>
      </w:r>
      <w:r>
        <w:rPr>
          <w:rFonts w:hint="eastAsia" w:ascii="仿宋" w:hAnsi="仿宋" w:eastAsia="仿宋"/>
          <w:kern w:val="0"/>
          <w:sz w:val="32"/>
          <w:szCs w:val="24"/>
        </w:rPr>
        <w:t>万元。预算绩效管理取得的成效：一是通过对企业锅炉烟气脱硫超低排放项目的投入改造，我县的环境空气质量有着显著改善；二是全面推进农村生活污水治理，经整治示范村生活污水得到有效治理的农户比率有所提高</w:t>
      </w:r>
      <w:r>
        <w:rPr>
          <w:rFonts w:hint="eastAsia" w:ascii="仿宋" w:hAnsi="仿宋" w:eastAsia="仿宋"/>
          <w:kern w:val="0"/>
          <w:sz w:val="32"/>
          <w:szCs w:val="24"/>
          <w:lang w:eastAsia="zh-CN"/>
        </w:rPr>
        <w:t>；</w:t>
      </w:r>
      <w:r>
        <w:rPr>
          <w:rFonts w:hint="eastAsia" w:ascii="仿宋" w:hAnsi="仿宋" w:eastAsia="仿宋"/>
          <w:kern w:val="0"/>
          <w:sz w:val="32"/>
          <w:szCs w:val="24"/>
        </w:rPr>
        <w:t>三是通过聘请大气污染防治监督员，开展大气污染防治网格化监督管理等工作，进一步提升了乡镇、社区及重点区域网格监管的能力。发现的问题及原因：一是项目实施进度不能按合同约定如期完成，导致不能及时支付项目资金；二是因后续缺乏专业的管理队伍和相应运行资金，导致农村污水设施建成后不能正常运行。下一步改进措施：一是进一步加大企业锅炉烟气脱硫超低排放的监督管理工作，还玛纳斯县人民一片蓝天；二是加大对农村生活污水处理设施运行的监管；三是进一步强化网格化监督管理工作。具体项目自评情况附项目支出绩效自评表。</w:t>
      </w:r>
    </w:p>
    <w:p/>
    <w:p>
      <w:r>
        <w:br w:type="page"/>
      </w:r>
    </w:p>
    <w:tbl>
      <w:tblPr>
        <w:tblStyle w:val="5"/>
        <w:tblW w:w="8952" w:type="dxa"/>
        <w:tblInd w:w="96" w:type="dxa"/>
        <w:tblLayout w:type="fixed"/>
        <w:tblCellMar>
          <w:top w:w="0" w:type="dxa"/>
          <w:left w:w="108" w:type="dxa"/>
          <w:bottom w:w="0" w:type="dxa"/>
          <w:right w:w="108" w:type="dxa"/>
        </w:tblCellMar>
      </w:tblPr>
      <w:tblGrid>
        <w:gridCol w:w="619"/>
        <w:gridCol w:w="506"/>
        <w:gridCol w:w="872"/>
        <w:gridCol w:w="831"/>
        <w:gridCol w:w="952"/>
        <w:gridCol w:w="288"/>
        <w:gridCol w:w="919"/>
        <w:gridCol w:w="921"/>
        <w:gridCol w:w="305"/>
        <w:gridCol w:w="471"/>
        <w:gridCol w:w="562"/>
        <w:gridCol w:w="222"/>
        <w:gridCol w:w="757"/>
        <w:gridCol w:w="713"/>
        <w:gridCol w:w="14"/>
      </w:tblGrid>
      <w:tr>
        <w:tblPrEx>
          <w:tblLayout w:type="fixed"/>
          <w:tblCellMar>
            <w:top w:w="0" w:type="dxa"/>
            <w:left w:w="108" w:type="dxa"/>
            <w:bottom w:w="0" w:type="dxa"/>
            <w:right w:w="108" w:type="dxa"/>
          </w:tblCellMar>
        </w:tblPrEx>
        <w:trPr>
          <w:trHeight w:val="250" w:hRule="atLeast"/>
        </w:trPr>
        <w:tc>
          <w:tcPr>
            <w:tcW w:w="8952" w:type="dxa"/>
            <w:gridSpan w:val="15"/>
            <w:tcBorders>
              <w:top w:val="nil"/>
              <w:left w:val="nil"/>
              <w:bottom w:val="nil"/>
              <w:right w:val="nil"/>
            </w:tcBorders>
            <w:vAlign w:val="center"/>
          </w:tcPr>
          <w:p>
            <w:pPr>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248" w:hRule="atLeast"/>
        </w:trPr>
        <w:tc>
          <w:tcPr>
            <w:tcW w:w="8952" w:type="dxa"/>
            <w:gridSpan w:val="15"/>
            <w:tcBorders>
              <w:top w:val="nil"/>
              <w:left w:val="nil"/>
              <w:bottom w:val="nil"/>
              <w:right w:val="nil"/>
            </w:tcBorders>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ascii="宋体" w:hAnsi="宋体" w:cs="宋体"/>
                <w:color w:val="000000"/>
                <w:kern w:val="0"/>
                <w:sz w:val="22"/>
                <w:szCs w:val="22"/>
                <w:lang w:bidi="ar"/>
              </w:rPr>
              <w:t>2020</w:t>
            </w:r>
            <w:r>
              <w:rPr>
                <w:rFonts w:hint="eastAsia" w:ascii="宋体" w:hAnsi="宋体" w:cs="宋体"/>
                <w:color w:val="000000"/>
                <w:kern w:val="0"/>
                <w:sz w:val="22"/>
                <w:szCs w:val="22"/>
                <w:lang w:bidi="ar"/>
              </w:rPr>
              <w:t>年度）</w:t>
            </w:r>
          </w:p>
        </w:tc>
      </w:tr>
      <w:tr>
        <w:tblPrEx>
          <w:tblLayout w:type="fixed"/>
          <w:tblCellMar>
            <w:top w:w="0" w:type="dxa"/>
            <w:left w:w="108" w:type="dxa"/>
            <w:bottom w:w="0" w:type="dxa"/>
            <w:right w:w="108" w:type="dxa"/>
          </w:tblCellMar>
        </w:tblPrEx>
        <w:trPr>
          <w:trHeight w:val="195" w:hRule="atLeast"/>
        </w:trPr>
        <w:tc>
          <w:tcPr>
            <w:tcW w:w="112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项目名称</w:t>
            </w:r>
          </w:p>
        </w:tc>
        <w:tc>
          <w:tcPr>
            <w:tcW w:w="7827" w:type="dxa"/>
            <w:gridSpan w:val="1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玛纳斯县大气污染防治专项补助资金</w:t>
            </w:r>
          </w:p>
        </w:tc>
      </w:tr>
      <w:tr>
        <w:tblPrEx>
          <w:tblLayout w:type="fixed"/>
          <w:tblCellMar>
            <w:top w:w="0" w:type="dxa"/>
            <w:left w:w="108" w:type="dxa"/>
            <w:bottom w:w="0" w:type="dxa"/>
            <w:right w:w="108" w:type="dxa"/>
          </w:tblCellMar>
        </w:tblPrEx>
        <w:trPr>
          <w:gridAfter w:val="1"/>
          <w:wAfter w:w="14" w:type="dxa"/>
          <w:trHeight w:val="319" w:hRule="atLeast"/>
        </w:trPr>
        <w:tc>
          <w:tcPr>
            <w:tcW w:w="112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主管部门</w:t>
            </w:r>
          </w:p>
        </w:tc>
        <w:tc>
          <w:tcPr>
            <w:tcW w:w="3862"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昌吉回族自治州生态环境局玛纳斯县分局</w:t>
            </w: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实施单位</w:t>
            </w:r>
          </w:p>
        </w:tc>
        <w:tc>
          <w:tcPr>
            <w:tcW w:w="2725"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昌吉回族自治州生态环境局玛纳斯县分局</w:t>
            </w:r>
          </w:p>
        </w:tc>
      </w:tr>
      <w:tr>
        <w:tblPrEx>
          <w:tblLayout w:type="fixed"/>
          <w:tblCellMar>
            <w:top w:w="0" w:type="dxa"/>
            <w:left w:w="108" w:type="dxa"/>
            <w:bottom w:w="0" w:type="dxa"/>
            <w:right w:w="108" w:type="dxa"/>
          </w:tblCellMar>
        </w:tblPrEx>
        <w:trPr>
          <w:gridAfter w:val="1"/>
          <w:wAfter w:w="14" w:type="dxa"/>
          <w:trHeight w:val="195" w:hRule="atLeast"/>
        </w:trPr>
        <w:tc>
          <w:tcPr>
            <w:tcW w:w="1125"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项目资金</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（万元）</w:t>
            </w:r>
          </w:p>
        </w:tc>
        <w:tc>
          <w:tcPr>
            <w:tcW w:w="170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年初预算数</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全年预算数</w:t>
            </w: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全年执行数</w:t>
            </w:r>
          </w:p>
        </w:tc>
        <w:tc>
          <w:tcPr>
            <w:tcW w:w="103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979"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执行率</w:t>
            </w:r>
          </w:p>
        </w:tc>
        <w:tc>
          <w:tcPr>
            <w:tcW w:w="71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r>
      <w:tr>
        <w:tblPrEx>
          <w:tblLayout w:type="fixed"/>
          <w:tblCellMar>
            <w:top w:w="0" w:type="dxa"/>
            <w:left w:w="108" w:type="dxa"/>
            <w:bottom w:w="0" w:type="dxa"/>
            <w:right w:w="108" w:type="dxa"/>
          </w:tblCellMar>
        </w:tblPrEx>
        <w:trPr>
          <w:gridAfter w:val="1"/>
          <w:wAfter w:w="14" w:type="dxa"/>
          <w:trHeight w:val="195" w:hRule="atLeast"/>
        </w:trPr>
        <w:tc>
          <w:tcPr>
            <w:tcW w:w="112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703"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rFonts w:ascii="宋体" w:hAnsi="宋体" w:cs="宋体"/>
                <w:color w:val="000000"/>
                <w:sz w:val="16"/>
                <w:szCs w:val="16"/>
              </w:rPr>
            </w:pPr>
            <w:r>
              <w:rPr>
                <w:rFonts w:hint="eastAsia" w:ascii="宋体" w:hAnsi="宋体" w:cs="宋体"/>
                <w:color w:val="000000"/>
                <w:kern w:val="0"/>
                <w:sz w:val="16"/>
                <w:szCs w:val="16"/>
                <w:lang w:bidi="ar"/>
              </w:rPr>
              <w:t>年度资金总额</w:t>
            </w:r>
          </w:p>
        </w:tc>
        <w:tc>
          <w:tcPr>
            <w:tcW w:w="95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03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979"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1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r>
      <w:tr>
        <w:tblPrEx>
          <w:tblLayout w:type="fixed"/>
          <w:tblCellMar>
            <w:top w:w="0" w:type="dxa"/>
            <w:left w:w="108" w:type="dxa"/>
            <w:bottom w:w="0" w:type="dxa"/>
            <w:right w:w="108" w:type="dxa"/>
          </w:tblCellMar>
        </w:tblPrEx>
        <w:trPr>
          <w:gridAfter w:val="1"/>
          <w:wAfter w:w="14" w:type="dxa"/>
          <w:trHeight w:val="195" w:hRule="atLeast"/>
        </w:trPr>
        <w:tc>
          <w:tcPr>
            <w:tcW w:w="112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70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其中：当年财政拨款</w:t>
            </w:r>
          </w:p>
        </w:tc>
        <w:tc>
          <w:tcPr>
            <w:tcW w:w="95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03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79"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1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gridAfter w:val="1"/>
          <w:wAfter w:w="14" w:type="dxa"/>
          <w:trHeight w:val="195" w:hRule="atLeast"/>
        </w:trPr>
        <w:tc>
          <w:tcPr>
            <w:tcW w:w="112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70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上年结转资金</w:t>
            </w:r>
          </w:p>
        </w:tc>
        <w:tc>
          <w:tcPr>
            <w:tcW w:w="95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03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7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1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gridAfter w:val="1"/>
          <w:wAfter w:w="14" w:type="dxa"/>
          <w:trHeight w:val="195" w:hRule="atLeast"/>
        </w:trPr>
        <w:tc>
          <w:tcPr>
            <w:tcW w:w="112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70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其他资金</w:t>
            </w:r>
          </w:p>
        </w:tc>
        <w:tc>
          <w:tcPr>
            <w:tcW w:w="95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2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03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7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1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195" w:hRule="atLeast"/>
        </w:trPr>
        <w:tc>
          <w:tcPr>
            <w:tcW w:w="619"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年度总体目标</w:t>
            </w:r>
          </w:p>
        </w:tc>
        <w:tc>
          <w:tcPr>
            <w:tcW w:w="4368"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预期目标</w:t>
            </w:r>
          </w:p>
        </w:tc>
        <w:tc>
          <w:tcPr>
            <w:tcW w:w="3965"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实际完成情况</w:t>
            </w:r>
          </w:p>
        </w:tc>
      </w:tr>
      <w:tr>
        <w:tblPrEx>
          <w:tblLayout w:type="fixed"/>
          <w:tblCellMar>
            <w:top w:w="0" w:type="dxa"/>
            <w:left w:w="108" w:type="dxa"/>
            <w:bottom w:w="0" w:type="dxa"/>
            <w:right w:w="108" w:type="dxa"/>
          </w:tblCellMar>
        </w:tblPrEx>
        <w:trPr>
          <w:trHeight w:val="2867" w:hRule="atLeast"/>
        </w:trPr>
        <w:tc>
          <w:tcPr>
            <w:tcW w:w="6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4368"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聘请大气污染防治监督员，开展大气污染防治网格化监督管理等工作，提升乡镇、社区及重点区域网格监管能力。</w:t>
            </w:r>
          </w:p>
        </w:tc>
        <w:tc>
          <w:tcPr>
            <w:tcW w:w="3965"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已完成的指标</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巡查现场次数</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次，实际值：</w:t>
            </w: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出动巡查人员次数</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=2000</w:t>
            </w:r>
            <w:r>
              <w:rPr>
                <w:rFonts w:hint="eastAsia" w:ascii="宋体" w:hAnsi="宋体" w:cs="宋体"/>
                <w:color w:val="000000"/>
                <w:kern w:val="0"/>
                <w:sz w:val="16"/>
                <w:szCs w:val="16"/>
                <w:lang w:bidi="ar"/>
              </w:rPr>
              <w:t>次，实际值：</w:t>
            </w:r>
            <w:r>
              <w:rPr>
                <w:rFonts w:ascii="宋体" w:hAnsi="宋体" w:cs="宋体"/>
                <w:color w:val="000000"/>
                <w:kern w:val="0"/>
                <w:sz w:val="16"/>
                <w:szCs w:val="16"/>
                <w:lang w:bidi="ar"/>
              </w:rPr>
              <w:t>=2000</w:t>
            </w:r>
            <w:r>
              <w:rPr>
                <w:rFonts w:hint="eastAsia" w:ascii="宋体" w:hAnsi="宋体" w:cs="宋体"/>
                <w:color w:val="000000"/>
                <w:kern w:val="0"/>
                <w:sz w:val="16"/>
                <w:szCs w:val="16"/>
                <w:lang w:bidi="ar"/>
              </w:rPr>
              <w:t>次</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出动巡查车辆次数</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次，实际值：</w:t>
            </w: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将聘请的大气污染防治监督员纳入大气污染防治指挥中心管理，强化网格化监督管理工作。</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跟踪目标值：制定管理制度或分工，实际值：制定管理制度或分工</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及时反馈微站点环境监督实时数据</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=100%</w:t>
            </w:r>
            <w:r>
              <w:rPr>
                <w:rFonts w:hint="eastAsia" w:ascii="宋体" w:hAnsi="宋体" w:cs="宋体"/>
                <w:color w:val="000000"/>
                <w:kern w:val="0"/>
                <w:sz w:val="16"/>
                <w:szCs w:val="16"/>
                <w:lang w:bidi="ar"/>
              </w:rPr>
              <w:t>，实际值：</w:t>
            </w:r>
            <w:r>
              <w:rPr>
                <w:rFonts w:ascii="宋体" w:hAnsi="宋体" w:cs="宋体"/>
                <w:color w:val="000000"/>
                <w:kern w:val="0"/>
                <w:sz w:val="16"/>
                <w:szCs w:val="16"/>
                <w:lang w:bidi="ar"/>
              </w:rPr>
              <w:t>=100%)</w:t>
            </w:r>
            <w:r>
              <w:rPr>
                <w:rFonts w:hint="eastAsia" w:ascii="宋体" w:hAnsi="宋体" w:cs="宋体"/>
                <w:color w:val="000000"/>
                <w:kern w:val="0"/>
                <w:sz w:val="16"/>
                <w:szCs w:val="16"/>
                <w:lang w:bidi="ar"/>
              </w:rPr>
              <w:t>提升乡镇、社区及区域网格监管能力</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跟踪目标值：提升环境监管能力，实际值：提升环境监管能力</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及时发现所在网格内出现的乱烧</w:t>
            </w:r>
            <w:r>
              <w:rPr>
                <w:rFonts w:hint="eastAsia" w:ascii="宋体" w:hAnsi="宋体" w:cs="宋体"/>
                <w:color w:val="000000"/>
                <w:kern w:val="0"/>
                <w:sz w:val="16"/>
                <w:szCs w:val="16"/>
                <w:lang w:eastAsia="zh-CN" w:bidi="ar"/>
              </w:rPr>
              <w:t>秸秆</w:t>
            </w:r>
            <w:r>
              <w:rPr>
                <w:rFonts w:hint="eastAsia" w:ascii="宋体" w:hAnsi="宋体" w:cs="宋体"/>
                <w:color w:val="000000"/>
                <w:kern w:val="0"/>
                <w:sz w:val="16"/>
                <w:szCs w:val="16"/>
                <w:lang w:bidi="ar"/>
              </w:rPr>
              <w:t>、乱烧垃圾等问题</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跟踪目标值：有效解决环境污染事件.</w:t>
            </w:r>
          </w:p>
        </w:tc>
      </w:tr>
      <w:tr>
        <w:tblPrEx>
          <w:tblLayout w:type="fixed"/>
          <w:tblCellMar>
            <w:top w:w="0" w:type="dxa"/>
            <w:left w:w="108" w:type="dxa"/>
            <w:bottom w:w="0" w:type="dxa"/>
            <w:right w:w="108" w:type="dxa"/>
          </w:tblCellMar>
        </w:tblPrEx>
        <w:trPr>
          <w:gridAfter w:val="1"/>
          <w:wAfter w:w="14" w:type="dxa"/>
          <w:trHeight w:val="195" w:hRule="atLeast"/>
        </w:trPr>
        <w:tc>
          <w:tcPr>
            <w:tcW w:w="619" w:type="dxa"/>
            <w:vMerge w:val="restart"/>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绩</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效</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指</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标</w:t>
            </w:r>
          </w:p>
        </w:tc>
        <w:tc>
          <w:tcPr>
            <w:tcW w:w="506"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一级指标</w:t>
            </w:r>
          </w:p>
        </w:tc>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二级指标</w:t>
            </w:r>
          </w:p>
        </w:tc>
        <w:tc>
          <w:tcPr>
            <w:tcW w:w="2071"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三级指标</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w:t>
            </w:r>
          </w:p>
        </w:tc>
        <w:tc>
          <w:tcPr>
            <w:tcW w:w="776"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784"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c>
          <w:tcPr>
            <w:tcW w:w="1470"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偏差原因分析及改进措施</w:t>
            </w:r>
          </w:p>
        </w:tc>
      </w:tr>
      <w:tr>
        <w:tblPrEx>
          <w:tblLayout w:type="fixed"/>
          <w:tblCellMar>
            <w:top w:w="0" w:type="dxa"/>
            <w:left w:w="108" w:type="dxa"/>
            <w:bottom w:w="0" w:type="dxa"/>
            <w:right w:w="108" w:type="dxa"/>
          </w:tblCellMar>
        </w:tblPrEx>
        <w:trPr>
          <w:gridAfter w:val="1"/>
          <w:wAfter w:w="14" w:type="dxa"/>
          <w:trHeight w:val="195"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指标值</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完成值</w:t>
            </w:r>
          </w:p>
        </w:tc>
        <w:tc>
          <w:tcPr>
            <w:tcW w:w="77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195"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产出指标</w:t>
            </w:r>
          </w:p>
        </w:tc>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数量指标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r>
              <w:rPr>
                <w:rStyle w:val="7"/>
                <w:rFonts w:hint="eastAsia"/>
                <w:sz w:val="16"/>
                <w:szCs w:val="16"/>
                <w:lang w:bidi="ar"/>
              </w:rPr>
              <w:t>巡查现场次数</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343"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2</w:t>
            </w:r>
            <w:r>
              <w:rPr>
                <w:rFonts w:hint="eastAsia" w:ascii="宋体" w:hAnsi="宋体" w:cs="宋体"/>
                <w:color w:val="000000"/>
                <w:kern w:val="0"/>
                <w:sz w:val="16"/>
                <w:szCs w:val="16"/>
                <w:lang w:bidi="ar"/>
              </w:rPr>
              <w:t>：</w:t>
            </w:r>
            <w:r>
              <w:rPr>
                <w:rStyle w:val="7"/>
                <w:rFonts w:hint="eastAsia"/>
                <w:sz w:val="16"/>
                <w:szCs w:val="16"/>
                <w:lang w:bidi="ar"/>
              </w:rPr>
              <w:t>出动巡查人员次数</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=2000</w:t>
            </w:r>
            <w:r>
              <w:rPr>
                <w:rFonts w:hint="eastAsia" w:ascii="宋体" w:hAnsi="宋体" w:cs="宋体"/>
                <w:color w:val="000000"/>
                <w:kern w:val="0"/>
                <w:sz w:val="16"/>
                <w:szCs w:val="16"/>
                <w:lang w:bidi="ar"/>
              </w:rPr>
              <w:t>次</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=2000</w:t>
            </w:r>
            <w:r>
              <w:rPr>
                <w:rFonts w:hint="eastAsia" w:ascii="宋体" w:hAnsi="宋体" w:cs="宋体"/>
                <w:color w:val="000000"/>
                <w:kern w:val="0"/>
                <w:sz w:val="16"/>
                <w:szCs w:val="16"/>
                <w:lang w:bidi="ar"/>
              </w:rPr>
              <w:t>次</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343"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3</w:t>
            </w:r>
            <w:r>
              <w:rPr>
                <w:rFonts w:hint="eastAsia" w:ascii="宋体" w:hAnsi="宋体" w:cs="宋体"/>
                <w:color w:val="000000"/>
                <w:kern w:val="0"/>
                <w:sz w:val="16"/>
                <w:szCs w:val="16"/>
                <w:lang w:bidi="ar"/>
              </w:rPr>
              <w:t>：</w:t>
            </w:r>
            <w:r>
              <w:rPr>
                <w:rStyle w:val="7"/>
                <w:rFonts w:hint="eastAsia"/>
                <w:sz w:val="16"/>
                <w:szCs w:val="16"/>
                <w:lang w:bidi="ar"/>
              </w:rPr>
              <w:t>出动巡查车辆次数</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=350</w:t>
            </w:r>
            <w:r>
              <w:rPr>
                <w:rFonts w:hint="eastAsia" w:ascii="宋体" w:hAnsi="宋体" w:cs="宋体"/>
                <w:color w:val="000000"/>
                <w:kern w:val="0"/>
                <w:sz w:val="16"/>
                <w:szCs w:val="16"/>
                <w:lang w:bidi="ar"/>
              </w:rPr>
              <w:t>次</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208"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质量指标</w:t>
            </w:r>
          </w:p>
        </w:tc>
        <w:tc>
          <w:tcPr>
            <w:tcW w:w="2071"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r>
              <w:rPr>
                <w:rStyle w:val="7"/>
                <w:rFonts w:hint="eastAsia"/>
                <w:sz w:val="16"/>
                <w:szCs w:val="16"/>
                <w:lang w:bidi="ar"/>
              </w:rPr>
              <w:t>聘请的大气污染防治监督员纳入大气污染防治指挥中心管理，强化网格化监督管理工作。</w:t>
            </w:r>
          </w:p>
        </w:tc>
        <w:tc>
          <w:tcPr>
            <w:tcW w:w="919"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制定管理制度或分工</w:t>
            </w:r>
          </w:p>
        </w:tc>
        <w:tc>
          <w:tcPr>
            <w:tcW w:w="921"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制定管理制度或分工</w:t>
            </w:r>
          </w:p>
        </w:tc>
        <w:tc>
          <w:tcPr>
            <w:tcW w:w="776"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208"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7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208"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7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208"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07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7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343"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时效指标</w:t>
            </w:r>
          </w:p>
        </w:tc>
        <w:tc>
          <w:tcPr>
            <w:tcW w:w="2071" w:type="dxa"/>
            <w:gridSpan w:val="3"/>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及时反馈微站点环境监督实时数据</w:t>
            </w:r>
          </w:p>
        </w:tc>
        <w:tc>
          <w:tcPr>
            <w:tcW w:w="919" w:type="dxa"/>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100.00%</w:t>
            </w:r>
          </w:p>
        </w:tc>
        <w:tc>
          <w:tcPr>
            <w:tcW w:w="921" w:type="dxa"/>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100.00%</w:t>
            </w:r>
          </w:p>
        </w:tc>
        <w:tc>
          <w:tcPr>
            <w:tcW w:w="776" w:type="dxa"/>
            <w:gridSpan w:val="2"/>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562" w:type="dxa"/>
            <w:tcBorders>
              <w:top w:val="nil"/>
              <w:left w:val="single" w:color="000000" w:sz="4" w:space="0"/>
              <w:bottom w:val="single" w:color="000000" w:sz="4" w:space="0"/>
              <w:right w:val="nil"/>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222" w:type="dxa"/>
            <w:tcBorders>
              <w:top w:val="nil"/>
              <w:left w:val="nil"/>
              <w:bottom w:val="single" w:color="000000" w:sz="4" w:space="0"/>
              <w:right w:val="single" w:color="000000" w:sz="4" w:space="0"/>
            </w:tcBorders>
            <w:vAlign w:val="center"/>
          </w:tcPr>
          <w:p>
            <w:pPr>
              <w:jc w:val="center"/>
              <w:rPr>
                <w:rFonts w:ascii="宋体" w:hAnsi="宋体" w:cs="宋体"/>
                <w:color w:val="000000"/>
                <w:sz w:val="16"/>
                <w:szCs w:val="16"/>
              </w:rPr>
            </w:pPr>
          </w:p>
        </w:tc>
        <w:tc>
          <w:tcPr>
            <w:tcW w:w="757" w:type="dxa"/>
            <w:tcBorders>
              <w:top w:val="nil"/>
              <w:left w:val="single" w:color="000000" w:sz="4" w:space="0"/>
              <w:bottom w:val="single" w:color="000000" w:sz="4" w:space="0"/>
              <w:right w:val="nil"/>
            </w:tcBorders>
            <w:vAlign w:val="center"/>
          </w:tcPr>
          <w:p>
            <w:pPr>
              <w:jc w:val="center"/>
              <w:rPr>
                <w:rFonts w:ascii="宋体" w:hAnsi="宋体" w:cs="宋体"/>
                <w:color w:val="000000"/>
                <w:sz w:val="16"/>
                <w:szCs w:val="16"/>
              </w:rPr>
            </w:pPr>
          </w:p>
        </w:tc>
        <w:tc>
          <w:tcPr>
            <w:tcW w:w="713" w:type="dxa"/>
            <w:tcBorders>
              <w:top w:val="nil"/>
              <w:left w:val="nil"/>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257"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成本指标</w:t>
            </w:r>
          </w:p>
        </w:tc>
        <w:tc>
          <w:tcPr>
            <w:tcW w:w="2071" w:type="dxa"/>
            <w:gridSpan w:val="3"/>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项目资金执行率</w:t>
            </w:r>
          </w:p>
        </w:tc>
        <w:tc>
          <w:tcPr>
            <w:tcW w:w="919" w:type="dxa"/>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97%</w:t>
            </w:r>
          </w:p>
        </w:tc>
        <w:tc>
          <w:tcPr>
            <w:tcW w:w="921" w:type="dxa"/>
            <w:tcBorders>
              <w:top w:val="nil"/>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97%</w:t>
            </w:r>
          </w:p>
        </w:tc>
        <w:tc>
          <w:tcPr>
            <w:tcW w:w="305" w:type="dxa"/>
            <w:tcBorders>
              <w:top w:val="nil"/>
              <w:left w:val="single" w:color="000000" w:sz="4" w:space="0"/>
              <w:bottom w:val="single" w:color="000000" w:sz="4" w:space="0"/>
              <w:right w:val="nil"/>
            </w:tcBorders>
            <w:vAlign w:val="center"/>
          </w:tcPr>
          <w:p>
            <w:pPr>
              <w:jc w:val="center"/>
              <w:rPr>
                <w:rFonts w:ascii="宋体" w:hAnsi="宋体" w:cs="宋体"/>
                <w:color w:val="000000"/>
                <w:sz w:val="16"/>
                <w:szCs w:val="16"/>
              </w:rPr>
            </w:pPr>
          </w:p>
        </w:tc>
        <w:tc>
          <w:tcPr>
            <w:tcW w:w="471" w:type="dxa"/>
            <w:tcBorders>
              <w:top w:val="nil"/>
              <w:left w:val="nil"/>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562" w:type="dxa"/>
            <w:tcBorders>
              <w:top w:val="nil"/>
              <w:left w:val="single" w:color="000000" w:sz="4" w:space="0"/>
              <w:bottom w:val="single" w:color="000000" w:sz="4" w:space="0"/>
              <w:right w:val="nil"/>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222" w:type="dxa"/>
            <w:tcBorders>
              <w:top w:val="nil"/>
              <w:left w:val="nil"/>
              <w:bottom w:val="single" w:color="000000" w:sz="4" w:space="0"/>
              <w:right w:val="single" w:color="000000" w:sz="4" w:space="0"/>
            </w:tcBorders>
            <w:vAlign w:val="center"/>
          </w:tcPr>
          <w:p>
            <w:pPr>
              <w:jc w:val="center"/>
              <w:rPr>
                <w:rFonts w:ascii="宋体" w:hAnsi="宋体" w:cs="宋体"/>
                <w:color w:val="000000"/>
                <w:sz w:val="16"/>
                <w:szCs w:val="16"/>
              </w:rPr>
            </w:pPr>
          </w:p>
        </w:tc>
        <w:tc>
          <w:tcPr>
            <w:tcW w:w="757" w:type="dxa"/>
            <w:tcBorders>
              <w:top w:val="nil"/>
              <w:left w:val="single" w:color="000000" w:sz="4" w:space="0"/>
              <w:bottom w:val="single" w:color="000000" w:sz="4" w:space="0"/>
              <w:right w:val="nil"/>
            </w:tcBorders>
            <w:vAlign w:val="center"/>
          </w:tcPr>
          <w:p>
            <w:pPr>
              <w:jc w:val="center"/>
              <w:rPr>
                <w:rFonts w:ascii="宋体" w:hAnsi="宋体" w:cs="宋体"/>
                <w:color w:val="000000"/>
                <w:sz w:val="16"/>
                <w:szCs w:val="16"/>
              </w:rPr>
            </w:pPr>
          </w:p>
        </w:tc>
        <w:tc>
          <w:tcPr>
            <w:tcW w:w="713" w:type="dxa"/>
            <w:tcBorders>
              <w:top w:val="nil"/>
              <w:left w:val="nil"/>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195"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效益指标</w:t>
            </w:r>
          </w:p>
        </w:tc>
        <w:tc>
          <w:tcPr>
            <w:tcW w:w="872"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经济效益指标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455"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社会效益指标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r>
              <w:rPr>
                <w:rStyle w:val="7"/>
                <w:rFonts w:hint="eastAsia"/>
                <w:sz w:val="16"/>
                <w:szCs w:val="16"/>
                <w:lang w:bidi="ar"/>
              </w:rPr>
              <w:t>提升乡镇、社区及区域网格监管能力</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提升环境监管能力</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提升环境监管能力</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602"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生态效益指标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r>
              <w:rPr>
                <w:rStyle w:val="7"/>
                <w:rFonts w:hint="eastAsia"/>
                <w:sz w:val="16"/>
                <w:szCs w:val="16"/>
                <w:lang w:bidi="ar"/>
              </w:rPr>
              <w:t>及时发现所在网格内出现的乱烧</w:t>
            </w:r>
            <w:r>
              <w:rPr>
                <w:rStyle w:val="7"/>
                <w:rFonts w:hint="eastAsia"/>
                <w:sz w:val="16"/>
                <w:szCs w:val="16"/>
                <w:lang w:eastAsia="zh-CN" w:bidi="ar"/>
              </w:rPr>
              <w:t>秸秆</w:t>
            </w:r>
            <w:r>
              <w:rPr>
                <w:rStyle w:val="7"/>
                <w:rFonts w:hint="eastAsia"/>
                <w:sz w:val="16"/>
                <w:szCs w:val="16"/>
                <w:lang w:bidi="ar"/>
              </w:rPr>
              <w:t>、乱烧垃圾等问题</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有效解决环境污染事件</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有效解决环境污染事件</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504"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可持续影响指标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r>
              <w:rPr>
                <w:rStyle w:val="7"/>
                <w:rFonts w:hint="eastAsia"/>
                <w:sz w:val="16"/>
                <w:szCs w:val="16"/>
                <w:lang w:bidi="ar"/>
              </w:rPr>
              <w:t>问题台账整改完成率（环境安全持续稳定）</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gridAfter w:val="1"/>
          <w:wAfter w:w="14" w:type="dxa"/>
          <w:trHeight w:val="195" w:hRule="atLeast"/>
        </w:trPr>
        <w:tc>
          <w:tcPr>
            <w:tcW w:w="619"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06"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满意度指标</w:t>
            </w:r>
          </w:p>
        </w:tc>
        <w:tc>
          <w:tcPr>
            <w:tcW w:w="8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服务对象满意度指标</w:t>
            </w:r>
          </w:p>
        </w:tc>
        <w:tc>
          <w:tcPr>
            <w:tcW w:w="2071"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：群众满意度</w:t>
            </w:r>
          </w:p>
        </w:tc>
        <w:tc>
          <w:tcPr>
            <w:tcW w:w="91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92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195" w:hRule="atLeast"/>
        </w:trPr>
        <w:tc>
          <w:tcPr>
            <w:tcW w:w="5908"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总分</w:t>
            </w:r>
          </w:p>
        </w:tc>
        <w:tc>
          <w:tcPr>
            <w:tcW w:w="77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48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bl>
    <w:p>
      <w:r>
        <w:t xml:space="preserve"> </w:t>
      </w:r>
    </w:p>
    <w:tbl>
      <w:tblPr>
        <w:tblStyle w:val="5"/>
        <w:tblW w:w="9493" w:type="dxa"/>
        <w:tblInd w:w="96" w:type="dxa"/>
        <w:tblLayout w:type="fixed"/>
        <w:tblCellMar>
          <w:top w:w="0" w:type="dxa"/>
          <w:left w:w="108" w:type="dxa"/>
          <w:bottom w:w="0" w:type="dxa"/>
          <w:right w:w="108" w:type="dxa"/>
        </w:tblCellMar>
      </w:tblPr>
      <w:tblGrid>
        <w:gridCol w:w="703"/>
        <w:gridCol w:w="568"/>
        <w:gridCol w:w="997"/>
        <w:gridCol w:w="996"/>
        <w:gridCol w:w="1108"/>
        <w:gridCol w:w="859"/>
        <w:gridCol w:w="914"/>
        <w:gridCol w:w="346"/>
        <w:gridCol w:w="527"/>
        <w:gridCol w:w="636"/>
        <w:gridCol w:w="151"/>
        <w:gridCol w:w="870"/>
        <w:gridCol w:w="818"/>
      </w:tblGrid>
      <w:tr>
        <w:tblPrEx>
          <w:tblLayout w:type="fixed"/>
          <w:tblCellMar>
            <w:top w:w="0" w:type="dxa"/>
            <w:left w:w="108" w:type="dxa"/>
            <w:bottom w:w="0" w:type="dxa"/>
            <w:right w:w="108" w:type="dxa"/>
          </w:tblCellMar>
        </w:tblPrEx>
        <w:trPr>
          <w:trHeight w:val="364" w:hRule="atLeast"/>
        </w:trPr>
        <w:tc>
          <w:tcPr>
            <w:tcW w:w="9493" w:type="dxa"/>
            <w:gridSpan w:val="13"/>
            <w:tcBorders>
              <w:top w:val="nil"/>
              <w:left w:val="nil"/>
              <w:bottom w:val="nil"/>
              <w:right w:val="nil"/>
            </w:tcBorders>
            <w:vAlign w:val="center"/>
          </w:tcPr>
          <w:p>
            <w:pPr>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361" w:hRule="atLeast"/>
        </w:trPr>
        <w:tc>
          <w:tcPr>
            <w:tcW w:w="9493" w:type="dxa"/>
            <w:gridSpan w:val="13"/>
            <w:tcBorders>
              <w:top w:val="nil"/>
              <w:left w:val="nil"/>
              <w:bottom w:val="nil"/>
              <w:right w:val="nil"/>
            </w:tcBorders>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ascii="宋体" w:hAnsi="宋体" w:cs="宋体"/>
                <w:color w:val="000000"/>
                <w:kern w:val="0"/>
                <w:sz w:val="22"/>
                <w:szCs w:val="22"/>
                <w:lang w:bidi="ar"/>
              </w:rPr>
              <w:t>2020</w:t>
            </w:r>
            <w:r>
              <w:rPr>
                <w:rFonts w:hint="eastAsia" w:ascii="宋体" w:hAnsi="宋体" w:cs="宋体"/>
                <w:color w:val="000000"/>
                <w:kern w:val="0"/>
                <w:sz w:val="22"/>
                <w:szCs w:val="22"/>
                <w:lang w:bidi="ar"/>
              </w:rPr>
              <w:t>年度）</w:t>
            </w:r>
          </w:p>
        </w:tc>
      </w:tr>
      <w:tr>
        <w:tblPrEx>
          <w:tblLayout w:type="fixed"/>
          <w:tblCellMar>
            <w:top w:w="0" w:type="dxa"/>
            <w:left w:w="108" w:type="dxa"/>
            <w:bottom w:w="0" w:type="dxa"/>
            <w:right w:w="108" w:type="dxa"/>
          </w:tblCellMar>
        </w:tblPrEx>
        <w:trPr>
          <w:trHeight w:val="284" w:hRule="atLeast"/>
        </w:trPr>
        <w:tc>
          <w:tcPr>
            <w:tcW w:w="127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项目名称</w:t>
            </w:r>
          </w:p>
        </w:tc>
        <w:tc>
          <w:tcPr>
            <w:tcW w:w="8222" w:type="dxa"/>
            <w:gridSpan w:val="11"/>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包家店镇包家店村、油坊村；塔西河乡大草滩村、旱子滩乡石灰窑村农村污水项目</w:t>
            </w:r>
          </w:p>
        </w:tc>
      </w:tr>
      <w:tr>
        <w:tblPrEx>
          <w:tblLayout w:type="fixed"/>
          <w:tblCellMar>
            <w:top w:w="0" w:type="dxa"/>
            <w:left w:w="108" w:type="dxa"/>
            <w:bottom w:w="0" w:type="dxa"/>
            <w:right w:w="108" w:type="dxa"/>
          </w:tblCellMar>
        </w:tblPrEx>
        <w:trPr>
          <w:trHeight w:val="499" w:hRule="atLeast"/>
        </w:trPr>
        <w:tc>
          <w:tcPr>
            <w:tcW w:w="127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主管部门</w:t>
            </w:r>
          </w:p>
        </w:tc>
        <w:tc>
          <w:tcPr>
            <w:tcW w:w="3960"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实施单位</w:t>
            </w:r>
          </w:p>
        </w:tc>
        <w:tc>
          <w:tcPr>
            <w:tcW w:w="3002"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昌吉州生态环境局玛纳斯县分局</w:t>
            </w:r>
          </w:p>
        </w:tc>
      </w:tr>
      <w:tr>
        <w:tblPrEx>
          <w:tblLayout w:type="fixed"/>
          <w:tblCellMar>
            <w:top w:w="0" w:type="dxa"/>
            <w:left w:w="108" w:type="dxa"/>
            <w:bottom w:w="0" w:type="dxa"/>
            <w:right w:w="108" w:type="dxa"/>
          </w:tblCellMar>
        </w:tblPrEx>
        <w:trPr>
          <w:trHeight w:val="284" w:hRule="atLeast"/>
        </w:trPr>
        <w:tc>
          <w:tcPr>
            <w:tcW w:w="1271"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项目资金</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（万元）</w:t>
            </w:r>
          </w:p>
        </w:tc>
        <w:tc>
          <w:tcPr>
            <w:tcW w:w="199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10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年初预算数</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全年执行数</w:t>
            </w:r>
          </w:p>
        </w:tc>
        <w:tc>
          <w:tcPr>
            <w:tcW w:w="116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102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执行率</w:t>
            </w:r>
          </w:p>
        </w:tc>
        <w:tc>
          <w:tcPr>
            <w:tcW w:w="81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r>
      <w:tr>
        <w:tblPrEx>
          <w:tblLayout w:type="fixed"/>
          <w:tblCellMar>
            <w:top w:w="0" w:type="dxa"/>
            <w:left w:w="108" w:type="dxa"/>
            <w:bottom w:w="0" w:type="dxa"/>
            <w:right w:w="108" w:type="dxa"/>
          </w:tblCellMar>
        </w:tblPrEx>
        <w:trPr>
          <w:trHeight w:val="284" w:hRule="atLeast"/>
        </w:trPr>
        <w:tc>
          <w:tcPr>
            <w:tcW w:w="127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93"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rFonts w:ascii="宋体" w:hAnsi="宋体" w:cs="宋体"/>
                <w:color w:val="000000"/>
                <w:sz w:val="16"/>
                <w:szCs w:val="16"/>
              </w:rPr>
            </w:pPr>
            <w:r>
              <w:rPr>
                <w:rFonts w:hint="eastAsia" w:ascii="宋体" w:hAnsi="宋体" w:cs="宋体"/>
                <w:color w:val="000000"/>
                <w:kern w:val="0"/>
                <w:sz w:val="16"/>
                <w:szCs w:val="16"/>
                <w:lang w:bidi="ar"/>
              </w:rPr>
              <w:t>年度资金总额</w:t>
            </w:r>
          </w:p>
        </w:tc>
        <w:tc>
          <w:tcPr>
            <w:tcW w:w="110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p>
        </w:tc>
        <w:tc>
          <w:tcPr>
            <w:tcW w:w="116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02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81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r>
      <w:tr>
        <w:tblPrEx>
          <w:tblLayout w:type="fixed"/>
          <w:tblCellMar>
            <w:top w:w="0" w:type="dxa"/>
            <w:left w:w="108" w:type="dxa"/>
            <w:bottom w:w="0" w:type="dxa"/>
            <w:right w:w="108" w:type="dxa"/>
          </w:tblCellMar>
        </w:tblPrEx>
        <w:trPr>
          <w:trHeight w:val="284" w:hRule="atLeast"/>
        </w:trPr>
        <w:tc>
          <w:tcPr>
            <w:tcW w:w="127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9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其中：当年财政拨款</w:t>
            </w:r>
          </w:p>
        </w:tc>
        <w:tc>
          <w:tcPr>
            <w:tcW w:w="110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p>
        </w:tc>
        <w:tc>
          <w:tcPr>
            <w:tcW w:w="116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102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81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84" w:hRule="atLeast"/>
        </w:trPr>
        <w:tc>
          <w:tcPr>
            <w:tcW w:w="127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9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上年结转资金</w:t>
            </w:r>
          </w:p>
        </w:tc>
        <w:tc>
          <w:tcPr>
            <w:tcW w:w="110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16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10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1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84" w:hRule="atLeast"/>
        </w:trPr>
        <w:tc>
          <w:tcPr>
            <w:tcW w:w="127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9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其他资金</w:t>
            </w:r>
          </w:p>
        </w:tc>
        <w:tc>
          <w:tcPr>
            <w:tcW w:w="110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16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102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1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84" w:hRule="atLeast"/>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年度总体目标</w:t>
            </w:r>
          </w:p>
        </w:tc>
        <w:tc>
          <w:tcPr>
            <w:tcW w:w="4528"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预期目标</w:t>
            </w:r>
          </w:p>
        </w:tc>
        <w:tc>
          <w:tcPr>
            <w:tcW w:w="4262" w:type="dxa"/>
            <w:gridSpan w:val="7"/>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实际完成情况</w:t>
            </w:r>
          </w:p>
        </w:tc>
      </w:tr>
      <w:tr>
        <w:tblPrEx>
          <w:tblLayout w:type="fixed"/>
          <w:tblCellMar>
            <w:top w:w="0" w:type="dxa"/>
            <w:left w:w="108" w:type="dxa"/>
            <w:bottom w:w="0" w:type="dxa"/>
            <w:right w:w="108" w:type="dxa"/>
          </w:tblCellMar>
        </w:tblPrEx>
        <w:trPr>
          <w:trHeight w:val="2623"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4528"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推动自治区人居环境整治千村示范，万村整治工程顺利实施，支持各生态环境部门推动农村生活污水治理相关项目。</w:t>
            </w:r>
          </w:p>
        </w:tc>
        <w:tc>
          <w:tcPr>
            <w:tcW w:w="4262" w:type="dxa"/>
            <w:gridSpan w:val="7"/>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已完成的指标</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拟支持农庄数</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=4</w:t>
            </w:r>
            <w:r>
              <w:rPr>
                <w:rFonts w:hint="eastAsia" w:ascii="宋体" w:hAnsi="宋体" w:cs="宋体"/>
                <w:color w:val="000000"/>
                <w:kern w:val="0"/>
                <w:sz w:val="16"/>
                <w:szCs w:val="16"/>
                <w:lang w:bidi="ar"/>
              </w:rPr>
              <w:t>个，实际值：</w:t>
            </w:r>
            <w:r>
              <w:rPr>
                <w:rFonts w:ascii="宋体" w:hAnsi="宋体" w:cs="宋体"/>
                <w:color w:val="000000"/>
                <w:kern w:val="0"/>
                <w:sz w:val="16"/>
                <w:szCs w:val="16"/>
                <w:lang w:bidi="ar"/>
              </w:rPr>
              <w:t>=4</w:t>
            </w:r>
            <w:r>
              <w:rPr>
                <w:rFonts w:hint="eastAsia" w:ascii="宋体" w:hAnsi="宋体" w:cs="宋体"/>
                <w:color w:val="000000"/>
                <w:kern w:val="0"/>
                <w:sz w:val="16"/>
                <w:szCs w:val="16"/>
                <w:lang w:bidi="ar"/>
              </w:rPr>
              <w:t>个</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；新建排水管网公里数</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=5.6</w:t>
            </w:r>
            <w:r>
              <w:rPr>
                <w:rFonts w:hint="eastAsia" w:ascii="宋体" w:hAnsi="宋体" w:cs="宋体"/>
                <w:color w:val="000000"/>
                <w:kern w:val="0"/>
                <w:sz w:val="16"/>
                <w:szCs w:val="16"/>
                <w:lang w:bidi="ar"/>
              </w:rPr>
              <w:t>公里，实际值：</w:t>
            </w:r>
            <w:r>
              <w:rPr>
                <w:rFonts w:ascii="宋体" w:hAnsi="宋体" w:cs="宋体"/>
                <w:color w:val="000000"/>
                <w:kern w:val="0"/>
                <w:sz w:val="16"/>
                <w:szCs w:val="16"/>
                <w:lang w:bidi="ar"/>
              </w:rPr>
              <w:t>=5.6</w:t>
            </w:r>
            <w:r>
              <w:rPr>
                <w:rFonts w:hint="eastAsia" w:ascii="宋体" w:hAnsi="宋体" w:cs="宋体"/>
                <w:color w:val="000000"/>
                <w:kern w:val="0"/>
                <w:sz w:val="16"/>
                <w:szCs w:val="16"/>
                <w:lang w:bidi="ar"/>
              </w:rPr>
              <w:t>公里</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；污水终端处理设施</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=2</w:t>
            </w:r>
            <w:r>
              <w:rPr>
                <w:rFonts w:hint="eastAsia" w:ascii="宋体" w:hAnsi="宋体" w:cs="宋体"/>
                <w:color w:val="000000"/>
                <w:kern w:val="0"/>
                <w:sz w:val="16"/>
                <w:szCs w:val="16"/>
                <w:lang w:bidi="ar"/>
              </w:rPr>
              <w:t>个，实际值：</w:t>
            </w:r>
            <w:r>
              <w:rPr>
                <w:rFonts w:ascii="宋体" w:hAnsi="宋体" w:cs="宋体"/>
                <w:color w:val="000000"/>
                <w:kern w:val="0"/>
                <w:sz w:val="16"/>
                <w:szCs w:val="16"/>
                <w:lang w:bidi="ar"/>
              </w:rPr>
              <w:t>=2</w:t>
            </w:r>
            <w:r>
              <w:rPr>
                <w:rFonts w:hint="eastAsia" w:ascii="宋体" w:hAnsi="宋体" w:cs="宋体"/>
                <w:color w:val="000000"/>
                <w:kern w:val="0"/>
                <w:sz w:val="16"/>
                <w:szCs w:val="16"/>
                <w:lang w:bidi="ar"/>
              </w:rPr>
              <w:t>个</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；经整治示范村生活污水得到</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有效治理的农户比率</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60%</w:t>
            </w:r>
            <w:r>
              <w:rPr>
                <w:rFonts w:hint="eastAsia" w:ascii="宋体" w:hAnsi="宋体" w:cs="宋体"/>
                <w:color w:val="000000"/>
                <w:kern w:val="0"/>
                <w:sz w:val="16"/>
                <w:szCs w:val="16"/>
                <w:lang w:bidi="ar"/>
              </w:rPr>
              <w:t>，实际值：</w:t>
            </w:r>
            <w:r>
              <w:rPr>
                <w:rFonts w:ascii="宋体" w:hAnsi="宋体" w:cs="宋体"/>
                <w:color w:val="000000"/>
                <w:kern w:val="0"/>
                <w:sz w:val="16"/>
                <w:szCs w:val="16"/>
                <w:lang w:bidi="ar"/>
              </w:rPr>
              <w:t>95%)</w:t>
            </w:r>
            <w:r>
              <w:rPr>
                <w:rFonts w:hint="eastAsia" w:ascii="宋体" w:hAnsi="宋体" w:cs="宋体"/>
                <w:color w:val="000000"/>
                <w:kern w:val="0"/>
                <w:sz w:val="16"/>
                <w:szCs w:val="16"/>
                <w:lang w:bidi="ar"/>
              </w:rPr>
              <w:t>；项目总成本</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=147.503</w:t>
            </w:r>
            <w:r>
              <w:rPr>
                <w:rFonts w:hint="eastAsia" w:ascii="宋体" w:hAnsi="宋体" w:cs="宋体"/>
                <w:color w:val="000000"/>
                <w:kern w:val="0"/>
                <w:sz w:val="16"/>
                <w:szCs w:val="16"/>
                <w:lang w:bidi="ar"/>
              </w:rPr>
              <w:t>万元，实际值：</w:t>
            </w:r>
            <w:r>
              <w:rPr>
                <w:rFonts w:ascii="宋体" w:hAnsi="宋体" w:cs="宋体"/>
                <w:color w:val="000000"/>
                <w:kern w:val="0"/>
                <w:sz w:val="16"/>
                <w:szCs w:val="16"/>
                <w:lang w:bidi="ar"/>
              </w:rPr>
              <w:t>=147.503</w:t>
            </w:r>
            <w:r>
              <w:rPr>
                <w:rFonts w:hint="eastAsia" w:ascii="宋体" w:hAnsi="宋体" w:cs="宋体"/>
                <w:color w:val="000000"/>
                <w:kern w:val="0"/>
                <w:sz w:val="16"/>
                <w:szCs w:val="16"/>
                <w:lang w:bidi="ar"/>
              </w:rPr>
              <w:t>万元</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；经整治的示范村农户受益比例</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90%</w:t>
            </w:r>
            <w:r>
              <w:rPr>
                <w:rFonts w:hint="eastAsia" w:ascii="宋体" w:hAnsi="宋体" w:cs="宋体"/>
                <w:color w:val="000000"/>
                <w:kern w:val="0"/>
                <w:sz w:val="16"/>
                <w:szCs w:val="16"/>
                <w:lang w:bidi="ar"/>
              </w:rPr>
              <w:t>，实际值：</w:t>
            </w:r>
            <w:r>
              <w:rPr>
                <w:rFonts w:ascii="宋体" w:hAnsi="宋体" w:cs="宋体"/>
                <w:color w:val="000000"/>
                <w:kern w:val="0"/>
                <w:sz w:val="16"/>
                <w:szCs w:val="16"/>
                <w:lang w:bidi="ar"/>
              </w:rPr>
              <w:t>98%)</w:t>
            </w:r>
            <w:r>
              <w:rPr>
                <w:rFonts w:hint="eastAsia" w:ascii="宋体" w:hAnsi="宋体" w:cs="宋体"/>
                <w:color w:val="000000"/>
                <w:kern w:val="0"/>
                <w:sz w:val="16"/>
                <w:szCs w:val="16"/>
                <w:lang w:bidi="ar"/>
              </w:rPr>
              <w:t>；整治村庄生态环境改善</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跟踪目标值：有效改善，实际值：有效改善</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；有效改善农村人居环境改善</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跟踪目标值：长期，实际值：长期</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；示范村农户满意度比例</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90%</w:t>
            </w:r>
            <w:r>
              <w:rPr>
                <w:rFonts w:hint="eastAsia" w:ascii="宋体" w:hAnsi="宋体" w:cs="宋体"/>
                <w:color w:val="000000"/>
                <w:kern w:val="0"/>
                <w:sz w:val="16"/>
                <w:szCs w:val="16"/>
                <w:lang w:bidi="ar"/>
              </w:rPr>
              <w:t>，实际值：</w:t>
            </w:r>
            <w:r>
              <w:rPr>
                <w:rFonts w:ascii="宋体" w:hAnsi="宋体" w:cs="宋体"/>
                <w:color w:val="000000"/>
                <w:kern w:val="0"/>
                <w:sz w:val="16"/>
                <w:szCs w:val="16"/>
                <w:lang w:bidi="ar"/>
              </w:rPr>
              <w:t>100%)</w:t>
            </w:r>
            <w:r>
              <w:rPr>
                <w:rFonts w:hint="eastAsia" w:ascii="宋体" w:hAnsi="宋体" w:cs="宋体"/>
                <w:color w:val="000000"/>
                <w:kern w:val="0"/>
                <w:sz w:val="16"/>
                <w:szCs w:val="16"/>
                <w:lang w:bidi="ar"/>
              </w:rPr>
              <w:t>参与单位对技术支持工作的满意率</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90%</w:t>
            </w:r>
            <w:r>
              <w:rPr>
                <w:rFonts w:hint="eastAsia" w:ascii="宋体" w:hAnsi="宋体" w:cs="宋体"/>
                <w:color w:val="000000"/>
                <w:kern w:val="0"/>
                <w:sz w:val="16"/>
                <w:szCs w:val="16"/>
                <w:lang w:bidi="ar"/>
              </w:rPr>
              <w:t>，实际值：</w:t>
            </w:r>
            <w:r>
              <w:rPr>
                <w:rFonts w:ascii="宋体" w:hAnsi="宋体" w:cs="宋体"/>
                <w:color w:val="000000"/>
                <w:kern w:val="0"/>
                <w:sz w:val="16"/>
                <w:szCs w:val="16"/>
                <w:lang w:bidi="ar"/>
              </w:rPr>
              <w:t>100%)</w:t>
            </w:r>
            <w:r>
              <w:rPr>
                <w:rFonts w:hint="eastAsia" w:ascii="宋体" w:hAnsi="宋体" w:cs="宋体"/>
                <w:color w:val="000000"/>
                <w:kern w:val="0"/>
                <w:sz w:val="16"/>
                <w:szCs w:val="16"/>
                <w:lang w:bidi="ar"/>
              </w:rPr>
              <w:t>；未完成的指标</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项目完成时限</w:t>
            </w:r>
            <w:r>
              <w:rPr>
                <w:rFonts w:ascii="宋体" w:hAnsi="宋体" w:cs="宋体"/>
                <w:color w:val="000000"/>
                <w:kern w:val="0"/>
                <w:sz w:val="16"/>
                <w:szCs w:val="16"/>
                <w:lang w:bidi="ar"/>
              </w:rPr>
              <w:t>(</w:t>
            </w:r>
            <w:r>
              <w:rPr>
                <w:rFonts w:hint="eastAsia" w:ascii="宋体" w:hAnsi="宋体" w:cs="宋体"/>
                <w:color w:val="000000"/>
                <w:kern w:val="0"/>
                <w:sz w:val="16"/>
                <w:szCs w:val="16"/>
                <w:lang w:bidi="ar"/>
              </w:rPr>
              <w:t>跟踪目标值：</w:t>
            </w:r>
            <w:r>
              <w:rPr>
                <w:rFonts w:ascii="宋体" w:hAnsi="宋体" w:cs="宋体"/>
                <w:color w:val="000000"/>
                <w:kern w:val="0"/>
                <w:sz w:val="16"/>
                <w:szCs w:val="16"/>
                <w:lang w:bidi="ar"/>
              </w:rPr>
              <w:t>2020</w:t>
            </w:r>
            <w:r>
              <w:rPr>
                <w:rFonts w:hint="eastAsia" w:ascii="宋体" w:hAnsi="宋体" w:cs="宋体"/>
                <w:color w:val="000000"/>
                <w:kern w:val="0"/>
                <w:sz w:val="16"/>
                <w:szCs w:val="16"/>
                <w:lang w:bidi="ar"/>
              </w:rPr>
              <w:t>年</w:t>
            </w:r>
            <w:r>
              <w:rPr>
                <w:rFonts w:ascii="宋体" w:hAnsi="宋体" w:cs="宋体"/>
                <w:color w:val="000000"/>
                <w:kern w:val="0"/>
                <w:sz w:val="16"/>
                <w:szCs w:val="16"/>
                <w:lang w:bidi="ar"/>
              </w:rPr>
              <w:t>12</w:t>
            </w:r>
            <w:r>
              <w:rPr>
                <w:rFonts w:hint="eastAsia" w:ascii="宋体" w:hAnsi="宋体" w:cs="宋体"/>
                <w:color w:val="000000"/>
                <w:kern w:val="0"/>
                <w:sz w:val="16"/>
                <w:szCs w:val="16"/>
                <w:lang w:bidi="ar"/>
              </w:rPr>
              <w:t>月底，实际值：</w:t>
            </w:r>
            <w:r>
              <w:rPr>
                <w:rFonts w:ascii="宋体" w:hAnsi="宋体" w:cs="宋体"/>
                <w:color w:val="000000"/>
                <w:kern w:val="0"/>
                <w:sz w:val="16"/>
                <w:szCs w:val="16"/>
                <w:lang w:bidi="ar"/>
              </w:rPr>
              <w:t>2020</w:t>
            </w:r>
            <w:r>
              <w:rPr>
                <w:rFonts w:hint="eastAsia" w:ascii="宋体" w:hAnsi="宋体" w:cs="宋体"/>
                <w:color w:val="000000"/>
                <w:kern w:val="0"/>
                <w:sz w:val="16"/>
                <w:szCs w:val="16"/>
                <w:lang w:bidi="ar"/>
              </w:rPr>
              <w:t>年</w:t>
            </w:r>
            <w:r>
              <w:rPr>
                <w:rFonts w:ascii="宋体" w:hAnsi="宋体" w:cs="宋体"/>
                <w:color w:val="000000"/>
                <w:kern w:val="0"/>
                <w:sz w:val="16"/>
                <w:szCs w:val="16"/>
                <w:lang w:bidi="ar"/>
              </w:rPr>
              <w:t>11</w:t>
            </w:r>
            <w:r>
              <w:rPr>
                <w:rFonts w:hint="eastAsia" w:ascii="宋体" w:hAnsi="宋体" w:cs="宋体"/>
                <w:color w:val="000000"/>
                <w:kern w:val="0"/>
                <w:sz w:val="16"/>
                <w:szCs w:val="16"/>
                <w:lang w:bidi="ar"/>
              </w:rPr>
              <w:t>月</w:t>
            </w:r>
            <w:r>
              <w:rPr>
                <w:rFonts w:ascii="宋体" w:hAnsi="宋体" w:cs="宋体"/>
                <w:color w:val="000000"/>
                <w:kern w:val="0"/>
                <w:sz w:val="16"/>
                <w:szCs w:val="16"/>
                <w:lang w:bidi="ar"/>
              </w:rPr>
              <w:t>15</w:t>
            </w:r>
            <w:r>
              <w:rPr>
                <w:rFonts w:hint="eastAsia" w:ascii="宋体" w:hAnsi="宋体" w:cs="宋体"/>
                <w:color w:val="000000"/>
                <w:kern w:val="0"/>
                <w:sz w:val="16"/>
                <w:szCs w:val="16"/>
                <w:lang w:bidi="ar"/>
              </w:rPr>
              <w:t>日</w:t>
            </w:r>
            <w:r>
              <w:rPr>
                <w:rFonts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84" w:hRule="atLeast"/>
        </w:trPr>
        <w:tc>
          <w:tcPr>
            <w:tcW w:w="703"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绩</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效</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指</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标</w:t>
            </w:r>
          </w:p>
        </w:tc>
        <w:tc>
          <w:tcPr>
            <w:tcW w:w="568"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一级指标</w:t>
            </w:r>
          </w:p>
        </w:tc>
        <w:tc>
          <w:tcPr>
            <w:tcW w:w="997"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二级指标</w:t>
            </w:r>
          </w:p>
        </w:tc>
        <w:tc>
          <w:tcPr>
            <w:tcW w:w="2104"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三级指标</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w:t>
            </w:r>
          </w:p>
        </w:tc>
        <w:tc>
          <w:tcPr>
            <w:tcW w:w="873"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787"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c>
          <w:tcPr>
            <w:tcW w:w="1688"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偏差原因分析及改进措施</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10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指标值</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完成值</w:t>
            </w:r>
          </w:p>
        </w:tc>
        <w:tc>
          <w:tcPr>
            <w:tcW w:w="873"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7"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8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产出指标</w:t>
            </w:r>
          </w:p>
        </w:tc>
        <w:tc>
          <w:tcPr>
            <w:tcW w:w="997"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数量指标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：拟支持农庄数</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=4</w:t>
            </w:r>
            <w:r>
              <w:rPr>
                <w:rFonts w:hint="eastAsia" w:ascii="宋体" w:hAnsi="宋体" w:cs="宋体"/>
                <w:color w:val="000000"/>
                <w:kern w:val="0"/>
                <w:sz w:val="16"/>
                <w:szCs w:val="16"/>
                <w:lang w:bidi="ar"/>
              </w:rPr>
              <w:t>个</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=4</w:t>
            </w:r>
            <w:r>
              <w:rPr>
                <w:rFonts w:hint="eastAsia" w:ascii="宋体" w:hAnsi="宋体" w:cs="宋体"/>
                <w:color w:val="000000"/>
                <w:kern w:val="0"/>
                <w:sz w:val="16"/>
                <w:szCs w:val="16"/>
                <w:lang w:bidi="ar"/>
              </w:rPr>
              <w:t>个</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2</w:t>
            </w:r>
            <w:r>
              <w:rPr>
                <w:rFonts w:hint="eastAsia" w:ascii="宋体" w:hAnsi="宋体" w:cs="宋体"/>
                <w:color w:val="000000"/>
                <w:kern w:val="0"/>
                <w:sz w:val="16"/>
                <w:szCs w:val="16"/>
                <w:lang w:bidi="ar"/>
              </w:rPr>
              <w:t>：新建排水管网公里数</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=5.6</w:t>
            </w:r>
            <w:r>
              <w:rPr>
                <w:rFonts w:hint="eastAsia" w:ascii="宋体" w:hAnsi="宋体" w:cs="宋体"/>
                <w:color w:val="000000"/>
                <w:kern w:val="0"/>
                <w:sz w:val="16"/>
                <w:szCs w:val="16"/>
                <w:lang w:bidi="ar"/>
              </w:rPr>
              <w:t>公里</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=5.6</w:t>
            </w:r>
            <w:r>
              <w:rPr>
                <w:rFonts w:hint="eastAsia" w:ascii="宋体" w:hAnsi="宋体" w:cs="宋体"/>
                <w:color w:val="000000"/>
                <w:kern w:val="0"/>
                <w:sz w:val="16"/>
                <w:szCs w:val="16"/>
                <w:lang w:bidi="ar"/>
              </w:rPr>
              <w:t>公里</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3</w:t>
            </w:r>
            <w:r>
              <w:rPr>
                <w:rFonts w:hint="eastAsia" w:ascii="宋体" w:hAnsi="宋体" w:cs="宋体"/>
                <w:color w:val="000000"/>
                <w:kern w:val="0"/>
                <w:sz w:val="16"/>
                <w:szCs w:val="16"/>
                <w:lang w:bidi="ar"/>
              </w:rPr>
              <w:t>：污水终端处理设施</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w:t>
            </w:r>
            <w:r>
              <w:rPr>
                <w:rFonts w:hint="eastAsia" w:ascii="宋体" w:hAnsi="宋体" w:cs="宋体"/>
                <w:color w:val="000000"/>
                <w:kern w:val="0"/>
                <w:sz w:val="16"/>
                <w:szCs w:val="16"/>
                <w:lang w:bidi="ar"/>
              </w:rPr>
              <w:t>个</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w:t>
            </w:r>
            <w:r>
              <w:rPr>
                <w:rFonts w:hint="eastAsia" w:ascii="宋体" w:hAnsi="宋体" w:cs="宋体"/>
                <w:color w:val="000000"/>
                <w:kern w:val="0"/>
                <w:sz w:val="16"/>
                <w:szCs w:val="16"/>
                <w:lang w:bidi="ar"/>
              </w:rPr>
              <w:t>个</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410"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质量指标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：经整治示范村生活污水得到有效治理的农户比率</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60%</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时效指标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：项目完成时限</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2020</w:t>
            </w:r>
            <w:r>
              <w:rPr>
                <w:rFonts w:hint="eastAsia" w:ascii="宋体" w:hAnsi="宋体" w:cs="宋体"/>
                <w:color w:val="000000"/>
                <w:kern w:val="0"/>
                <w:sz w:val="16"/>
                <w:szCs w:val="16"/>
                <w:lang w:bidi="ar"/>
              </w:rPr>
              <w:t>年</w:t>
            </w:r>
            <w:r>
              <w:rPr>
                <w:rFonts w:ascii="宋体" w:hAnsi="宋体" w:cs="宋体"/>
                <w:color w:val="000000"/>
                <w:kern w:val="0"/>
                <w:sz w:val="16"/>
                <w:szCs w:val="16"/>
                <w:lang w:bidi="ar"/>
              </w:rPr>
              <w:t>12</w:t>
            </w:r>
            <w:r>
              <w:rPr>
                <w:rFonts w:hint="eastAsia" w:ascii="宋体" w:hAnsi="宋体" w:cs="宋体"/>
                <w:color w:val="000000"/>
                <w:kern w:val="0"/>
                <w:sz w:val="16"/>
                <w:szCs w:val="16"/>
                <w:lang w:bidi="ar"/>
              </w:rPr>
              <w:t>月前</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2020</w:t>
            </w:r>
            <w:r>
              <w:rPr>
                <w:rFonts w:hint="eastAsia" w:ascii="宋体" w:hAnsi="宋体" w:cs="宋体"/>
                <w:color w:val="000000"/>
                <w:kern w:val="0"/>
                <w:sz w:val="16"/>
                <w:szCs w:val="16"/>
                <w:lang w:bidi="ar"/>
              </w:rPr>
              <w:t>年</w:t>
            </w:r>
            <w:r>
              <w:rPr>
                <w:rFonts w:ascii="宋体" w:hAnsi="宋体" w:cs="宋体"/>
                <w:color w:val="000000"/>
                <w:kern w:val="0"/>
                <w:sz w:val="16"/>
                <w:szCs w:val="16"/>
                <w:lang w:bidi="ar"/>
              </w:rPr>
              <w:t>11</w:t>
            </w:r>
            <w:r>
              <w:rPr>
                <w:rFonts w:hint="eastAsia" w:ascii="宋体" w:hAnsi="宋体" w:cs="宋体"/>
                <w:color w:val="000000"/>
                <w:kern w:val="0"/>
                <w:sz w:val="16"/>
                <w:szCs w:val="16"/>
                <w:lang w:bidi="ar"/>
              </w:rPr>
              <w:t>月</w:t>
            </w:r>
            <w:r>
              <w:rPr>
                <w:rFonts w:ascii="宋体" w:hAnsi="宋体" w:cs="宋体"/>
                <w:color w:val="000000"/>
                <w:kern w:val="0"/>
                <w:sz w:val="16"/>
                <w:szCs w:val="16"/>
                <w:lang w:bidi="ar"/>
              </w:rPr>
              <w:t>15</w:t>
            </w:r>
            <w:r>
              <w:rPr>
                <w:rFonts w:hint="eastAsia" w:ascii="宋体" w:hAnsi="宋体" w:cs="宋体"/>
                <w:color w:val="000000"/>
                <w:kern w:val="0"/>
                <w:sz w:val="16"/>
                <w:szCs w:val="16"/>
                <w:lang w:bidi="ar"/>
              </w:rPr>
              <w:t>日前</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46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成本指标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：项目总成本</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r>
              <w:rPr>
                <w:rFonts w:hint="eastAsia" w:ascii="宋体" w:hAnsi="宋体" w:cs="宋体"/>
                <w:color w:val="000000"/>
                <w:kern w:val="0"/>
                <w:sz w:val="16"/>
                <w:szCs w:val="16"/>
                <w:lang w:bidi="ar"/>
              </w:rPr>
              <w:t>万元</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147.503</w:t>
            </w:r>
            <w:r>
              <w:rPr>
                <w:rFonts w:hint="eastAsia" w:ascii="宋体" w:hAnsi="宋体" w:cs="宋体"/>
                <w:color w:val="000000"/>
                <w:kern w:val="0"/>
                <w:sz w:val="16"/>
                <w:szCs w:val="16"/>
                <w:lang w:bidi="ar"/>
              </w:rPr>
              <w:t>万元</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效益指标</w:t>
            </w: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经济效益指标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社会效益指标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：经整治示范村农户比例</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生态效益指标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：整治村庄生态环境改善</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有效改善</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有效改善</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可持续影响指标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满意度指标</w:t>
            </w:r>
          </w:p>
        </w:tc>
        <w:tc>
          <w:tcPr>
            <w:tcW w:w="997"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服务对象满意度指标</w:t>
            </w: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1</w:t>
            </w:r>
            <w:r>
              <w:rPr>
                <w:rFonts w:hint="eastAsia" w:ascii="宋体" w:hAnsi="宋体" w:cs="宋体"/>
                <w:color w:val="000000"/>
                <w:kern w:val="0"/>
                <w:sz w:val="16"/>
                <w:szCs w:val="16"/>
                <w:lang w:bidi="ar"/>
              </w:rPr>
              <w:t>：示范村农村户满意度比例</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90%</w:t>
            </w: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84" w:hRule="atLeast"/>
        </w:trPr>
        <w:tc>
          <w:tcPr>
            <w:tcW w:w="7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104" w:type="dxa"/>
            <w:gridSpan w:val="2"/>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指标</w:t>
            </w:r>
            <w:r>
              <w:rPr>
                <w:rFonts w:ascii="宋体" w:hAnsi="宋体" w:cs="宋体"/>
                <w:color w:val="000000"/>
                <w:kern w:val="0"/>
                <w:sz w:val="16"/>
                <w:szCs w:val="16"/>
                <w:lang w:bidi="ar"/>
              </w:rPr>
              <w:t>2</w:t>
            </w:r>
            <w:r>
              <w:rPr>
                <w:rFonts w:hint="eastAsia" w:ascii="宋体" w:hAnsi="宋体" w:cs="宋体"/>
                <w:color w:val="000000"/>
                <w:kern w:val="0"/>
                <w:sz w:val="16"/>
                <w:szCs w:val="16"/>
                <w:lang w:bidi="ar"/>
              </w:rPr>
              <w:t>：</w:t>
            </w:r>
          </w:p>
        </w:tc>
        <w:tc>
          <w:tcPr>
            <w:tcW w:w="8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1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284" w:hRule="atLeast"/>
        </w:trPr>
        <w:tc>
          <w:tcPr>
            <w:tcW w:w="6145" w:type="dxa"/>
            <w:gridSpan w:val="7"/>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总分</w:t>
            </w:r>
          </w:p>
        </w:tc>
        <w:tc>
          <w:tcPr>
            <w:tcW w:w="873"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bl>
    <w:p>
      <w:r>
        <w:t xml:space="preserve">  </w:t>
      </w:r>
    </w:p>
    <w:p/>
    <w:tbl>
      <w:tblPr>
        <w:tblStyle w:val="5"/>
        <w:tblW w:w="9420" w:type="dxa"/>
        <w:tblInd w:w="96" w:type="dxa"/>
        <w:tblLayout w:type="fixed"/>
        <w:tblCellMar>
          <w:top w:w="0" w:type="dxa"/>
          <w:left w:w="108" w:type="dxa"/>
          <w:bottom w:w="0" w:type="dxa"/>
          <w:right w:w="108" w:type="dxa"/>
        </w:tblCellMar>
      </w:tblPr>
      <w:tblGrid>
        <w:gridCol w:w="674"/>
        <w:gridCol w:w="542"/>
        <w:gridCol w:w="953"/>
        <w:gridCol w:w="954"/>
        <w:gridCol w:w="1059"/>
        <w:gridCol w:w="332"/>
        <w:gridCol w:w="822"/>
        <w:gridCol w:w="876"/>
        <w:gridCol w:w="331"/>
        <w:gridCol w:w="504"/>
        <w:gridCol w:w="608"/>
        <w:gridCol w:w="147"/>
        <w:gridCol w:w="834"/>
        <w:gridCol w:w="784"/>
      </w:tblGrid>
      <w:tr>
        <w:tblPrEx>
          <w:tblLayout w:type="fixed"/>
          <w:tblCellMar>
            <w:top w:w="0" w:type="dxa"/>
            <w:left w:w="108" w:type="dxa"/>
            <w:bottom w:w="0" w:type="dxa"/>
            <w:right w:w="108" w:type="dxa"/>
          </w:tblCellMar>
        </w:tblPrEx>
        <w:trPr>
          <w:trHeight w:val="346" w:hRule="atLeast"/>
        </w:trPr>
        <w:tc>
          <w:tcPr>
            <w:tcW w:w="9420" w:type="dxa"/>
            <w:gridSpan w:val="14"/>
            <w:tcBorders>
              <w:top w:val="nil"/>
              <w:left w:val="nil"/>
              <w:bottom w:val="nil"/>
              <w:right w:val="nil"/>
            </w:tcBorders>
            <w:vAlign w:val="center"/>
          </w:tcPr>
          <w:p>
            <w:pPr>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Layout w:type="fixed"/>
          <w:tblCellMar>
            <w:top w:w="0" w:type="dxa"/>
            <w:left w:w="108" w:type="dxa"/>
            <w:bottom w:w="0" w:type="dxa"/>
            <w:right w:w="108" w:type="dxa"/>
          </w:tblCellMar>
        </w:tblPrEx>
        <w:trPr>
          <w:trHeight w:val="343" w:hRule="atLeast"/>
        </w:trPr>
        <w:tc>
          <w:tcPr>
            <w:tcW w:w="9420" w:type="dxa"/>
            <w:gridSpan w:val="14"/>
            <w:tcBorders>
              <w:top w:val="nil"/>
              <w:left w:val="nil"/>
              <w:bottom w:val="nil"/>
              <w:right w:val="nil"/>
            </w:tcBorders>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ascii="宋体" w:hAnsi="宋体" w:cs="宋体"/>
                <w:color w:val="000000"/>
                <w:kern w:val="0"/>
                <w:sz w:val="22"/>
                <w:szCs w:val="22"/>
                <w:lang w:bidi="ar"/>
              </w:rPr>
              <w:t>2020</w:t>
            </w:r>
            <w:r>
              <w:rPr>
                <w:rFonts w:hint="eastAsia" w:ascii="宋体" w:hAnsi="宋体" w:cs="宋体"/>
                <w:color w:val="000000"/>
                <w:kern w:val="0"/>
                <w:sz w:val="22"/>
                <w:szCs w:val="22"/>
                <w:lang w:bidi="ar"/>
              </w:rPr>
              <w:t>年度）</w:t>
            </w:r>
          </w:p>
        </w:tc>
      </w:tr>
      <w:tr>
        <w:tblPrEx>
          <w:tblLayout w:type="fixed"/>
          <w:tblCellMar>
            <w:top w:w="0" w:type="dxa"/>
            <w:left w:w="108" w:type="dxa"/>
            <w:bottom w:w="0" w:type="dxa"/>
            <w:right w:w="108" w:type="dxa"/>
          </w:tblCellMar>
        </w:tblPrEx>
        <w:trPr>
          <w:trHeight w:val="270" w:hRule="atLeast"/>
        </w:trPr>
        <w:tc>
          <w:tcPr>
            <w:tcW w:w="121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项目名称</w:t>
            </w:r>
          </w:p>
        </w:tc>
        <w:tc>
          <w:tcPr>
            <w:tcW w:w="8204" w:type="dxa"/>
            <w:gridSpan w:val="1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新疆嘉润资源控股有限公司电解铝烟气脱硫改造项目</w:t>
            </w:r>
          </w:p>
        </w:tc>
      </w:tr>
      <w:tr>
        <w:tblPrEx>
          <w:tblLayout w:type="fixed"/>
          <w:tblCellMar>
            <w:top w:w="0" w:type="dxa"/>
            <w:left w:w="108" w:type="dxa"/>
            <w:bottom w:w="0" w:type="dxa"/>
            <w:right w:w="108" w:type="dxa"/>
          </w:tblCellMar>
        </w:tblPrEx>
        <w:trPr>
          <w:trHeight w:val="270" w:hRule="atLeast"/>
        </w:trPr>
        <w:tc>
          <w:tcPr>
            <w:tcW w:w="1216"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主管部门</w:t>
            </w:r>
          </w:p>
        </w:tc>
        <w:tc>
          <w:tcPr>
            <w:tcW w:w="4120"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昌吉州生态环境局玛纳斯县分局</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实施单位</w:t>
            </w:r>
          </w:p>
        </w:tc>
        <w:tc>
          <w:tcPr>
            <w:tcW w:w="2877" w:type="dxa"/>
            <w:gridSpan w:val="5"/>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新疆嘉润资源控股有限公司</w:t>
            </w:r>
          </w:p>
        </w:tc>
      </w:tr>
      <w:tr>
        <w:tblPrEx>
          <w:tblLayout w:type="fixed"/>
          <w:tblCellMar>
            <w:top w:w="0" w:type="dxa"/>
            <w:left w:w="108" w:type="dxa"/>
            <w:bottom w:w="0" w:type="dxa"/>
            <w:right w:w="108" w:type="dxa"/>
          </w:tblCellMar>
        </w:tblPrEx>
        <w:trPr>
          <w:trHeight w:val="270" w:hRule="atLeast"/>
        </w:trPr>
        <w:tc>
          <w:tcPr>
            <w:tcW w:w="1216"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项目资金</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（万元）</w:t>
            </w:r>
          </w:p>
        </w:tc>
        <w:tc>
          <w:tcPr>
            <w:tcW w:w="190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0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年初预算数</w:t>
            </w: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全年预算数</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全年执行数</w:t>
            </w: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98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执行率</w:t>
            </w:r>
          </w:p>
        </w:tc>
        <w:tc>
          <w:tcPr>
            <w:tcW w:w="78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r>
      <w:tr>
        <w:tblPrEx>
          <w:tblLayout w:type="fixed"/>
          <w:tblCellMar>
            <w:top w:w="0" w:type="dxa"/>
            <w:left w:w="108" w:type="dxa"/>
            <w:bottom w:w="0" w:type="dxa"/>
            <w:right w:w="108" w:type="dxa"/>
          </w:tblCellMar>
        </w:tblPrEx>
        <w:trPr>
          <w:trHeight w:val="270"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07"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rFonts w:ascii="宋体" w:hAnsi="宋体" w:cs="宋体"/>
                <w:color w:val="000000"/>
                <w:sz w:val="16"/>
                <w:szCs w:val="16"/>
              </w:rPr>
            </w:pPr>
            <w:r>
              <w:rPr>
                <w:rFonts w:hint="eastAsia" w:ascii="宋体" w:hAnsi="宋体" w:cs="宋体"/>
                <w:color w:val="000000"/>
                <w:kern w:val="0"/>
                <w:sz w:val="16"/>
                <w:szCs w:val="16"/>
                <w:lang w:bidi="ar"/>
              </w:rPr>
              <w:t>年度资金总额</w:t>
            </w:r>
          </w:p>
        </w:tc>
        <w:tc>
          <w:tcPr>
            <w:tcW w:w="10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7000</w:t>
            </w: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7000</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7000</w:t>
            </w: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98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r>
      <w:tr>
        <w:tblPrEx>
          <w:tblLayout w:type="fixed"/>
          <w:tblCellMar>
            <w:top w:w="0" w:type="dxa"/>
            <w:left w:w="108" w:type="dxa"/>
            <w:bottom w:w="0" w:type="dxa"/>
            <w:right w:w="108" w:type="dxa"/>
          </w:tblCellMar>
        </w:tblPrEx>
        <w:trPr>
          <w:trHeight w:val="270"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其中：当年财政拨款</w:t>
            </w:r>
          </w:p>
        </w:tc>
        <w:tc>
          <w:tcPr>
            <w:tcW w:w="10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1920.00 </w:t>
            </w: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1920</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1920</w:t>
            </w: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8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70"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上年结转资金</w:t>
            </w:r>
          </w:p>
        </w:tc>
        <w:tc>
          <w:tcPr>
            <w:tcW w:w="105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81"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8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70"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9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其他资金</w:t>
            </w:r>
          </w:p>
        </w:tc>
        <w:tc>
          <w:tcPr>
            <w:tcW w:w="10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5080</w:t>
            </w: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5080</w:t>
            </w:r>
          </w:p>
        </w:tc>
        <w:tc>
          <w:tcPr>
            <w:tcW w:w="1207"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5080</w:t>
            </w: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c>
          <w:tcPr>
            <w:tcW w:w="981"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8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p>
        </w:tc>
      </w:tr>
      <w:tr>
        <w:tblPrEx>
          <w:tblLayout w:type="fixed"/>
          <w:tblCellMar>
            <w:top w:w="0" w:type="dxa"/>
            <w:left w:w="108" w:type="dxa"/>
            <w:bottom w:w="0" w:type="dxa"/>
            <w:right w:w="108" w:type="dxa"/>
          </w:tblCellMar>
        </w:tblPrEx>
        <w:trPr>
          <w:trHeight w:val="270" w:hRule="atLeast"/>
        </w:trPr>
        <w:tc>
          <w:tcPr>
            <w:tcW w:w="674"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年度总体目标</w:t>
            </w:r>
          </w:p>
        </w:tc>
        <w:tc>
          <w:tcPr>
            <w:tcW w:w="4662"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预期目标</w:t>
            </w:r>
          </w:p>
        </w:tc>
        <w:tc>
          <w:tcPr>
            <w:tcW w:w="4084" w:type="dxa"/>
            <w:gridSpan w:val="7"/>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实际完成情况</w:t>
            </w:r>
          </w:p>
        </w:tc>
      </w:tr>
      <w:tr>
        <w:tblPrEx>
          <w:tblLayout w:type="fixed"/>
          <w:tblCellMar>
            <w:top w:w="0" w:type="dxa"/>
            <w:left w:w="108" w:type="dxa"/>
            <w:bottom w:w="0" w:type="dxa"/>
            <w:right w:w="108" w:type="dxa"/>
          </w:tblCellMar>
        </w:tblPrEx>
        <w:trPr>
          <w:trHeight w:val="1765" w:hRule="atLeast"/>
        </w:trPr>
        <w:tc>
          <w:tcPr>
            <w:tcW w:w="67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4662" w:type="dxa"/>
            <w:gridSpan w:val="6"/>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嘉润电解铝现有一条</w:t>
            </w:r>
            <w:r>
              <w:rPr>
                <w:rFonts w:ascii="宋体" w:hAnsi="宋体" w:cs="宋体"/>
                <w:color w:val="000000"/>
                <w:kern w:val="0"/>
                <w:sz w:val="16"/>
                <w:szCs w:val="16"/>
                <w:lang w:bidi="ar"/>
              </w:rPr>
              <w:t>500KVA</w:t>
            </w:r>
            <w:r>
              <w:rPr>
                <w:rFonts w:hint="eastAsia" w:ascii="宋体" w:hAnsi="宋体" w:cs="宋体"/>
                <w:color w:val="000000"/>
                <w:kern w:val="0"/>
                <w:sz w:val="16"/>
                <w:szCs w:val="16"/>
                <w:lang w:bidi="ar"/>
              </w:rPr>
              <w:t>电解铝生产线，共三个净化单元，本次新增电解铝烟气脱硫装置，采用国际领先的湿法脱硫技术，用碳酸钙做吸附剂，与烟气中胡二氧化硫反应实现烟气脱硫。主要建设烟分系统，分区反应塔系统、投料增湿系统、除尘系统和物料循环系统，改造后烟气中二氧化硫从</w:t>
            </w:r>
            <w:r>
              <w:rPr>
                <w:rFonts w:ascii="宋体" w:hAnsi="宋体" w:cs="宋体"/>
                <w:color w:val="000000"/>
                <w:kern w:val="0"/>
                <w:sz w:val="16"/>
                <w:szCs w:val="16"/>
                <w:lang w:bidi="ar"/>
              </w:rPr>
              <w:t>160</w:t>
            </w:r>
            <w:r>
              <w:rPr>
                <w:rFonts w:hint="eastAsia" w:ascii="宋体" w:hAnsi="宋体" w:cs="宋体"/>
                <w:color w:val="000000"/>
                <w:kern w:val="0"/>
                <w:sz w:val="16"/>
                <w:szCs w:val="16"/>
                <w:lang w:bidi="ar"/>
              </w:rPr>
              <w:t>毫克每立方米降至</w:t>
            </w:r>
            <w:r>
              <w:rPr>
                <w:rFonts w:ascii="宋体" w:hAnsi="宋体" w:cs="宋体"/>
                <w:color w:val="000000"/>
                <w:kern w:val="0"/>
                <w:sz w:val="16"/>
                <w:szCs w:val="16"/>
                <w:lang w:bidi="ar"/>
              </w:rPr>
              <w:t>30</w:t>
            </w:r>
            <w:r>
              <w:rPr>
                <w:rFonts w:hint="eastAsia" w:ascii="宋体" w:hAnsi="宋体" w:cs="宋体"/>
                <w:color w:val="000000"/>
                <w:kern w:val="0"/>
                <w:sz w:val="16"/>
                <w:szCs w:val="16"/>
                <w:lang w:bidi="ar"/>
              </w:rPr>
              <w:t>毫克每立方米以下。</w:t>
            </w:r>
          </w:p>
        </w:tc>
        <w:tc>
          <w:tcPr>
            <w:tcW w:w="4084" w:type="dxa"/>
            <w:gridSpan w:val="7"/>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目前已完工，正在试运行阶段。</w:t>
            </w:r>
          </w:p>
        </w:tc>
      </w:tr>
      <w:tr>
        <w:tblPrEx>
          <w:tblLayout w:type="fixed"/>
          <w:tblCellMar>
            <w:top w:w="0" w:type="dxa"/>
            <w:left w:w="108" w:type="dxa"/>
            <w:bottom w:w="0" w:type="dxa"/>
            <w:right w:w="108" w:type="dxa"/>
          </w:tblCellMar>
        </w:tblPrEx>
        <w:trPr>
          <w:trHeight w:val="270" w:hRule="atLeast"/>
        </w:trPr>
        <w:tc>
          <w:tcPr>
            <w:tcW w:w="674" w:type="dxa"/>
            <w:vMerge w:val="restart"/>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绩</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效</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指</w:t>
            </w:r>
            <w:r>
              <w:rPr>
                <w:rFonts w:ascii="宋体" w:hAnsi="宋体" w:cs="宋体"/>
                <w:color w:val="000000"/>
                <w:kern w:val="0"/>
                <w:sz w:val="16"/>
                <w:szCs w:val="16"/>
                <w:lang w:bidi="ar"/>
              </w:rPr>
              <w:t xml:space="preserve">    </w:t>
            </w:r>
            <w:r>
              <w:rPr>
                <w:rFonts w:hint="eastAsia" w:ascii="宋体" w:hAnsi="宋体" w:cs="宋体"/>
                <w:color w:val="000000"/>
                <w:kern w:val="0"/>
                <w:sz w:val="16"/>
                <w:szCs w:val="16"/>
                <w:lang w:bidi="ar"/>
              </w:rPr>
              <w:t>标</w:t>
            </w:r>
          </w:p>
        </w:tc>
        <w:tc>
          <w:tcPr>
            <w:tcW w:w="54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一级指标</w:t>
            </w:r>
          </w:p>
        </w:tc>
        <w:tc>
          <w:tcPr>
            <w:tcW w:w="953"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二级指标</w:t>
            </w:r>
          </w:p>
        </w:tc>
        <w:tc>
          <w:tcPr>
            <w:tcW w:w="2345"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三级指标</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年度</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实际</w:t>
            </w:r>
          </w:p>
        </w:tc>
        <w:tc>
          <w:tcPr>
            <w:tcW w:w="835"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分值</w:t>
            </w:r>
          </w:p>
        </w:tc>
        <w:tc>
          <w:tcPr>
            <w:tcW w:w="755"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得分</w:t>
            </w:r>
          </w:p>
        </w:tc>
        <w:tc>
          <w:tcPr>
            <w:tcW w:w="1618"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偏差原因分析及改进措施</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345"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指标值</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完成值</w:t>
            </w:r>
          </w:p>
        </w:tc>
        <w:tc>
          <w:tcPr>
            <w:tcW w:w="83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755"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61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Layout w:type="fixed"/>
          <w:tblCellMar>
            <w:top w:w="0" w:type="dxa"/>
            <w:left w:w="108" w:type="dxa"/>
            <w:bottom w:w="0" w:type="dxa"/>
            <w:right w:w="108" w:type="dxa"/>
          </w:tblCellMar>
        </w:tblPrEx>
        <w:trPr>
          <w:trHeight w:val="662"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产出指标</w:t>
            </w: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数量指标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电解铝烟气净化系统脱硫系统</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w:t>
            </w:r>
            <w:r>
              <w:rPr>
                <w:rFonts w:hint="eastAsia" w:ascii="宋体" w:hAnsi="宋体" w:cs="宋体"/>
                <w:color w:val="000000"/>
                <w:kern w:val="0"/>
                <w:sz w:val="16"/>
                <w:szCs w:val="16"/>
                <w:lang w:bidi="ar"/>
              </w:rPr>
              <w:t>套</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w:t>
            </w:r>
            <w:r>
              <w:rPr>
                <w:rFonts w:hint="eastAsia" w:ascii="宋体" w:hAnsi="宋体" w:cs="宋体"/>
                <w:color w:val="000000"/>
                <w:kern w:val="0"/>
                <w:sz w:val="16"/>
                <w:szCs w:val="16"/>
                <w:lang w:bidi="ar"/>
              </w:rPr>
              <w:t>套</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916"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质量指标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工程质量合格率</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时效指标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项目按计划开工率</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80%</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成本指标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项目资金使用控制</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9600</w:t>
            </w:r>
            <w:r>
              <w:rPr>
                <w:rFonts w:hint="eastAsia" w:ascii="宋体" w:hAnsi="宋体" w:cs="宋体"/>
                <w:color w:val="000000"/>
                <w:kern w:val="0"/>
                <w:sz w:val="16"/>
                <w:szCs w:val="16"/>
                <w:lang w:bidi="ar"/>
              </w:rPr>
              <w:t>万元</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7000</w:t>
            </w:r>
            <w:r>
              <w:rPr>
                <w:rFonts w:hint="eastAsia" w:ascii="宋体" w:hAnsi="宋体" w:cs="宋体"/>
                <w:color w:val="000000"/>
                <w:kern w:val="0"/>
                <w:sz w:val="16"/>
                <w:szCs w:val="16"/>
                <w:lang w:bidi="ar"/>
              </w:rPr>
              <w:t>万元</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628"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效益指标</w:t>
            </w:r>
          </w:p>
        </w:tc>
        <w:tc>
          <w:tcPr>
            <w:tcW w:w="953"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经济效益指标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社会效益指标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大气污染防治公众认知度获得感</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提升</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提升</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56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vMerge w:val="restart"/>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生态效益指标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二氧化硫排放浓度</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35</w:t>
            </w:r>
            <w:r>
              <w:rPr>
                <w:rFonts w:hint="eastAsia" w:ascii="宋体" w:hAnsi="宋体" w:cs="宋体"/>
                <w:color w:val="000000"/>
                <w:kern w:val="0"/>
                <w:sz w:val="16"/>
                <w:szCs w:val="16"/>
                <w:lang w:bidi="ar"/>
              </w:rPr>
              <w:t>毫克每立方米</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30</w:t>
            </w:r>
            <w:r>
              <w:rPr>
                <w:rFonts w:hint="eastAsia" w:ascii="宋体" w:hAnsi="宋体" w:cs="宋体"/>
                <w:color w:val="000000"/>
                <w:kern w:val="0"/>
                <w:sz w:val="16"/>
                <w:szCs w:val="16"/>
                <w:lang w:bidi="ar"/>
              </w:rPr>
              <w:t>毫克每立方米</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二氧化硫排放下降率</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65%</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70%</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可持续影响指标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7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16"/>
                <w:szCs w:val="16"/>
              </w:rPr>
            </w:pPr>
          </w:p>
        </w:tc>
        <w:tc>
          <w:tcPr>
            <w:tcW w:w="542" w:type="dxa"/>
            <w:tcBorders>
              <w:top w:val="single" w:color="000000" w:sz="4" w:space="0"/>
              <w:left w:val="single" w:color="000000" w:sz="4" w:space="0"/>
              <w:bottom w:val="nil"/>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满意度指标</w:t>
            </w:r>
          </w:p>
        </w:tc>
        <w:tc>
          <w:tcPr>
            <w:tcW w:w="95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服务对象满意度指标</w:t>
            </w:r>
          </w:p>
        </w:tc>
        <w:tc>
          <w:tcPr>
            <w:tcW w:w="2345" w:type="dxa"/>
            <w:gridSpan w:val="3"/>
            <w:tcBorders>
              <w:top w:val="single" w:color="000000" w:sz="4" w:space="0"/>
              <w:left w:val="single" w:color="000000" w:sz="4" w:space="0"/>
              <w:bottom w:val="single" w:color="000000" w:sz="4" w:space="0"/>
              <w:right w:val="single" w:color="000000" w:sz="4" w:space="0"/>
            </w:tcBorders>
            <w:vAlign w:val="center"/>
          </w:tcPr>
          <w:p>
            <w:pPr>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群众满意度</w:t>
            </w:r>
          </w:p>
        </w:tc>
        <w:tc>
          <w:tcPr>
            <w:tcW w:w="82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w:t>
            </w:r>
            <w:r>
              <w:rPr>
                <w:rFonts w:ascii="宋体" w:hAnsi="宋体" w:cs="宋体"/>
                <w:color w:val="000000"/>
                <w:kern w:val="0"/>
                <w:sz w:val="16"/>
                <w:szCs w:val="16"/>
                <w:lang w:bidi="ar"/>
              </w:rPr>
              <w:t>95%</w:t>
            </w:r>
          </w:p>
        </w:tc>
        <w:tc>
          <w:tcPr>
            <w:tcW w:w="87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r>
        <w:tblPrEx>
          <w:tblLayout w:type="fixed"/>
          <w:tblCellMar>
            <w:top w:w="0" w:type="dxa"/>
            <w:left w:w="108" w:type="dxa"/>
            <w:bottom w:w="0" w:type="dxa"/>
            <w:right w:w="108" w:type="dxa"/>
          </w:tblCellMar>
        </w:tblPrEx>
        <w:trPr>
          <w:trHeight w:val="270" w:hRule="atLeast"/>
        </w:trPr>
        <w:tc>
          <w:tcPr>
            <w:tcW w:w="6212"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总分</w:t>
            </w:r>
          </w:p>
        </w:tc>
        <w:tc>
          <w:tcPr>
            <w:tcW w:w="83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75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ascii="宋体" w:hAnsi="宋体" w:cs="宋体"/>
                <w:color w:val="000000"/>
                <w:kern w:val="0"/>
                <w:sz w:val="16"/>
                <w:szCs w:val="16"/>
                <w:lang w:bidi="ar"/>
              </w:rPr>
              <w:t>100</w:t>
            </w:r>
          </w:p>
        </w:tc>
        <w:tc>
          <w:tcPr>
            <w:tcW w:w="161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无偏差</w:t>
            </w:r>
          </w:p>
        </w:tc>
      </w:tr>
    </w:tbl>
    <w:p>
      <w:pPr>
        <w:spacing w:line="600" w:lineRule="exact"/>
        <w:ind w:firstLine="640"/>
        <w:rPr>
          <w:rFonts w:ascii="仿宋" w:hAnsi="仿宋" w:eastAsia="仿宋"/>
          <w:kern w:val="0"/>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w:t>
      </w:r>
      <w:r>
        <w:rPr>
          <w:rFonts w:ascii="黑体" w:hAnsi="黑体" w:eastAsia="黑体"/>
          <w:sz w:val="32"/>
          <w:szCs w:val="24"/>
        </w:rPr>
        <w:t xml:space="preserve"> </w:t>
      </w:r>
      <w:r>
        <w:rPr>
          <w:rFonts w:hint="eastAsia" w:ascii="黑体" w:hAnsi="黑体" w:eastAsia="黑体"/>
          <w:sz w:val="32"/>
          <w:szCs w:val="24"/>
        </w:rPr>
        <w:t>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w:t>
      </w:r>
      <w:r>
        <w:rPr>
          <w:rFonts w:ascii="黑体" w:hAnsi="黑体" w:eastAsia="黑体"/>
          <w:sz w:val="32"/>
          <w:szCs w:val="24"/>
        </w:rPr>
        <w:t xml:space="preserve"> </w:t>
      </w:r>
      <w:r>
        <w:rPr>
          <w:rFonts w:hint="eastAsia" w:ascii="黑体" w:hAnsi="黑体" w:eastAsia="黑体"/>
          <w:sz w:val="32"/>
          <w:szCs w:val="24"/>
        </w:rPr>
        <w:t>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dit="readOnly" w:enforcement="0"/>
  <w:defaultTabStop w:val="720"/>
  <w:drawingGridHorizontalSpacing w:val="120"/>
  <w:drawingGridVerticalSpacing w:val="120"/>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C15"/>
    <w:rsid w:val="00127C15"/>
    <w:rsid w:val="00151659"/>
    <w:rsid w:val="00476223"/>
    <w:rsid w:val="00545920"/>
    <w:rsid w:val="0070670B"/>
    <w:rsid w:val="00876359"/>
    <w:rsid w:val="009B071B"/>
    <w:rsid w:val="009D5C21"/>
    <w:rsid w:val="00A23E65"/>
    <w:rsid w:val="00D1744E"/>
    <w:rsid w:val="00DA2E7F"/>
    <w:rsid w:val="00F81F0E"/>
    <w:rsid w:val="0E5A583A"/>
    <w:rsid w:val="10D83AD3"/>
    <w:rsid w:val="19B956BF"/>
    <w:rsid w:val="30F16206"/>
    <w:rsid w:val="333344B0"/>
    <w:rsid w:val="4DFF5A13"/>
    <w:rsid w:val="4FCA704B"/>
    <w:rsid w:val="5BB20DB1"/>
    <w:rsid w:val="61F7787D"/>
    <w:rsid w:val="68942CEC"/>
    <w:rsid w:val="68F74243"/>
    <w:rsid w:val="7D5509FF"/>
    <w:rsid w:val="7F7705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jc w:val="left"/>
    </w:pPr>
    <w:rPr>
      <w:kern w:val="0"/>
      <w:sz w:val="24"/>
      <w:szCs w:val="24"/>
    </w:rPr>
  </w:style>
  <w:style w:type="character" w:customStyle="1" w:styleId="7">
    <w:name w:val="font21"/>
    <w:basedOn w:val="6"/>
    <w:unhideWhenUsed/>
    <w:qFormat/>
    <w:uiPriority w:val="0"/>
    <w:rPr>
      <w:rFonts w:ascii="宋体" w:hAnsi="宋体" w:cs="宋体"/>
      <w:color w:val="000000"/>
      <w:sz w:val="20"/>
      <w:szCs w:val="20"/>
    </w:rPr>
  </w:style>
  <w:style w:type="character" w:customStyle="1" w:styleId="8">
    <w:name w:val="页眉 字符"/>
    <w:basedOn w:val="6"/>
    <w:link w:val="3"/>
    <w:qFormat/>
    <w:uiPriority w:val="99"/>
    <w:rPr>
      <w:rFonts w:cs="Times New Roman"/>
      <w:sz w:val="18"/>
      <w:szCs w:val="18"/>
    </w:rPr>
  </w:style>
  <w:style w:type="character" w:customStyle="1" w:styleId="9">
    <w:name w:val="页脚 字符"/>
    <w:basedOn w:val="6"/>
    <w:link w:val="2"/>
    <w:qFormat/>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1507</Words>
  <Characters>8591</Characters>
  <Lines>71</Lines>
  <Paragraphs>20</Paragraphs>
  <TotalTime>4</TotalTime>
  <ScaleCrop>false</ScaleCrop>
  <LinksUpToDate>false</LinksUpToDate>
  <CharactersWithSpaces>10078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2021-07-30T05:33:00Z</dcterms:created>
  <dc:creator>Administrator</dc:creator>
  <cp:lastModifiedBy>Administrator</cp:lastModifiedBy>
  <dcterms:modified xsi:type="dcterms:W3CDTF">2025-02-08T09:22:48Z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9F6A9339585846E0ADB0CD41128B220B</vt:lpwstr>
  </property>
</Properties>
</file>