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rPr>
          <w:rFonts w:ascii="黑体" w:hAnsi="黑体" w:eastAsia="黑体"/>
          <w:sz w:val="32"/>
          <w:szCs w:val="24"/>
        </w:rPr>
      </w:pPr>
      <w:bookmarkStart w:id="0" w:name="_GoBack"/>
      <w:bookmarkEnd w:id="0"/>
      <w:r>
        <w:rPr>
          <w:rFonts w:hint="eastAsia" w:ascii="黑体" w:hAnsi="黑体" w:eastAsia="黑体"/>
          <w:sz w:val="32"/>
          <w:szCs w:val="24"/>
        </w:rPr>
        <w:t>附件：</w:t>
      </w: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r>
        <w:rPr>
          <w:rFonts w:hint="eastAsia" w:ascii="方正小标宋_GBK" w:hAnsi="方正小标宋_GBK" w:eastAsia="方正小标宋_GBK"/>
          <w:sz w:val="44"/>
          <w:szCs w:val="24"/>
        </w:rPr>
        <w:t>新疆昌吉玛纳斯县中共直属机关工作委员会</w:t>
      </w:r>
      <w:r>
        <w:rPr>
          <w:rFonts w:ascii="方正小标宋_GBK" w:hAnsi="方正小标宋_GBK" w:eastAsia="方正小标宋_GBK"/>
          <w:sz w:val="44"/>
          <w:szCs w:val="24"/>
        </w:rPr>
        <w:t>2020</w:t>
      </w:r>
      <w:r>
        <w:rPr>
          <w:rFonts w:hint="eastAsia" w:ascii="方正小标宋_GBK" w:hAnsi="方正小标宋_GBK" w:eastAsia="方正小标宋_GBK"/>
          <w:sz w:val="44"/>
          <w:szCs w:val="24"/>
        </w:rPr>
        <w:t>年度部门决算公开说明</w:t>
      </w:r>
    </w:p>
    <w:p>
      <w:pPr>
        <w:keepNext/>
        <w:keepLines/>
        <w:jc w:val="center"/>
        <w:rPr>
          <w:rFonts w:ascii="仿宋_GB2312" w:hAnsi="仿宋_GB2312" w:eastAsia="仿宋_GB2312"/>
          <w:kern w:val="0"/>
          <w:sz w:val="32"/>
          <w:szCs w:val="24"/>
        </w:rPr>
      </w:pPr>
      <w:r>
        <w:rPr>
          <w:rFonts w:ascii="方正小标宋_GBK" w:hAnsi="方正小标宋_GBK" w:eastAsia="方正小标宋_GBK"/>
          <w:sz w:val="44"/>
          <w:szCs w:val="24"/>
        </w:rPr>
        <w:br w:type="page"/>
      </w:r>
      <w:r>
        <w:rPr>
          <w:rFonts w:hint="eastAsia" w:ascii="仿宋_GB2312" w:hAnsi="仿宋_GB2312" w:eastAsia="仿宋_GB2312"/>
          <w:b/>
          <w:kern w:val="0"/>
          <w:sz w:val="36"/>
          <w:szCs w:val="24"/>
        </w:rPr>
        <w:t>目录</w:t>
      </w:r>
    </w:p>
    <w:p>
      <w:pPr>
        <w:keepNext/>
        <w:keepLines/>
        <w:spacing w:line="600" w:lineRule="exact"/>
        <w:rPr>
          <w:rFonts w:ascii="仿宋_GB2312" w:hAnsi="仿宋_GB2312" w:eastAsia="仿宋_GB2312"/>
          <w:sz w:val="32"/>
          <w:szCs w:val="24"/>
        </w:rPr>
      </w:pPr>
      <w:r>
        <w:rPr>
          <w:rFonts w:hint="eastAsia" w:ascii="仿宋_GB2312" w:hAnsi="仿宋_GB2312" w:eastAsia="仿宋_GB2312"/>
          <w:b/>
          <w:sz w:val="32"/>
          <w:szCs w:val="24"/>
        </w:rPr>
        <w:t>第一部分部门单位概况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一、主要职能</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二、机构设置及人员情况</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第二部分部门决算情况说明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十、其他重要事项的情况说明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（一）机关运行经费支出情况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（二）政府采购情况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（三）国有资产占用情况说明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十一、预算绩效的情况说明</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第三部分专业名词解释</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第四部分部门决算报表（见附表）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九、《国有资本经营预算财政拨款收入支出决算表》</w:t>
      </w:r>
    </w:p>
    <w:p>
      <w:pPr>
        <w:keepNext/>
        <w:keepLines/>
        <w:spacing w:line="600" w:lineRule="exact"/>
        <w:rPr>
          <w:rFonts w:eastAsia="Times New Roman"/>
          <w:szCs w:val="24"/>
        </w:rPr>
      </w:pPr>
    </w:p>
    <w:p>
      <w:pPr>
        <w:spacing w:line="600" w:lineRule="exact"/>
        <w:ind w:firstLine="640"/>
        <w:jc w:val="center"/>
        <w:rPr>
          <w:rFonts w:ascii="黑体" w:hAnsi="黑体" w:eastAsia="黑体"/>
          <w:sz w:val="32"/>
          <w:szCs w:val="24"/>
        </w:rPr>
      </w:pPr>
      <w:r>
        <w:rPr>
          <w:rFonts w:ascii="仿宋_GB2312" w:hAnsi="仿宋_GB2312" w:eastAsia="仿宋_GB2312"/>
          <w:sz w:val="32"/>
          <w:szCs w:val="24"/>
        </w:rPr>
        <w:br w:type="page"/>
      </w:r>
      <w:r>
        <w:rPr>
          <w:rFonts w:hint="eastAsia" w:ascii="黑体" w:hAnsi="黑体" w:eastAsia="黑体"/>
          <w:sz w:val="32"/>
          <w:szCs w:val="24"/>
        </w:rPr>
        <w:t>第一部分部门单位概况</w:t>
      </w:r>
    </w:p>
    <w:p>
      <w:pPr>
        <w:spacing w:line="600" w:lineRule="exact"/>
        <w:ind w:firstLine="640"/>
        <w:rPr>
          <w:rFonts w:ascii="黑体" w:hAnsi="黑体" w:eastAsia="黑体"/>
          <w:sz w:val="32"/>
          <w:szCs w:val="24"/>
        </w:rPr>
      </w:pPr>
      <w:r>
        <w:rPr>
          <w:rFonts w:hint="eastAsia" w:ascii="黑体" w:hAnsi="黑体" w:eastAsia="黑体"/>
          <w:sz w:val="32"/>
          <w:szCs w:val="24"/>
        </w:rPr>
        <w:t>一、主要职能</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玛纳斯县中共直属机关工作委员会主要职能为：领导县直属机关党的工作，规划县直属机关党的建设；分类指导县直属机关单位党的建设工作。按照自治州党委和县党委的要求，指导县直属机关各级基层党组织的作风建设，做好党员管理教育工作。指导县直属机关党组织实施对党员特别是党员领导干部的监督，定期了解各部门党员和群众对部门领导干部的意见，及时向县党委反映各部门领导班子和领导干部的情况和问题。负责县直属机关党总支、支部发展新党员工作。审批县直属机关党总支、支部的建立；负责县直属机关总支（支部）书记、副书记的培训和任免工作。指导县直属机关基层党组织做好思想政治工作；指导机关的精神文明建设，开展创建文明单位、文明科室活动</w:t>
      </w:r>
      <w:r>
        <w:rPr>
          <w:rFonts w:ascii="仿宋_GB2312" w:hAnsi="仿宋_GB2312" w:eastAsia="仿宋_GB2312"/>
          <w:sz w:val="32"/>
          <w:szCs w:val="24"/>
        </w:rPr>
        <w:t>,</w:t>
      </w:r>
      <w:r>
        <w:rPr>
          <w:rFonts w:hint="eastAsia" w:ascii="仿宋_GB2312" w:hAnsi="仿宋_GB2312" w:eastAsia="仿宋_GB2312"/>
          <w:sz w:val="32"/>
          <w:szCs w:val="24"/>
        </w:rPr>
        <w:t>完成县委交办的其他工作。</w:t>
      </w:r>
    </w:p>
    <w:p>
      <w:pPr>
        <w:spacing w:line="600" w:lineRule="exact"/>
        <w:ind w:firstLine="640"/>
        <w:rPr>
          <w:rFonts w:ascii="黑体" w:hAnsi="黑体" w:eastAsia="黑体"/>
          <w:sz w:val="32"/>
          <w:szCs w:val="24"/>
        </w:rPr>
      </w:pPr>
      <w:r>
        <w:rPr>
          <w:rFonts w:hint="eastAsia" w:ascii="黑体" w:hAnsi="黑体" w:eastAsia="黑体"/>
          <w:sz w:val="32"/>
          <w:szCs w:val="24"/>
        </w:rPr>
        <w:t>二、机构设置及人员情况</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新疆昌吉玛纳斯县中共直属机关工作委员会</w:t>
      </w:r>
      <w:r>
        <w:rPr>
          <w:rFonts w:ascii="仿宋_GB2312" w:hAnsi="仿宋_GB2312" w:eastAsia="仿宋_GB2312"/>
          <w:sz w:val="32"/>
          <w:szCs w:val="24"/>
        </w:rPr>
        <w:t>2020</w:t>
      </w:r>
      <w:r>
        <w:rPr>
          <w:rFonts w:hint="eastAsia" w:ascii="仿宋_GB2312" w:hAnsi="仿宋_GB2312" w:eastAsia="仿宋_GB2312"/>
          <w:sz w:val="32"/>
          <w:szCs w:val="24"/>
        </w:rPr>
        <w:t>年度，实有人数</w:t>
      </w:r>
      <w:r>
        <w:rPr>
          <w:rFonts w:ascii="仿宋_GB2312" w:hAnsi="仿宋_GB2312" w:eastAsia="仿宋_GB2312"/>
          <w:sz w:val="32"/>
          <w:szCs w:val="24"/>
        </w:rPr>
        <w:t>16</w:t>
      </w:r>
      <w:r>
        <w:rPr>
          <w:rFonts w:hint="eastAsia" w:ascii="仿宋_GB2312" w:hAnsi="仿宋_GB2312" w:eastAsia="仿宋_GB2312"/>
          <w:sz w:val="32"/>
          <w:szCs w:val="24"/>
        </w:rPr>
        <w:t>人，其中：在职人员</w:t>
      </w:r>
      <w:r>
        <w:rPr>
          <w:rFonts w:ascii="仿宋_GB2312" w:hAnsi="仿宋_GB2312" w:eastAsia="仿宋_GB2312"/>
          <w:sz w:val="32"/>
          <w:szCs w:val="24"/>
        </w:rPr>
        <w:t>16</w:t>
      </w:r>
      <w:r>
        <w:rPr>
          <w:rFonts w:hint="eastAsia" w:ascii="仿宋_GB2312" w:hAnsi="仿宋_GB2312" w:eastAsia="仿宋_GB2312"/>
          <w:sz w:val="32"/>
          <w:szCs w:val="24"/>
        </w:rPr>
        <w:t>人，离休人员</w:t>
      </w:r>
      <w:r>
        <w:rPr>
          <w:rFonts w:ascii="仿宋_GB2312" w:hAnsi="仿宋_GB2312" w:eastAsia="仿宋_GB2312"/>
          <w:sz w:val="32"/>
          <w:szCs w:val="24"/>
        </w:rPr>
        <w:t>0</w:t>
      </w:r>
      <w:r>
        <w:rPr>
          <w:rFonts w:hint="eastAsia" w:ascii="仿宋_GB2312" w:hAnsi="仿宋_GB2312" w:eastAsia="仿宋_GB2312"/>
          <w:sz w:val="32"/>
          <w:szCs w:val="24"/>
        </w:rPr>
        <w:t>人，退休人员</w:t>
      </w:r>
      <w:r>
        <w:rPr>
          <w:rFonts w:ascii="仿宋_GB2312" w:hAnsi="仿宋_GB2312" w:eastAsia="仿宋_GB2312"/>
          <w:sz w:val="32"/>
          <w:szCs w:val="24"/>
        </w:rPr>
        <w:t>0</w:t>
      </w:r>
      <w:r>
        <w:rPr>
          <w:rFonts w:hint="eastAsia" w:ascii="仿宋_GB2312" w:hAnsi="仿宋_GB2312" w:eastAsia="仿宋_GB2312"/>
          <w:sz w:val="32"/>
          <w:szCs w:val="24"/>
        </w:rPr>
        <w:t>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从部门决算单位构成看，新疆昌吉玛纳斯县中共直属机关工作委员会部门决算包括：新疆昌吉玛纳斯县中共直属机关工作委员会决算。单位无下属预算单位，下设</w:t>
      </w:r>
      <w:r>
        <w:rPr>
          <w:rFonts w:ascii="仿宋_GB2312" w:hAnsi="仿宋_GB2312" w:eastAsia="仿宋_GB2312"/>
          <w:sz w:val="32"/>
          <w:szCs w:val="24"/>
        </w:rPr>
        <w:t>1</w:t>
      </w:r>
      <w:r>
        <w:rPr>
          <w:rFonts w:hint="eastAsia" w:ascii="仿宋_GB2312" w:hAnsi="仿宋_GB2312" w:eastAsia="仿宋_GB2312"/>
          <w:sz w:val="32"/>
          <w:szCs w:val="24"/>
        </w:rPr>
        <w:t>个处室，分别是：党员干部培训中心。</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第二部分部门决算情况说明</w:t>
      </w:r>
    </w:p>
    <w:p>
      <w:pPr>
        <w:spacing w:line="600" w:lineRule="exact"/>
        <w:ind w:firstLine="640"/>
        <w:jc w:val="left"/>
        <w:rPr>
          <w:rFonts w:ascii="黑体" w:hAnsi="黑体" w:eastAsia="黑体"/>
          <w:sz w:val="32"/>
          <w:szCs w:val="24"/>
        </w:rPr>
      </w:pPr>
      <w:r>
        <w:rPr>
          <w:rFonts w:hint="eastAsia" w:ascii="黑体" w:hAnsi="黑体" w:eastAsia="黑体"/>
          <w:sz w:val="32"/>
          <w:szCs w:val="24"/>
        </w:rPr>
        <w:t>一、收入支出决算总体情况说明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343.46</w:t>
      </w:r>
      <w:r>
        <w:rPr>
          <w:rFonts w:hint="eastAsia" w:ascii="仿宋_GB2312" w:hAnsi="仿宋_GB2312" w:eastAsia="仿宋_GB2312"/>
          <w:sz w:val="32"/>
          <w:szCs w:val="24"/>
        </w:rPr>
        <w:t>万元，与上年相比，减少</w:t>
      </w:r>
      <w:r>
        <w:rPr>
          <w:rFonts w:ascii="仿宋_GB2312" w:hAnsi="仿宋_GB2312" w:eastAsia="仿宋_GB2312"/>
          <w:sz w:val="32"/>
          <w:szCs w:val="24"/>
        </w:rPr>
        <w:t>137.4</w:t>
      </w:r>
      <w:r>
        <w:rPr>
          <w:rFonts w:hint="eastAsia" w:ascii="仿宋_GB2312" w:hAnsi="仿宋_GB2312" w:eastAsia="仿宋_GB2312"/>
          <w:sz w:val="32"/>
          <w:szCs w:val="24"/>
        </w:rPr>
        <w:t>0万元，降低</w:t>
      </w:r>
      <w:r>
        <w:rPr>
          <w:rFonts w:ascii="仿宋_GB2312" w:hAnsi="仿宋_GB2312" w:eastAsia="仿宋_GB2312"/>
          <w:sz w:val="32"/>
          <w:szCs w:val="24"/>
        </w:rPr>
        <w:t>28.57%</w:t>
      </w:r>
      <w:r>
        <w:rPr>
          <w:rFonts w:hint="eastAsia" w:ascii="仿宋_GB2312" w:hAnsi="仿宋_GB2312" w:eastAsia="仿宋_GB2312"/>
          <w:sz w:val="32"/>
          <w:szCs w:val="24"/>
        </w:rPr>
        <w:t>，主要原因是：由于机构改革，督查室解散、编办独立核算，人员减少、工资减少、社保减少、办公经费减少，故人员经费及办公经费收入减少。本年支出</w:t>
      </w:r>
      <w:r>
        <w:rPr>
          <w:rFonts w:ascii="仿宋_GB2312" w:hAnsi="仿宋_GB2312" w:eastAsia="仿宋_GB2312"/>
          <w:sz w:val="32"/>
          <w:szCs w:val="24"/>
        </w:rPr>
        <w:t>343.46</w:t>
      </w:r>
      <w:r>
        <w:rPr>
          <w:rFonts w:hint="eastAsia" w:ascii="仿宋_GB2312" w:hAnsi="仿宋_GB2312" w:eastAsia="仿宋_GB2312"/>
          <w:sz w:val="32"/>
          <w:szCs w:val="24"/>
        </w:rPr>
        <w:t>万元，与上年相比，减少</w:t>
      </w:r>
      <w:r>
        <w:rPr>
          <w:rFonts w:ascii="仿宋_GB2312" w:hAnsi="仿宋_GB2312" w:eastAsia="仿宋_GB2312"/>
          <w:sz w:val="32"/>
          <w:szCs w:val="24"/>
        </w:rPr>
        <w:t>137.4</w:t>
      </w:r>
      <w:r>
        <w:rPr>
          <w:rFonts w:hint="eastAsia" w:ascii="仿宋_GB2312" w:hAnsi="仿宋_GB2312" w:eastAsia="仿宋_GB2312"/>
          <w:sz w:val="32"/>
          <w:szCs w:val="24"/>
        </w:rPr>
        <w:t>0万元，降低</w:t>
      </w:r>
      <w:r>
        <w:rPr>
          <w:rFonts w:ascii="仿宋_GB2312" w:hAnsi="仿宋_GB2312" w:eastAsia="仿宋_GB2312"/>
          <w:sz w:val="32"/>
          <w:szCs w:val="24"/>
        </w:rPr>
        <w:t>28.57%</w:t>
      </w:r>
      <w:r>
        <w:rPr>
          <w:rFonts w:hint="eastAsia" w:ascii="仿宋_GB2312" w:hAnsi="仿宋_GB2312" w:eastAsia="仿宋_GB2312"/>
          <w:sz w:val="32"/>
          <w:szCs w:val="24"/>
        </w:rPr>
        <w:t>，主要原因是：由于机构改革，督查室解散、编办独立核算，人员减少、工资减少、社保减少、办公经费减少，故人员经费及办公经费支出减少。</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二、收入决算情况说明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343.46</w:t>
      </w:r>
      <w:r>
        <w:rPr>
          <w:rFonts w:hint="eastAsia" w:ascii="仿宋_GB2312" w:hAnsi="仿宋_GB2312" w:eastAsia="仿宋_GB2312"/>
          <w:sz w:val="32"/>
          <w:szCs w:val="24"/>
        </w:rPr>
        <w:t>万元，其中：财政拨款收入</w:t>
      </w:r>
      <w:r>
        <w:rPr>
          <w:rFonts w:ascii="仿宋_GB2312" w:hAnsi="仿宋_GB2312" w:eastAsia="仿宋_GB2312"/>
          <w:sz w:val="32"/>
          <w:szCs w:val="24"/>
        </w:rPr>
        <w:t>343.46</w:t>
      </w:r>
      <w:r>
        <w:rPr>
          <w:rFonts w:hint="eastAsia" w:ascii="仿宋_GB2312" w:hAnsi="仿宋_GB2312" w:eastAsia="仿宋_GB2312"/>
          <w:sz w:val="32"/>
          <w:szCs w:val="24"/>
        </w:rPr>
        <w:t>万元，占</w:t>
      </w:r>
      <w:r>
        <w:rPr>
          <w:rFonts w:ascii="仿宋_GB2312" w:hAnsi="仿宋_GB2312" w:eastAsia="仿宋_GB2312"/>
          <w:sz w:val="32"/>
          <w:szCs w:val="24"/>
        </w:rPr>
        <w:t>100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；上级补助收入</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；事业收入</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；经营收入</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；附属单位上缴收入</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；其他收入</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三、支出决算情况说明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年度本年支出</w:t>
      </w:r>
      <w:r>
        <w:rPr>
          <w:rFonts w:ascii="仿宋_GB2312" w:hAnsi="仿宋_GB2312" w:eastAsia="仿宋_GB2312"/>
          <w:sz w:val="32"/>
          <w:szCs w:val="24"/>
        </w:rPr>
        <w:t>343.46</w:t>
      </w:r>
      <w:r>
        <w:rPr>
          <w:rFonts w:hint="eastAsia" w:ascii="仿宋_GB2312" w:hAnsi="仿宋_GB2312" w:eastAsia="仿宋_GB2312"/>
          <w:sz w:val="32"/>
          <w:szCs w:val="24"/>
        </w:rPr>
        <w:t>万元，其中：基本支出</w:t>
      </w:r>
      <w:r>
        <w:rPr>
          <w:rFonts w:ascii="仿宋_GB2312" w:hAnsi="仿宋_GB2312" w:eastAsia="仿宋_GB2312"/>
          <w:sz w:val="32"/>
          <w:szCs w:val="24"/>
        </w:rPr>
        <w:t>231.93</w:t>
      </w:r>
      <w:r>
        <w:rPr>
          <w:rFonts w:hint="eastAsia" w:ascii="仿宋_GB2312" w:hAnsi="仿宋_GB2312" w:eastAsia="仿宋_GB2312"/>
          <w:sz w:val="32"/>
          <w:szCs w:val="24"/>
        </w:rPr>
        <w:t>万元，占</w:t>
      </w:r>
      <w:r>
        <w:rPr>
          <w:rFonts w:ascii="仿宋_GB2312" w:hAnsi="仿宋_GB2312" w:eastAsia="仿宋_GB2312"/>
          <w:sz w:val="32"/>
          <w:szCs w:val="24"/>
        </w:rPr>
        <w:t>67.53%</w:t>
      </w:r>
      <w:r>
        <w:rPr>
          <w:rFonts w:hint="eastAsia" w:ascii="仿宋_GB2312" w:hAnsi="仿宋_GB2312" w:eastAsia="仿宋_GB2312"/>
          <w:sz w:val="32"/>
          <w:szCs w:val="24"/>
        </w:rPr>
        <w:t>；项目支出</w:t>
      </w:r>
      <w:r>
        <w:rPr>
          <w:rFonts w:ascii="仿宋_GB2312" w:hAnsi="仿宋_GB2312" w:eastAsia="仿宋_GB2312"/>
          <w:sz w:val="32"/>
          <w:szCs w:val="24"/>
        </w:rPr>
        <w:t>111.53</w:t>
      </w:r>
      <w:r>
        <w:rPr>
          <w:rFonts w:hint="eastAsia" w:ascii="仿宋_GB2312" w:hAnsi="仿宋_GB2312" w:eastAsia="仿宋_GB2312"/>
          <w:sz w:val="32"/>
          <w:szCs w:val="24"/>
        </w:rPr>
        <w:t>万元，占</w:t>
      </w:r>
      <w:r>
        <w:rPr>
          <w:rFonts w:ascii="仿宋_GB2312" w:hAnsi="仿宋_GB2312" w:eastAsia="仿宋_GB2312"/>
          <w:sz w:val="32"/>
          <w:szCs w:val="24"/>
        </w:rPr>
        <w:t>32.47%</w:t>
      </w:r>
      <w:r>
        <w:rPr>
          <w:rFonts w:hint="eastAsia" w:ascii="仿宋_GB2312" w:hAnsi="仿宋_GB2312" w:eastAsia="仿宋_GB2312"/>
          <w:sz w:val="32"/>
          <w:szCs w:val="24"/>
        </w:rPr>
        <w:t>；上缴上级支出</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；经营支出</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；对附属单位补助支出</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四、财政拨款收入支出决算总体情况说明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年度财政拨款收入</w:t>
      </w:r>
      <w:r>
        <w:rPr>
          <w:rFonts w:ascii="仿宋_GB2312" w:hAnsi="仿宋_GB2312" w:eastAsia="仿宋_GB2312"/>
          <w:sz w:val="32"/>
          <w:szCs w:val="24"/>
        </w:rPr>
        <w:t>343.46</w:t>
      </w:r>
      <w:r>
        <w:rPr>
          <w:rFonts w:hint="eastAsia" w:ascii="仿宋_GB2312" w:hAnsi="仿宋_GB2312" w:eastAsia="仿宋_GB2312"/>
          <w:sz w:val="32"/>
          <w:szCs w:val="24"/>
        </w:rPr>
        <w:t>万元，与上年相比，减少</w:t>
      </w:r>
      <w:r>
        <w:rPr>
          <w:rFonts w:ascii="仿宋_GB2312" w:hAnsi="仿宋_GB2312" w:eastAsia="仿宋_GB2312"/>
          <w:sz w:val="32"/>
          <w:szCs w:val="24"/>
        </w:rPr>
        <w:t>118.88</w:t>
      </w:r>
      <w:r>
        <w:rPr>
          <w:rFonts w:hint="eastAsia" w:ascii="仿宋_GB2312" w:hAnsi="仿宋_GB2312" w:eastAsia="仿宋_GB2312"/>
          <w:sz w:val="32"/>
          <w:szCs w:val="24"/>
        </w:rPr>
        <w:t>万元，降低</w:t>
      </w:r>
      <w:r>
        <w:rPr>
          <w:rFonts w:ascii="仿宋_GB2312" w:hAnsi="仿宋_GB2312" w:eastAsia="仿宋_GB2312"/>
          <w:sz w:val="32"/>
          <w:szCs w:val="24"/>
        </w:rPr>
        <w:t>25.71%</w:t>
      </w:r>
      <w:r>
        <w:rPr>
          <w:rFonts w:hint="eastAsia" w:ascii="仿宋_GB2312" w:hAnsi="仿宋_GB2312" w:eastAsia="仿宋_GB2312"/>
          <w:sz w:val="32"/>
          <w:szCs w:val="24"/>
        </w:rPr>
        <w:t>。主要原因是：由于机构改革，督查室解散、编办独立核算，人员减少的同时工资、社保、办公经费减少，故人员经费及办公经费收入减少。财政拨款支出</w:t>
      </w:r>
      <w:r>
        <w:rPr>
          <w:rFonts w:ascii="仿宋_GB2312" w:hAnsi="仿宋_GB2312" w:eastAsia="仿宋_GB2312"/>
          <w:sz w:val="32"/>
          <w:szCs w:val="24"/>
        </w:rPr>
        <w:t>343.46</w:t>
      </w:r>
      <w:r>
        <w:rPr>
          <w:rFonts w:hint="eastAsia" w:ascii="仿宋_GB2312" w:hAnsi="仿宋_GB2312" w:eastAsia="仿宋_GB2312"/>
          <w:sz w:val="32"/>
          <w:szCs w:val="24"/>
        </w:rPr>
        <w:t>万元，与上年相比，减少</w:t>
      </w:r>
      <w:r>
        <w:rPr>
          <w:rFonts w:ascii="仿宋_GB2312" w:hAnsi="仿宋_GB2312" w:eastAsia="仿宋_GB2312"/>
          <w:sz w:val="32"/>
          <w:szCs w:val="24"/>
        </w:rPr>
        <w:t>118.88</w:t>
      </w:r>
      <w:r>
        <w:rPr>
          <w:rFonts w:hint="eastAsia" w:ascii="仿宋_GB2312" w:hAnsi="仿宋_GB2312" w:eastAsia="仿宋_GB2312"/>
          <w:sz w:val="32"/>
          <w:szCs w:val="24"/>
        </w:rPr>
        <w:t>万元，降低</w:t>
      </w:r>
      <w:r>
        <w:rPr>
          <w:rFonts w:ascii="仿宋_GB2312" w:hAnsi="仿宋_GB2312" w:eastAsia="仿宋_GB2312"/>
          <w:sz w:val="32"/>
          <w:szCs w:val="24"/>
        </w:rPr>
        <w:t>25.71%</w:t>
      </w:r>
      <w:r>
        <w:rPr>
          <w:rFonts w:hint="eastAsia" w:ascii="仿宋_GB2312" w:hAnsi="仿宋_GB2312" w:eastAsia="仿宋_GB2312"/>
          <w:sz w:val="32"/>
          <w:szCs w:val="24"/>
        </w:rPr>
        <w:t>，主要原因是：由于机构改革，督查室解散、编办独立核算，人员减少的同时工资、社保、办公经费减少，故人员经费及办公经费支出减少。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与年初预算数相比情况：财政拨款收入年初预算数</w:t>
      </w:r>
      <w:r>
        <w:rPr>
          <w:rFonts w:ascii="仿宋_GB2312" w:hAnsi="仿宋_GB2312" w:eastAsia="仿宋_GB2312"/>
          <w:sz w:val="32"/>
          <w:szCs w:val="24"/>
        </w:rPr>
        <w:t>233.68</w:t>
      </w:r>
      <w:r>
        <w:rPr>
          <w:rFonts w:hint="eastAsia" w:ascii="仿宋_GB2312" w:hAnsi="仿宋_GB2312" w:eastAsia="仿宋_GB2312"/>
          <w:sz w:val="32"/>
          <w:szCs w:val="24"/>
        </w:rPr>
        <w:t>万元，决算数</w:t>
      </w:r>
      <w:r>
        <w:rPr>
          <w:rFonts w:ascii="仿宋_GB2312" w:hAnsi="仿宋_GB2312" w:eastAsia="仿宋_GB2312"/>
          <w:sz w:val="32"/>
          <w:szCs w:val="24"/>
        </w:rPr>
        <w:t>343.46</w:t>
      </w:r>
      <w:r>
        <w:rPr>
          <w:rFonts w:hint="eastAsia" w:ascii="仿宋_GB2312" w:hAnsi="仿宋_GB2312" w:eastAsia="仿宋_GB2312"/>
          <w:sz w:val="32"/>
          <w:szCs w:val="24"/>
        </w:rPr>
        <w:t>万元，预决算差异率</w:t>
      </w:r>
      <w:r>
        <w:rPr>
          <w:rFonts w:ascii="仿宋_GB2312" w:hAnsi="仿宋_GB2312" w:eastAsia="仿宋_GB2312"/>
          <w:sz w:val="32"/>
          <w:szCs w:val="24"/>
        </w:rPr>
        <w:t>46.9</w:t>
      </w:r>
      <w:r>
        <w:rPr>
          <w:rFonts w:hint="eastAsia" w:ascii="仿宋_GB2312" w:hAnsi="仿宋_GB2312" w:eastAsia="仿宋_GB2312"/>
          <w:sz w:val="32"/>
          <w:szCs w:val="24"/>
        </w:rPr>
        <w:t>8</w:t>
      </w:r>
      <w:r>
        <w:rPr>
          <w:rFonts w:ascii="仿宋_GB2312" w:hAnsi="仿宋_GB2312" w:eastAsia="仿宋_GB2312"/>
          <w:sz w:val="32"/>
          <w:szCs w:val="24"/>
        </w:rPr>
        <w:t>%</w:t>
      </w:r>
      <w:r>
        <w:rPr>
          <w:rFonts w:hint="eastAsia" w:ascii="仿宋_GB2312" w:hAnsi="仿宋_GB2312" w:eastAsia="仿宋_GB2312"/>
          <w:sz w:val="32"/>
          <w:szCs w:val="24"/>
        </w:rPr>
        <w:t>，主要原因是：年初预算数中不包含部分项目经费，因此预决算收入产生差异。财政拨款支出年初预算数</w:t>
      </w:r>
      <w:r>
        <w:rPr>
          <w:rFonts w:ascii="仿宋_GB2312" w:hAnsi="仿宋_GB2312" w:eastAsia="仿宋_GB2312"/>
          <w:sz w:val="32"/>
          <w:szCs w:val="24"/>
        </w:rPr>
        <w:t>233.68</w:t>
      </w:r>
      <w:r>
        <w:rPr>
          <w:rFonts w:hint="eastAsia" w:ascii="仿宋_GB2312" w:hAnsi="仿宋_GB2312" w:eastAsia="仿宋_GB2312"/>
          <w:sz w:val="32"/>
          <w:szCs w:val="24"/>
        </w:rPr>
        <w:t>万元，决算数</w:t>
      </w:r>
      <w:r>
        <w:rPr>
          <w:rFonts w:ascii="仿宋_GB2312" w:hAnsi="仿宋_GB2312" w:eastAsia="仿宋_GB2312"/>
          <w:sz w:val="32"/>
          <w:szCs w:val="24"/>
        </w:rPr>
        <w:t>343.46</w:t>
      </w:r>
      <w:r>
        <w:rPr>
          <w:rFonts w:hint="eastAsia" w:ascii="仿宋_GB2312" w:hAnsi="仿宋_GB2312" w:eastAsia="仿宋_GB2312"/>
          <w:sz w:val="32"/>
          <w:szCs w:val="24"/>
        </w:rPr>
        <w:t>万元，预决算差异率</w:t>
      </w:r>
      <w:r>
        <w:rPr>
          <w:rFonts w:ascii="仿宋_GB2312" w:hAnsi="仿宋_GB2312" w:eastAsia="仿宋_GB2312"/>
          <w:sz w:val="32"/>
          <w:szCs w:val="24"/>
        </w:rPr>
        <w:t>46.9</w:t>
      </w:r>
      <w:r>
        <w:rPr>
          <w:rFonts w:hint="eastAsia" w:ascii="仿宋_GB2312" w:hAnsi="仿宋_GB2312" w:eastAsia="仿宋_GB2312"/>
          <w:sz w:val="32"/>
          <w:szCs w:val="24"/>
        </w:rPr>
        <w:t>8</w:t>
      </w:r>
      <w:r>
        <w:rPr>
          <w:rFonts w:ascii="仿宋_GB2312" w:hAnsi="仿宋_GB2312" w:eastAsia="仿宋_GB2312"/>
          <w:sz w:val="32"/>
          <w:szCs w:val="24"/>
        </w:rPr>
        <w:t>%</w:t>
      </w:r>
      <w:r>
        <w:rPr>
          <w:rFonts w:hint="eastAsia" w:ascii="仿宋_GB2312" w:hAnsi="仿宋_GB2312" w:eastAsia="仿宋_GB2312"/>
          <w:sz w:val="32"/>
          <w:szCs w:val="24"/>
        </w:rPr>
        <w:t>，主要原因是：年初预算数中不包含部分项目经费，因此预决算支出产生差异。</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五、一般公共预算财政拨款支出决算情况说明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年度一般公共预算财政拨款支出</w:t>
      </w:r>
      <w:r>
        <w:rPr>
          <w:rFonts w:ascii="仿宋_GB2312" w:hAnsi="仿宋_GB2312" w:eastAsia="仿宋_GB2312"/>
          <w:sz w:val="32"/>
          <w:szCs w:val="24"/>
        </w:rPr>
        <w:t>343.46</w:t>
      </w:r>
      <w:r>
        <w:rPr>
          <w:rFonts w:hint="eastAsia" w:ascii="仿宋_GB2312" w:hAnsi="仿宋_GB2312" w:eastAsia="仿宋_GB2312"/>
          <w:sz w:val="32"/>
          <w:szCs w:val="24"/>
        </w:rPr>
        <w:t>万元。按功能分类科目项级科目公开，其中：</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2012999</w:t>
      </w:r>
      <w:r>
        <w:rPr>
          <w:rFonts w:hint="eastAsia" w:ascii="仿宋_GB2312" w:hAnsi="仿宋_GB2312" w:eastAsia="仿宋_GB2312"/>
          <w:sz w:val="32"/>
          <w:szCs w:val="24"/>
        </w:rPr>
        <w:t>其他群众团体事务支出</w:t>
      </w:r>
      <w:r>
        <w:rPr>
          <w:rFonts w:ascii="仿宋_GB2312" w:hAnsi="仿宋_GB2312" w:eastAsia="仿宋_GB2312"/>
          <w:sz w:val="32"/>
          <w:szCs w:val="24"/>
        </w:rPr>
        <w:t>101.53</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2013101</w:t>
      </w:r>
      <w:r>
        <w:rPr>
          <w:rFonts w:hint="eastAsia" w:ascii="仿宋_GB2312" w:hAnsi="仿宋_GB2312" w:eastAsia="仿宋_GB2312"/>
          <w:sz w:val="32"/>
          <w:szCs w:val="24"/>
        </w:rPr>
        <w:t>行政运行</w:t>
      </w:r>
      <w:r>
        <w:rPr>
          <w:rFonts w:ascii="仿宋_GB2312" w:hAnsi="仿宋_GB2312" w:eastAsia="仿宋_GB2312"/>
          <w:sz w:val="32"/>
          <w:szCs w:val="24"/>
        </w:rPr>
        <w:t>212.72</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2080505</w:t>
      </w:r>
      <w:r>
        <w:rPr>
          <w:rFonts w:hint="eastAsia" w:ascii="仿宋_GB2312" w:hAnsi="仿宋_GB2312" w:eastAsia="仿宋_GB2312"/>
          <w:sz w:val="32"/>
          <w:szCs w:val="24"/>
        </w:rPr>
        <w:t>机关事业单位基本养老保险缴费支出</w:t>
      </w:r>
      <w:r>
        <w:rPr>
          <w:rFonts w:ascii="仿宋_GB2312" w:hAnsi="仿宋_GB2312" w:eastAsia="仿宋_GB2312"/>
          <w:sz w:val="32"/>
          <w:szCs w:val="24"/>
        </w:rPr>
        <w:t>19.21</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2130199</w:t>
      </w:r>
      <w:r>
        <w:rPr>
          <w:rFonts w:hint="eastAsia" w:ascii="仿宋_GB2312" w:hAnsi="仿宋_GB2312" w:eastAsia="仿宋_GB2312"/>
          <w:sz w:val="32"/>
          <w:szCs w:val="24"/>
        </w:rPr>
        <w:t>其他农业农村支出</w:t>
      </w:r>
      <w:r>
        <w:rPr>
          <w:rFonts w:ascii="仿宋_GB2312" w:hAnsi="仿宋_GB2312" w:eastAsia="仿宋_GB2312"/>
          <w:sz w:val="32"/>
          <w:szCs w:val="24"/>
        </w:rPr>
        <w:t>10</w:t>
      </w:r>
      <w:r>
        <w:rPr>
          <w:rFonts w:hint="eastAsia" w:ascii="仿宋_GB2312" w:hAnsi="仿宋_GB2312" w:eastAsia="仿宋_GB2312"/>
          <w:sz w:val="32"/>
          <w:szCs w:val="24"/>
        </w:rPr>
        <w:t>.00万元。</w:t>
      </w:r>
    </w:p>
    <w:p>
      <w:pPr>
        <w:keepNext/>
        <w:keepLines/>
        <w:ind w:firstLine="643"/>
        <w:rPr>
          <w:rFonts w:ascii="仿宋_GB2312" w:hAnsi="仿宋_GB2312" w:eastAsia="仿宋_GB2312"/>
          <w:b/>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六、一般公共预算财政拨款基本支出决算情况说明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年度一般公共预算财政拨款基本支出</w:t>
      </w:r>
      <w:r>
        <w:rPr>
          <w:rFonts w:ascii="仿宋_GB2312" w:hAnsi="仿宋_GB2312" w:eastAsia="仿宋_GB2312"/>
          <w:sz w:val="32"/>
          <w:szCs w:val="24"/>
        </w:rPr>
        <w:t>231.93</w:t>
      </w:r>
      <w:r>
        <w:rPr>
          <w:rFonts w:hint="eastAsia" w:ascii="仿宋_GB2312" w:hAnsi="仿宋_GB2312" w:eastAsia="仿宋_GB2312"/>
          <w:sz w:val="32"/>
          <w:szCs w:val="24"/>
        </w:rPr>
        <w:t>万元，其中：</w:t>
      </w:r>
    </w:p>
    <w:p>
      <w:pPr>
        <w:spacing w:line="600" w:lineRule="exact"/>
        <w:ind w:firstLine="640"/>
        <w:rPr>
          <w:rFonts w:eastAsia="仿宋_GB2312"/>
          <w:sz w:val="32"/>
          <w:szCs w:val="24"/>
        </w:rPr>
      </w:pPr>
      <w:r>
        <w:rPr>
          <w:rFonts w:hint="eastAsia" w:ascii="仿宋_GB2312" w:hAnsi="仿宋_GB2312" w:eastAsia="仿宋_GB2312"/>
          <w:sz w:val="32"/>
          <w:szCs w:val="24"/>
        </w:rPr>
        <w:t>人员经费</w:t>
      </w:r>
      <w:r>
        <w:rPr>
          <w:rFonts w:ascii="仿宋_GB2312" w:hAnsi="仿宋_GB2312" w:eastAsia="仿宋_GB2312"/>
          <w:sz w:val="32"/>
          <w:szCs w:val="24"/>
        </w:rPr>
        <w:t>221.94</w:t>
      </w:r>
      <w:r>
        <w:rPr>
          <w:rFonts w:hint="eastAsia" w:ascii="仿宋_GB2312" w:hAnsi="仿宋_GB2312" w:eastAsia="仿宋_GB2312"/>
          <w:sz w:val="32"/>
          <w:szCs w:val="24"/>
        </w:rPr>
        <w:t>万元，包括：基本工资、津贴补贴、奖金、机关事业单位基本养老保险缴费、职工基本医疗保险缴费、公务员医疗补助缴费、其他社会保障缴费、住房公积金、退休费、奖励金。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公用经费</w:t>
      </w:r>
      <w:r>
        <w:rPr>
          <w:rFonts w:ascii="仿宋_GB2312" w:hAnsi="仿宋_GB2312" w:eastAsia="仿宋_GB2312"/>
          <w:sz w:val="32"/>
          <w:szCs w:val="24"/>
        </w:rPr>
        <w:t>9.99</w:t>
      </w:r>
      <w:r>
        <w:rPr>
          <w:rFonts w:hint="eastAsia" w:ascii="仿宋_GB2312" w:hAnsi="仿宋_GB2312" w:eastAsia="仿宋_GB2312"/>
          <w:sz w:val="32"/>
          <w:szCs w:val="24"/>
        </w:rPr>
        <w:t>万元，包括：办公费、邮电费、培训费、工会经费、公务用车运行维护费、其他商品和服务支出。</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七、一般公共预算财政拨款“三公”经费支出决算情况说明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年度一般公共预算“三公”经费支出决算</w:t>
      </w:r>
      <w:r>
        <w:rPr>
          <w:rFonts w:ascii="仿宋_GB2312" w:hAnsi="仿宋_GB2312" w:eastAsia="仿宋_GB2312"/>
          <w:sz w:val="32"/>
          <w:szCs w:val="24"/>
        </w:rPr>
        <w:t>2.71</w:t>
      </w:r>
      <w:r>
        <w:rPr>
          <w:rFonts w:hint="eastAsia" w:ascii="仿宋_GB2312" w:hAnsi="仿宋_GB2312" w:eastAsia="仿宋_GB2312"/>
          <w:sz w:val="32"/>
          <w:szCs w:val="24"/>
        </w:rPr>
        <w:t>万元，比上年减少</w:t>
      </w:r>
      <w:r>
        <w:rPr>
          <w:rFonts w:ascii="仿宋_GB2312" w:hAnsi="仿宋_GB2312" w:eastAsia="仿宋_GB2312"/>
          <w:sz w:val="32"/>
          <w:szCs w:val="24"/>
        </w:rPr>
        <w:t>0.62</w:t>
      </w:r>
      <w:r>
        <w:rPr>
          <w:rFonts w:hint="eastAsia" w:ascii="仿宋_GB2312" w:hAnsi="仿宋_GB2312" w:eastAsia="仿宋_GB2312"/>
          <w:sz w:val="32"/>
          <w:szCs w:val="24"/>
        </w:rPr>
        <w:t>万元，降低</w:t>
      </w:r>
      <w:r>
        <w:rPr>
          <w:rFonts w:ascii="仿宋_GB2312" w:hAnsi="仿宋_GB2312" w:eastAsia="仿宋_GB2312"/>
          <w:sz w:val="32"/>
          <w:szCs w:val="24"/>
        </w:rPr>
        <w:t>18.</w:t>
      </w:r>
      <w:r>
        <w:rPr>
          <w:rFonts w:hint="eastAsia" w:ascii="仿宋_GB2312" w:hAnsi="仿宋_GB2312" w:eastAsia="仿宋_GB2312"/>
          <w:sz w:val="32"/>
          <w:szCs w:val="24"/>
        </w:rPr>
        <w:t>6</w:t>
      </w:r>
      <w:r>
        <w:rPr>
          <w:rFonts w:ascii="仿宋_GB2312" w:hAnsi="仿宋_GB2312" w:eastAsia="仿宋_GB2312"/>
          <w:sz w:val="32"/>
          <w:szCs w:val="24"/>
        </w:rPr>
        <w:t>2%</w:t>
      </w:r>
      <w:r>
        <w:rPr>
          <w:rFonts w:hint="eastAsia" w:ascii="仿宋_GB2312" w:hAnsi="仿宋_GB2312" w:eastAsia="仿宋_GB2312"/>
          <w:sz w:val="32"/>
          <w:szCs w:val="24"/>
        </w:rPr>
        <w:t>，主要原因是本年编办和督查室划分出去，人员及车辆一并划分，使得本年的车辆减少，车辆加油费、维修费减少，同时压缩“三公”经费开支，本年未发生接待费用</w:t>
      </w:r>
      <w:r>
        <w:rPr>
          <w:rFonts w:hint="eastAsia" w:ascii="仿宋_GB2312" w:hAnsi="仿宋_GB2312" w:eastAsia="仿宋_GB2312"/>
          <w:sz w:val="32"/>
          <w:szCs w:val="24"/>
          <w:lang w:val="en-US" w:eastAsia="zh-CN"/>
        </w:rPr>
        <w:t>支出</w:t>
      </w:r>
      <w:r>
        <w:rPr>
          <w:rFonts w:hint="eastAsia" w:ascii="仿宋_GB2312" w:hAnsi="仿宋_GB2312" w:eastAsia="仿宋_GB2312"/>
          <w:sz w:val="32"/>
          <w:szCs w:val="24"/>
        </w:rPr>
        <w:t>。其中，因公出国（境）费支出</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，比上年增加</w:t>
      </w:r>
      <w:r>
        <w:rPr>
          <w:rFonts w:ascii="仿宋_GB2312" w:hAnsi="仿宋_GB2312" w:eastAsia="仿宋_GB2312"/>
          <w:sz w:val="32"/>
          <w:szCs w:val="24"/>
        </w:rPr>
        <w:t>0</w:t>
      </w:r>
      <w:r>
        <w:rPr>
          <w:rFonts w:hint="eastAsia" w:ascii="仿宋_GB2312" w:hAnsi="仿宋_GB2312" w:eastAsia="仿宋_GB2312"/>
          <w:sz w:val="32"/>
          <w:szCs w:val="24"/>
        </w:rPr>
        <w:t>.00万元，增长</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年单位无因公出国（境）费支出，与上年相比无变化；公务用车购置及运行维护费支出</w:t>
      </w:r>
      <w:r>
        <w:rPr>
          <w:rFonts w:ascii="仿宋_GB2312" w:hAnsi="仿宋_GB2312" w:eastAsia="仿宋_GB2312"/>
          <w:sz w:val="32"/>
          <w:szCs w:val="24"/>
        </w:rPr>
        <w:t>2.71</w:t>
      </w:r>
      <w:r>
        <w:rPr>
          <w:rFonts w:hint="eastAsia" w:ascii="仿宋_GB2312" w:hAnsi="仿宋_GB2312" w:eastAsia="仿宋_GB2312"/>
          <w:sz w:val="32"/>
          <w:szCs w:val="24"/>
        </w:rPr>
        <w:t>万元，占</w:t>
      </w:r>
      <w:r>
        <w:rPr>
          <w:rFonts w:ascii="仿宋_GB2312" w:hAnsi="仿宋_GB2312" w:eastAsia="仿宋_GB2312"/>
          <w:sz w:val="32"/>
          <w:szCs w:val="24"/>
        </w:rPr>
        <w:t>100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，比上年减少</w:t>
      </w:r>
      <w:r>
        <w:rPr>
          <w:rFonts w:ascii="仿宋_GB2312" w:hAnsi="仿宋_GB2312" w:eastAsia="仿宋_GB2312"/>
          <w:sz w:val="32"/>
          <w:szCs w:val="24"/>
        </w:rPr>
        <w:t>0.12</w:t>
      </w:r>
      <w:r>
        <w:rPr>
          <w:rFonts w:hint="eastAsia" w:ascii="仿宋_GB2312" w:hAnsi="仿宋_GB2312" w:eastAsia="仿宋_GB2312"/>
          <w:sz w:val="32"/>
          <w:szCs w:val="24"/>
        </w:rPr>
        <w:t>万元，降低</w:t>
      </w:r>
      <w:r>
        <w:rPr>
          <w:rFonts w:ascii="仿宋_GB2312" w:hAnsi="仿宋_GB2312" w:eastAsia="仿宋_GB2312"/>
          <w:sz w:val="32"/>
          <w:szCs w:val="24"/>
        </w:rPr>
        <w:t>4.</w:t>
      </w:r>
      <w:r>
        <w:rPr>
          <w:rFonts w:hint="eastAsia" w:ascii="仿宋_GB2312" w:hAnsi="仿宋_GB2312" w:eastAsia="仿宋_GB2312"/>
          <w:sz w:val="32"/>
          <w:szCs w:val="24"/>
        </w:rPr>
        <w:t>24</w:t>
      </w:r>
      <w:r>
        <w:rPr>
          <w:rFonts w:ascii="仿宋_GB2312" w:hAnsi="仿宋_GB2312" w:eastAsia="仿宋_GB2312"/>
          <w:sz w:val="32"/>
          <w:szCs w:val="24"/>
        </w:rPr>
        <w:t>%</w:t>
      </w:r>
      <w:r>
        <w:rPr>
          <w:rFonts w:hint="eastAsia" w:ascii="仿宋_GB2312" w:hAnsi="仿宋_GB2312" w:eastAsia="仿宋_GB2312"/>
          <w:sz w:val="32"/>
          <w:szCs w:val="24"/>
        </w:rPr>
        <w:t>，主要原因是本年编办和督查室划分出去，人员及车辆一并划分，使得本年的车辆减少，车辆加油费、维修费减少；公务接待费支出</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，比上年减少</w:t>
      </w:r>
      <w:r>
        <w:rPr>
          <w:rFonts w:ascii="仿宋_GB2312" w:hAnsi="仿宋_GB2312" w:eastAsia="仿宋_GB2312"/>
          <w:sz w:val="32"/>
          <w:szCs w:val="24"/>
        </w:rPr>
        <w:t>0.5</w:t>
      </w:r>
      <w:r>
        <w:rPr>
          <w:rFonts w:hint="eastAsia" w:ascii="仿宋_GB2312" w:hAnsi="仿宋_GB2312" w:eastAsia="仿宋_GB2312"/>
          <w:sz w:val="32"/>
          <w:szCs w:val="24"/>
        </w:rPr>
        <w:t>0万元，降低</w:t>
      </w:r>
      <w:r>
        <w:rPr>
          <w:rFonts w:ascii="仿宋_GB2312" w:hAnsi="仿宋_GB2312" w:eastAsia="仿宋_GB2312"/>
          <w:sz w:val="32"/>
          <w:szCs w:val="24"/>
        </w:rPr>
        <w:t>100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，主要原因是本年未产生接待费用。具体情况如下：</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因公出国（境）费支出</w:t>
      </w:r>
      <w:r>
        <w:rPr>
          <w:rFonts w:ascii="仿宋_GB2312" w:hAnsi="仿宋_GB2312" w:eastAsia="仿宋_GB2312"/>
          <w:sz w:val="32"/>
          <w:szCs w:val="24"/>
        </w:rPr>
        <w:t>0</w:t>
      </w:r>
      <w:r>
        <w:rPr>
          <w:rFonts w:hint="eastAsia" w:ascii="仿宋_GB2312" w:hAnsi="仿宋_GB2312" w:eastAsia="仿宋_GB2312"/>
          <w:sz w:val="32"/>
          <w:szCs w:val="24"/>
        </w:rPr>
        <w:t>.00万元，开支内容包括：无因公出国（境）费支出。单位全年安排的因公出国（境）团组</w:t>
      </w:r>
      <w:r>
        <w:rPr>
          <w:rFonts w:ascii="仿宋_GB2312" w:hAnsi="仿宋_GB2312" w:eastAsia="仿宋_GB2312"/>
          <w:sz w:val="32"/>
          <w:szCs w:val="24"/>
        </w:rPr>
        <w:t>0</w:t>
      </w:r>
      <w:r>
        <w:rPr>
          <w:rFonts w:hint="eastAsia" w:ascii="仿宋_GB2312" w:hAnsi="仿宋_GB2312" w:eastAsia="仿宋_GB2312"/>
          <w:sz w:val="32"/>
          <w:szCs w:val="24"/>
        </w:rPr>
        <w:t>个，因公出国（境）</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公务用车购置及运行维护费</w:t>
      </w:r>
      <w:r>
        <w:rPr>
          <w:rFonts w:ascii="仿宋_GB2312" w:hAnsi="仿宋_GB2312" w:eastAsia="仿宋_GB2312"/>
          <w:sz w:val="32"/>
          <w:szCs w:val="24"/>
        </w:rPr>
        <w:t>2.71</w:t>
      </w:r>
      <w:r>
        <w:rPr>
          <w:rFonts w:hint="eastAsia" w:ascii="仿宋_GB2312" w:hAnsi="仿宋_GB2312" w:eastAsia="仿宋_GB2312"/>
          <w:sz w:val="32"/>
          <w:szCs w:val="24"/>
        </w:rPr>
        <w:t>万元，其中，公务用车购置费</w:t>
      </w:r>
      <w:r>
        <w:rPr>
          <w:rFonts w:ascii="仿宋_GB2312" w:hAnsi="仿宋_GB2312" w:eastAsia="仿宋_GB2312"/>
          <w:sz w:val="32"/>
          <w:szCs w:val="24"/>
        </w:rPr>
        <w:t>0</w:t>
      </w:r>
      <w:r>
        <w:rPr>
          <w:rFonts w:hint="eastAsia" w:ascii="仿宋_GB2312" w:hAnsi="仿宋_GB2312" w:eastAsia="仿宋_GB2312"/>
          <w:sz w:val="32"/>
          <w:szCs w:val="24"/>
        </w:rPr>
        <w:t>.00万元，公务用车运行维护费</w:t>
      </w:r>
      <w:r>
        <w:rPr>
          <w:rFonts w:ascii="仿宋_GB2312" w:hAnsi="仿宋_GB2312" w:eastAsia="仿宋_GB2312"/>
          <w:sz w:val="32"/>
          <w:szCs w:val="24"/>
        </w:rPr>
        <w:t>2.71</w:t>
      </w:r>
      <w:r>
        <w:rPr>
          <w:rFonts w:hint="eastAsia" w:ascii="仿宋_GB2312" w:hAnsi="仿宋_GB2312" w:eastAsia="仿宋_GB2312"/>
          <w:sz w:val="32"/>
          <w:szCs w:val="24"/>
        </w:rPr>
        <w:t>万元。公务用车运行维护费开支内容包括车辆油料费、保险费、维修费。公务用车购置数</w:t>
      </w:r>
      <w:r>
        <w:rPr>
          <w:rFonts w:ascii="仿宋_GB2312" w:hAnsi="仿宋_GB2312" w:eastAsia="仿宋_GB2312"/>
          <w:sz w:val="32"/>
          <w:szCs w:val="24"/>
        </w:rPr>
        <w:t>0</w:t>
      </w:r>
      <w:r>
        <w:rPr>
          <w:rFonts w:hint="eastAsia" w:ascii="仿宋_GB2312" w:hAnsi="仿宋_GB2312" w:eastAsia="仿宋_GB2312"/>
          <w:sz w:val="32"/>
          <w:szCs w:val="24"/>
        </w:rPr>
        <w:t>辆，公务用车保有量</w:t>
      </w:r>
      <w:r>
        <w:rPr>
          <w:rFonts w:ascii="仿宋_GB2312" w:hAnsi="仿宋_GB2312" w:eastAsia="仿宋_GB2312"/>
          <w:sz w:val="32"/>
          <w:szCs w:val="24"/>
        </w:rPr>
        <w:t>3</w:t>
      </w:r>
      <w:r>
        <w:rPr>
          <w:rFonts w:hint="eastAsia" w:ascii="仿宋_GB2312" w:hAnsi="仿宋_GB2312" w:eastAsia="仿宋_GB2312"/>
          <w:sz w:val="32"/>
          <w:szCs w:val="24"/>
        </w:rPr>
        <w:t>辆。</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公务接待费</w:t>
      </w:r>
      <w:r>
        <w:rPr>
          <w:rFonts w:ascii="仿宋_GB2312" w:hAnsi="仿宋_GB2312" w:eastAsia="仿宋_GB2312"/>
          <w:sz w:val="32"/>
          <w:szCs w:val="24"/>
        </w:rPr>
        <w:t>0</w:t>
      </w:r>
      <w:r>
        <w:rPr>
          <w:rFonts w:hint="eastAsia" w:ascii="仿宋_GB2312" w:hAnsi="仿宋_GB2312" w:eastAsia="仿宋_GB2312"/>
          <w:sz w:val="32"/>
          <w:szCs w:val="24"/>
        </w:rPr>
        <w:t>.00万元，开支内容包括未发生接待费</w:t>
      </w:r>
      <w:r>
        <w:rPr>
          <w:rFonts w:hint="eastAsia" w:ascii="仿宋_GB2312" w:hAnsi="仿宋_GB2312" w:eastAsia="仿宋_GB2312"/>
          <w:sz w:val="32"/>
          <w:szCs w:val="24"/>
          <w:lang w:val="en-US" w:eastAsia="zh-CN"/>
        </w:rPr>
        <w:t>支出</w:t>
      </w:r>
      <w:r>
        <w:rPr>
          <w:rFonts w:hint="eastAsia" w:ascii="仿宋_GB2312" w:hAnsi="仿宋_GB2312" w:eastAsia="仿宋_GB2312"/>
          <w:sz w:val="32"/>
          <w:szCs w:val="24"/>
        </w:rPr>
        <w:t>。单位全年安排的国内公务接待</w:t>
      </w:r>
      <w:r>
        <w:rPr>
          <w:rFonts w:ascii="仿宋_GB2312" w:hAnsi="仿宋_GB2312" w:eastAsia="仿宋_GB2312"/>
          <w:sz w:val="32"/>
          <w:szCs w:val="24"/>
        </w:rPr>
        <w:t>0</w:t>
      </w:r>
      <w:r>
        <w:rPr>
          <w:rFonts w:hint="eastAsia" w:ascii="仿宋_GB2312" w:hAnsi="仿宋_GB2312" w:eastAsia="仿宋_GB2312"/>
          <w:sz w:val="32"/>
          <w:szCs w:val="24"/>
        </w:rPr>
        <w:t>批次，</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与年初预算数相比情况：一般公共预算“三公”经费支出年初预算数</w:t>
      </w:r>
      <w:r>
        <w:rPr>
          <w:rFonts w:ascii="仿宋_GB2312" w:hAnsi="仿宋_GB2312" w:eastAsia="仿宋_GB2312"/>
          <w:sz w:val="32"/>
          <w:szCs w:val="24"/>
        </w:rPr>
        <w:t>4.77</w:t>
      </w:r>
      <w:r>
        <w:rPr>
          <w:rFonts w:hint="eastAsia" w:ascii="仿宋_GB2312" w:hAnsi="仿宋_GB2312" w:eastAsia="仿宋_GB2312"/>
          <w:sz w:val="32"/>
          <w:szCs w:val="24"/>
        </w:rPr>
        <w:t>万元，决算数</w:t>
      </w:r>
      <w:r>
        <w:rPr>
          <w:rFonts w:ascii="仿宋_GB2312" w:hAnsi="仿宋_GB2312" w:eastAsia="仿宋_GB2312"/>
          <w:sz w:val="32"/>
          <w:szCs w:val="24"/>
        </w:rPr>
        <w:t>2.71</w:t>
      </w:r>
      <w:r>
        <w:rPr>
          <w:rFonts w:hint="eastAsia" w:ascii="仿宋_GB2312" w:hAnsi="仿宋_GB2312" w:eastAsia="仿宋_GB2312"/>
          <w:sz w:val="32"/>
          <w:szCs w:val="24"/>
        </w:rPr>
        <w:t>万元，预决算差异率</w:t>
      </w:r>
      <w:r>
        <w:rPr>
          <w:rFonts w:ascii="仿宋_GB2312" w:hAnsi="仿宋_GB2312" w:eastAsia="仿宋_GB2312"/>
          <w:sz w:val="32"/>
          <w:szCs w:val="24"/>
        </w:rPr>
        <w:t>-43.</w:t>
      </w:r>
      <w:r>
        <w:rPr>
          <w:rFonts w:hint="eastAsia" w:ascii="仿宋_GB2312" w:hAnsi="仿宋_GB2312" w:eastAsia="仿宋_GB2312"/>
          <w:sz w:val="32"/>
          <w:szCs w:val="24"/>
        </w:rPr>
        <w:t>19</w:t>
      </w:r>
      <w:r>
        <w:rPr>
          <w:rFonts w:ascii="仿宋_GB2312" w:hAnsi="仿宋_GB2312" w:eastAsia="仿宋_GB2312"/>
          <w:sz w:val="32"/>
          <w:szCs w:val="24"/>
        </w:rPr>
        <w:t>%</w:t>
      </w:r>
      <w:r>
        <w:rPr>
          <w:rFonts w:hint="eastAsia" w:ascii="仿宋_GB2312" w:hAnsi="仿宋_GB2312" w:eastAsia="仿宋_GB2312"/>
          <w:sz w:val="32"/>
          <w:szCs w:val="24"/>
        </w:rPr>
        <w:t>，主要原因是：编办和督查室划分出去，人员及车辆一并划分，使得本年的车辆减少，车辆加油费、维修费减少；本年未发生接待费支出。其中：因公出国（境）费预算数</w:t>
      </w:r>
      <w:r>
        <w:rPr>
          <w:rFonts w:ascii="仿宋_GB2312" w:hAnsi="仿宋_GB2312" w:eastAsia="仿宋_GB2312"/>
          <w:sz w:val="32"/>
          <w:szCs w:val="24"/>
        </w:rPr>
        <w:t>0</w:t>
      </w:r>
      <w:r>
        <w:rPr>
          <w:rFonts w:hint="eastAsia" w:ascii="仿宋_GB2312" w:hAnsi="仿宋_GB2312" w:eastAsia="仿宋_GB2312"/>
          <w:sz w:val="32"/>
          <w:szCs w:val="24"/>
        </w:rPr>
        <w:t>.00万元，决算数</w:t>
      </w:r>
      <w:r>
        <w:rPr>
          <w:rFonts w:ascii="仿宋_GB2312" w:hAnsi="仿宋_GB2312" w:eastAsia="仿宋_GB2312"/>
          <w:sz w:val="32"/>
          <w:szCs w:val="24"/>
        </w:rPr>
        <w:t>0</w:t>
      </w:r>
      <w:r>
        <w:rPr>
          <w:rFonts w:hint="eastAsia" w:ascii="仿宋_GB2312" w:hAnsi="仿宋_GB2312" w:eastAsia="仿宋_GB2312"/>
          <w:sz w:val="32"/>
          <w:szCs w:val="24"/>
        </w:rPr>
        <w:t>.00万元，预决算差异率</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年未安排因公出国（境）费预算；公务用车购置费预算数</w:t>
      </w:r>
      <w:r>
        <w:rPr>
          <w:rFonts w:ascii="仿宋_GB2312" w:hAnsi="仿宋_GB2312" w:eastAsia="仿宋_GB2312"/>
          <w:sz w:val="32"/>
          <w:szCs w:val="24"/>
        </w:rPr>
        <w:t>0</w:t>
      </w:r>
      <w:r>
        <w:rPr>
          <w:rFonts w:hint="eastAsia" w:ascii="仿宋_GB2312" w:hAnsi="仿宋_GB2312" w:eastAsia="仿宋_GB2312"/>
          <w:sz w:val="32"/>
          <w:szCs w:val="24"/>
        </w:rPr>
        <w:t>.00万元，决算数</w:t>
      </w:r>
      <w:r>
        <w:rPr>
          <w:rFonts w:ascii="仿宋_GB2312" w:hAnsi="仿宋_GB2312" w:eastAsia="仿宋_GB2312"/>
          <w:sz w:val="32"/>
          <w:szCs w:val="24"/>
        </w:rPr>
        <w:t>0</w:t>
      </w:r>
      <w:r>
        <w:rPr>
          <w:rFonts w:hint="eastAsia" w:ascii="仿宋_GB2312" w:hAnsi="仿宋_GB2312" w:eastAsia="仿宋_GB2312"/>
          <w:sz w:val="32"/>
          <w:szCs w:val="24"/>
        </w:rPr>
        <w:t>.00万元，预决算差异率</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年未安排公务用车购置费预算；公务用车运行费预算数</w:t>
      </w:r>
      <w:r>
        <w:rPr>
          <w:rFonts w:ascii="仿宋_GB2312" w:hAnsi="仿宋_GB2312" w:eastAsia="仿宋_GB2312"/>
          <w:sz w:val="32"/>
          <w:szCs w:val="24"/>
        </w:rPr>
        <w:t>4.67</w:t>
      </w:r>
      <w:r>
        <w:rPr>
          <w:rFonts w:hint="eastAsia" w:ascii="仿宋_GB2312" w:hAnsi="仿宋_GB2312" w:eastAsia="仿宋_GB2312"/>
          <w:sz w:val="32"/>
          <w:szCs w:val="24"/>
        </w:rPr>
        <w:t>万元，决算数</w:t>
      </w:r>
      <w:r>
        <w:rPr>
          <w:rFonts w:ascii="仿宋_GB2312" w:hAnsi="仿宋_GB2312" w:eastAsia="仿宋_GB2312"/>
          <w:sz w:val="32"/>
          <w:szCs w:val="24"/>
        </w:rPr>
        <w:t>2.71</w:t>
      </w:r>
      <w:r>
        <w:rPr>
          <w:rFonts w:hint="eastAsia" w:ascii="仿宋_GB2312" w:hAnsi="仿宋_GB2312" w:eastAsia="仿宋_GB2312"/>
          <w:sz w:val="32"/>
          <w:szCs w:val="24"/>
        </w:rPr>
        <w:t>万元，预决算差异率</w:t>
      </w:r>
      <w:r>
        <w:rPr>
          <w:rFonts w:ascii="仿宋_GB2312" w:hAnsi="仿宋_GB2312" w:eastAsia="仿宋_GB2312"/>
          <w:sz w:val="32"/>
          <w:szCs w:val="24"/>
        </w:rPr>
        <w:t>-41.9</w:t>
      </w:r>
      <w:r>
        <w:rPr>
          <w:rFonts w:hint="eastAsia" w:ascii="仿宋_GB2312" w:hAnsi="仿宋_GB2312" w:eastAsia="仿宋_GB2312"/>
          <w:sz w:val="32"/>
          <w:szCs w:val="24"/>
        </w:rPr>
        <w:t>7</w:t>
      </w:r>
      <w:r>
        <w:rPr>
          <w:rFonts w:ascii="仿宋_GB2312" w:hAnsi="仿宋_GB2312" w:eastAsia="仿宋_GB2312"/>
          <w:sz w:val="32"/>
          <w:szCs w:val="24"/>
        </w:rPr>
        <w:t>%</w:t>
      </w:r>
      <w:r>
        <w:rPr>
          <w:rFonts w:hint="eastAsia" w:ascii="仿宋_GB2312" w:hAnsi="仿宋_GB2312" w:eastAsia="仿宋_GB2312"/>
          <w:sz w:val="32"/>
          <w:szCs w:val="24"/>
        </w:rPr>
        <w:t>，主要原因是：编办和督查室划分出去，人员及车辆一并划分，使得本年的车辆减少，车辆加油费、维修费支出减少；公务接待费预算数</w:t>
      </w:r>
      <w:r>
        <w:rPr>
          <w:rFonts w:ascii="仿宋_GB2312" w:hAnsi="仿宋_GB2312" w:eastAsia="仿宋_GB2312"/>
          <w:sz w:val="32"/>
          <w:szCs w:val="24"/>
        </w:rPr>
        <w:t>0.1</w:t>
      </w:r>
      <w:r>
        <w:rPr>
          <w:rFonts w:hint="eastAsia" w:ascii="仿宋_GB2312" w:hAnsi="仿宋_GB2312" w:eastAsia="仿宋_GB2312"/>
          <w:sz w:val="32"/>
          <w:szCs w:val="24"/>
        </w:rPr>
        <w:t>0万元，决算数</w:t>
      </w:r>
      <w:r>
        <w:rPr>
          <w:rFonts w:ascii="仿宋_GB2312" w:hAnsi="仿宋_GB2312" w:eastAsia="仿宋_GB2312"/>
          <w:sz w:val="32"/>
          <w:szCs w:val="24"/>
        </w:rPr>
        <w:t>0</w:t>
      </w:r>
      <w:r>
        <w:rPr>
          <w:rFonts w:hint="eastAsia" w:ascii="仿宋_GB2312" w:hAnsi="仿宋_GB2312" w:eastAsia="仿宋_GB2312"/>
          <w:sz w:val="32"/>
          <w:szCs w:val="24"/>
        </w:rPr>
        <w:t>.00万元，预决算差异率</w:t>
      </w:r>
      <w:r>
        <w:rPr>
          <w:rFonts w:ascii="仿宋_GB2312" w:hAnsi="仿宋_GB2312" w:eastAsia="仿宋_GB2312"/>
          <w:sz w:val="32"/>
          <w:szCs w:val="24"/>
        </w:rPr>
        <w:t>-100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，主要原因是：本年未发生公务接待费支出。</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八、政府性基金预算财政拨款收入支出决算情况说明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我单位本年度无政府性基金预算财政拨款收入支出，政府性基金预算财政拨款收入支出决算表为空表。</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九、国有资本经营预算财政拨款收入支出决算情况说明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我单位本年度无国有资本经营预算财政拨款收入支出，国有资本经营预算财政拨款收入支出决算表为空表。</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十、其他重要事项的情况说明</w:t>
      </w:r>
    </w:p>
    <w:p>
      <w:pPr>
        <w:keepNext/>
        <w:keepLines/>
        <w:ind w:firstLine="640"/>
        <w:rPr>
          <w:rFonts w:ascii="黑体" w:hAnsi="黑体" w:eastAsia="黑体"/>
          <w:sz w:val="32"/>
          <w:szCs w:val="24"/>
        </w:rPr>
      </w:pPr>
      <w:r>
        <w:rPr>
          <w:rFonts w:hint="eastAsia" w:ascii="黑体" w:hAnsi="黑体" w:eastAsia="黑体"/>
          <w:sz w:val="32"/>
          <w:szCs w:val="24"/>
        </w:rPr>
        <w:t>（一）机关运行经费支出情况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年度新疆昌吉玛纳斯县中共直属机关工作委员会（行政单位和参照公务员法管理事业单位）机关运行经费支出</w:t>
      </w:r>
      <w:r>
        <w:rPr>
          <w:rFonts w:ascii="仿宋_GB2312" w:hAnsi="仿宋_GB2312" w:eastAsia="仿宋_GB2312"/>
          <w:sz w:val="32"/>
          <w:szCs w:val="24"/>
        </w:rPr>
        <w:t>9.99</w:t>
      </w:r>
      <w:r>
        <w:rPr>
          <w:rFonts w:hint="eastAsia" w:ascii="仿宋_GB2312" w:hAnsi="仿宋_GB2312" w:eastAsia="仿宋_GB2312"/>
          <w:sz w:val="32"/>
          <w:szCs w:val="24"/>
        </w:rPr>
        <w:t>万元，比上年减少</w:t>
      </w:r>
      <w:r>
        <w:rPr>
          <w:rFonts w:ascii="仿宋_GB2312" w:hAnsi="仿宋_GB2312" w:eastAsia="仿宋_GB2312"/>
          <w:sz w:val="32"/>
          <w:szCs w:val="24"/>
        </w:rPr>
        <w:t>8.73</w:t>
      </w:r>
      <w:r>
        <w:rPr>
          <w:rFonts w:hint="eastAsia" w:ascii="仿宋_GB2312" w:hAnsi="仿宋_GB2312" w:eastAsia="仿宋_GB2312"/>
          <w:sz w:val="32"/>
          <w:szCs w:val="24"/>
        </w:rPr>
        <w:t>万元，降低</w:t>
      </w:r>
      <w:r>
        <w:rPr>
          <w:rFonts w:ascii="仿宋_GB2312" w:hAnsi="仿宋_GB2312" w:eastAsia="仿宋_GB2312"/>
          <w:sz w:val="32"/>
          <w:szCs w:val="24"/>
        </w:rPr>
        <w:t>46.6</w:t>
      </w:r>
      <w:r>
        <w:rPr>
          <w:rFonts w:hint="eastAsia" w:ascii="仿宋_GB2312" w:hAnsi="仿宋_GB2312" w:eastAsia="仿宋_GB2312"/>
          <w:sz w:val="32"/>
          <w:szCs w:val="24"/>
        </w:rPr>
        <w:t>3</w:t>
      </w:r>
      <w:r>
        <w:rPr>
          <w:rFonts w:ascii="仿宋_GB2312" w:hAnsi="仿宋_GB2312" w:eastAsia="仿宋_GB2312"/>
          <w:sz w:val="32"/>
          <w:szCs w:val="24"/>
        </w:rPr>
        <w:t>%</w:t>
      </w:r>
      <w:r>
        <w:rPr>
          <w:rFonts w:hint="eastAsia" w:ascii="仿宋_GB2312" w:hAnsi="仿宋_GB2312" w:eastAsia="仿宋_GB2312"/>
          <w:sz w:val="32"/>
          <w:szCs w:val="24"/>
        </w:rPr>
        <w:t>，主要</w:t>
      </w:r>
      <w:r>
        <w:rPr>
          <w:rFonts w:hint="eastAsia" w:ascii="仿宋_GB2312" w:hAnsi="仿宋_GB2312" w:eastAsia="仿宋_GB2312"/>
          <w:sz w:val="32"/>
          <w:szCs w:val="24"/>
          <w:lang w:eastAsia="zh-CN"/>
        </w:rPr>
        <w:t>原因是</w:t>
      </w:r>
      <w:r>
        <w:rPr>
          <w:rFonts w:hint="eastAsia" w:ascii="仿宋_GB2312" w:hAnsi="仿宋_GB2312" w:eastAsia="仿宋_GB2312"/>
          <w:sz w:val="32"/>
          <w:szCs w:val="24"/>
        </w:rPr>
        <w:t>督查室解散，编办独立核算，人员减少</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相应的办公经费减少。</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（二）政府采购情况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年度政府采购支出总额</w:t>
      </w:r>
      <w:r>
        <w:rPr>
          <w:rFonts w:ascii="仿宋_GB2312" w:hAnsi="仿宋_GB2312" w:eastAsia="仿宋_GB2312"/>
          <w:sz w:val="32"/>
          <w:szCs w:val="24"/>
        </w:rPr>
        <w:t>0</w:t>
      </w:r>
      <w:r>
        <w:rPr>
          <w:rFonts w:hint="eastAsia" w:ascii="仿宋_GB2312" w:hAnsi="仿宋_GB2312" w:eastAsia="仿宋_GB2312"/>
          <w:sz w:val="32"/>
          <w:szCs w:val="24"/>
        </w:rPr>
        <w:t>.00万元，其中：政府采购货物支出</w:t>
      </w:r>
      <w:r>
        <w:rPr>
          <w:rFonts w:ascii="仿宋_GB2312" w:hAnsi="仿宋_GB2312" w:eastAsia="仿宋_GB2312"/>
          <w:sz w:val="32"/>
          <w:szCs w:val="24"/>
        </w:rPr>
        <w:t>0</w:t>
      </w:r>
      <w:r>
        <w:rPr>
          <w:rFonts w:hint="eastAsia" w:ascii="仿宋_GB2312" w:hAnsi="仿宋_GB2312" w:eastAsia="仿宋_GB2312"/>
          <w:sz w:val="32"/>
          <w:szCs w:val="24"/>
        </w:rPr>
        <w:t>.00万元、政府采购工程支出</w:t>
      </w:r>
      <w:r>
        <w:rPr>
          <w:rFonts w:ascii="仿宋_GB2312" w:hAnsi="仿宋_GB2312" w:eastAsia="仿宋_GB2312"/>
          <w:sz w:val="32"/>
          <w:szCs w:val="24"/>
        </w:rPr>
        <w:t>0</w:t>
      </w:r>
      <w:r>
        <w:rPr>
          <w:rFonts w:hint="eastAsia" w:ascii="仿宋_GB2312" w:hAnsi="仿宋_GB2312" w:eastAsia="仿宋_GB2312"/>
          <w:sz w:val="32"/>
          <w:szCs w:val="24"/>
        </w:rPr>
        <w:t>.00万元、政府采购服务支出</w:t>
      </w:r>
      <w:r>
        <w:rPr>
          <w:rFonts w:ascii="仿宋_GB2312" w:hAnsi="仿宋_GB2312" w:eastAsia="仿宋_GB2312"/>
          <w:sz w:val="32"/>
          <w:szCs w:val="24"/>
        </w:rPr>
        <w:t>0</w:t>
      </w:r>
      <w:r>
        <w:rPr>
          <w:rFonts w:hint="eastAsia" w:ascii="仿宋_GB2312" w:hAnsi="仿宋_GB2312" w:eastAsia="仿宋_GB2312"/>
          <w:sz w:val="32"/>
          <w:szCs w:val="24"/>
        </w:rPr>
        <w:t>.00万元。</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授予中小企业合同金额</w:t>
      </w:r>
      <w:r>
        <w:rPr>
          <w:rFonts w:ascii="仿宋_GB2312" w:hAnsi="仿宋_GB2312" w:eastAsia="仿宋_GB2312"/>
          <w:sz w:val="32"/>
          <w:szCs w:val="24"/>
        </w:rPr>
        <w:t>0</w:t>
      </w:r>
      <w:r>
        <w:rPr>
          <w:rFonts w:hint="eastAsia" w:ascii="仿宋_GB2312" w:hAnsi="仿宋_GB2312" w:eastAsia="仿宋_GB2312"/>
          <w:sz w:val="32"/>
          <w:szCs w:val="24"/>
        </w:rPr>
        <w:t>.00万元，占政府采购支出总额的</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，其中：授予小微企业合同金额</w:t>
      </w:r>
      <w:r>
        <w:rPr>
          <w:rFonts w:ascii="仿宋_GB2312" w:hAnsi="仿宋_GB2312" w:eastAsia="仿宋_GB2312"/>
          <w:sz w:val="32"/>
          <w:szCs w:val="24"/>
        </w:rPr>
        <w:t>0</w:t>
      </w:r>
      <w:r>
        <w:rPr>
          <w:rFonts w:hint="eastAsia" w:ascii="仿宋_GB2312" w:hAnsi="仿宋_GB2312" w:eastAsia="仿宋_GB2312"/>
          <w:sz w:val="32"/>
          <w:szCs w:val="24"/>
        </w:rPr>
        <w:t>.00万元，占政府采购支出总额的</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（三）国有资产占用情况说明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截止</w:t>
      </w:r>
      <w:r>
        <w:rPr>
          <w:rFonts w:ascii="仿宋_GB2312" w:hAnsi="仿宋_GB2312" w:eastAsia="仿宋_GB2312"/>
          <w:sz w:val="32"/>
          <w:szCs w:val="24"/>
        </w:rPr>
        <w:t>2020</w:t>
      </w:r>
      <w:r>
        <w:rPr>
          <w:rFonts w:hint="eastAsia" w:ascii="仿宋_GB2312" w:hAnsi="仿宋_GB2312" w:eastAsia="仿宋_GB2312"/>
          <w:sz w:val="32"/>
          <w:szCs w:val="24"/>
        </w:rPr>
        <w:t>年</w:t>
      </w:r>
      <w:r>
        <w:rPr>
          <w:rFonts w:ascii="仿宋_GB2312" w:hAnsi="仿宋_GB2312" w:eastAsia="仿宋_GB2312"/>
          <w:sz w:val="32"/>
          <w:szCs w:val="24"/>
        </w:rPr>
        <w:t>12</w:t>
      </w:r>
      <w:r>
        <w:rPr>
          <w:rFonts w:hint="eastAsia" w:ascii="仿宋_GB2312" w:hAnsi="仿宋_GB2312" w:eastAsia="仿宋_GB2312"/>
          <w:sz w:val="32"/>
          <w:szCs w:val="24"/>
        </w:rPr>
        <w:t>月</w:t>
      </w:r>
      <w:r>
        <w:rPr>
          <w:rFonts w:ascii="仿宋_GB2312" w:hAnsi="仿宋_GB2312" w:eastAsia="仿宋_GB2312"/>
          <w:sz w:val="32"/>
          <w:szCs w:val="24"/>
        </w:rPr>
        <w:t>31</w:t>
      </w:r>
      <w:r>
        <w:rPr>
          <w:rFonts w:hint="eastAsia" w:ascii="仿宋_GB2312" w:hAnsi="仿宋_GB2312" w:eastAsia="仿宋_GB2312"/>
          <w:sz w:val="32"/>
          <w:szCs w:val="24"/>
        </w:rPr>
        <w:t>日，单位共有房屋</w:t>
      </w:r>
      <w:r>
        <w:rPr>
          <w:rFonts w:ascii="仿宋_GB2312" w:hAnsi="仿宋_GB2312" w:eastAsia="仿宋_GB2312"/>
          <w:sz w:val="32"/>
          <w:szCs w:val="24"/>
        </w:rPr>
        <w:t>0</w:t>
      </w:r>
      <w:r>
        <w:rPr>
          <w:rFonts w:hint="eastAsia" w:ascii="仿宋_GB2312" w:hAnsi="仿宋_GB2312" w:eastAsia="仿宋_GB2312"/>
          <w:sz w:val="32"/>
          <w:szCs w:val="24"/>
        </w:rPr>
        <w:t>.00（平方米），价值</w:t>
      </w:r>
      <w:r>
        <w:rPr>
          <w:rFonts w:ascii="仿宋_GB2312" w:hAnsi="仿宋_GB2312" w:eastAsia="仿宋_GB2312"/>
          <w:sz w:val="32"/>
          <w:szCs w:val="24"/>
        </w:rPr>
        <w:t>0</w:t>
      </w:r>
      <w:r>
        <w:rPr>
          <w:rFonts w:hint="eastAsia" w:ascii="仿宋_GB2312" w:hAnsi="仿宋_GB2312" w:eastAsia="仿宋_GB2312"/>
          <w:sz w:val="32"/>
          <w:szCs w:val="24"/>
        </w:rPr>
        <w:t>.00万元。车辆</w:t>
      </w:r>
      <w:r>
        <w:rPr>
          <w:rFonts w:ascii="仿宋_GB2312" w:hAnsi="仿宋_GB2312" w:eastAsia="仿宋_GB2312"/>
          <w:sz w:val="32"/>
          <w:szCs w:val="24"/>
        </w:rPr>
        <w:t>2</w:t>
      </w:r>
      <w:r>
        <w:rPr>
          <w:rFonts w:hint="eastAsia" w:ascii="仿宋_GB2312" w:hAnsi="仿宋_GB2312" w:eastAsia="仿宋_GB2312"/>
          <w:sz w:val="32"/>
          <w:szCs w:val="24"/>
        </w:rPr>
        <w:t>辆，价值</w:t>
      </w:r>
      <w:r>
        <w:rPr>
          <w:rFonts w:ascii="仿宋_GB2312" w:hAnsi="仿宋_GB2312" w:eastAsia="仿宋_GB2312"/>
          <w:sz w:val="32"/>
          <w:szCs w:val="24"/>
        </w:rPr>
        <w:t>36.19</w:t>
      </w:r>
      <w:r>
        <w:rPr>
          <w:rFonts w:hint="eastAsia" w:ascii="仿宋_GB2312" w:hAnsi="仿宋_GB2312" w:eastAsia="仿宋_GB2312"/>
          <w:sz w:val="32"/>
          <w:szCs w:val="24"/>
        </w:rPr>
        <w:t>万元，其中：副部（省）级及以上领导用车</w:t>
      </w:r>
      <w:r>
        <w:rPr>
          <w:rFonts w:ascii="仿宋_GB2312" w:hAnsi="仿宋_GB2312" w:eastAsia="仿宋_GB2312"/>
          <w:sz w:val="32"/>
          <w:szCs w:val="24"/>
        </w:rPr>
        <w:t>0</w:t>
      </w:r>
      <w:r>
        <w:rPr>
          <w:rFonts w:hint="eastAsia" w:ascii="仿宋_GB2312" w:hAnsi="仿宋_GB2312" w:eastAsia="仿宋_GB2312"/>
          <w:sz w:val="32"/>
          <w:szCs w:val="24"/>
        </w:rPr>
        <w:t>辆、主要领导干部用车</w:t>
      </w:r>
      <w:r>
        <w:rPr>
          <w:rFonts w:ascii="仿宋_GB2312" w:hAnsi="仿宋_GB2312" w:eastAsia="仿宋_GB2312"/>
          <w:sz w:val="32"/>
          <w:szCs w:val="24"/>
        </w:rPr>
        <w:t>0</w:t>
      </w:r>
      <w:r>
        <w:rPr>
          <w:rFonts w:hint="eastAsia" w:ascii="仿宋_GB2312" w:hAnsi="仿宋_GB2312" w:eastAsia="仿宋_GB2312"/>
          <w:sz w:val="32"/>
          <w:szCs w:val="24"/>
        </w:rPr>
        <w:t>辆、机要通信用车</w:t>
      </w:r>
      <w:r>
        <w:rPr>
          <w:rFonts w:ascii="仿宋_GB2312" w:hAnsi="仿宋_GB2312" w:eastAsia="仿宋_GB2312"/>
          <w:sz w:val="32"/>
          <w:szCs w:val="24"/>
        </w:rPr>
        <w:t>0</w:t>
      </w:r>
      <w:r>
        <w:rPr>
          <w:rFonts w:hint="eastAsia" w:ascii="仿宋_GB2312" w:hAnsi="仿宋_GB2312" w:eastAsia="仿宋_GB2312"/>
          <w:sz w:val="32"/>
          <w:szCs w:val="24"/>
        </w:rPr>
        <w:t>辆、应急保障用车</w:t>
      </w:r>
      <w:r>
        <w:rPr>
          <w:rFonts w:ascii="仿宋_GB2312" w:hAnsi="仿宋_GB2312" w:eastAsia="仿宋_GB2312"/>
          <w:sz w:val="32"/>
          <w:szCs w:val="24"/>
        </w:rPr>
        <w:t>0</w:t>
      </w:r>
      <w:r>
        <w:rPr>
          <w:rFonts w:hint="eastAsia" w:ascii="仿宋_GB2312" w:hAnsi="仿宋_GB2312" w:eastAsia="仿宋_GB2312"/>
          <w:sz w:val="32"/>
          <w:szCs w:val="24"/>
        </w:rPr>
        <w:t>辆、执法执勤用车</w:t>
      </w:r>
      <w:r>
        <w:rPr>
          <w:rFonts w:ascii="仿宋_GB2312" w:hAnsi="仿宋_GB2312" w:eastAsia="仿宋_GB2312"/>
          <w:sz w:val="32"/>
          <w:szCs w:val="24"/>
        </w:rPr>
        <w:t>0</w:t>
      </w:r>
      <w:r>
        <w:rPr>
          <w:rFonts w:hint="eastAsia" w:ascii="仿宋_GB2312" w:hAnsi="仿宋_GB2312" w:eastAsia="仿宋_GB2312"/>
          <w:sz w:val="32"/>
          <w:szCs w:val="24"/>
        </w:rPr>
        <w:t>辆、特种专业技术用车</w:t>
      </w:r>
      <w:r>
        <w:rPr>
          <w:rFonts w:ascii="仿宋_GB2312" w:hAnsi="仿宋_GB2312" w:eastAsia="仿宋_GB2312"/>
          <w:sz w:val="32"/>
          <w:szCs w:val="24"/>
        </w:rPr>
        <w:t>0</w:t>
      </w:r>
      <w:r>
        <w:rPr>
          <w:rFonts w:hint="eastAsia" w:ascii="仿宋_GB2312" w:hAnsi="仿宋_GB2312" w:eastAsia="仿宋_GB2312"/>
          <w:sz w:val="32"/>
          <w:szCs w:val="24"/>
        </w:rPr>
        <w:t>辆、离退休干部用车</w:t>
      </w:r>
      <w:r>
        <w:rPr>
          <w:rFonts w:ascii="仿宋_GB2312" w:hAnsi="仿宋_GB2312" w:eastAsia="仿宋_GB2312"/>
          <w:sz w:val="32"/>
          <w:szCs w:val="24"/>
        </w:rPr>
        <w:t>0</w:t>
      </w:r>
      <w:r>
        <w:rPr>
          <w:rFonts w:hint="eastAsia" w:ascii="仿宋_GB2312" w:hAnsi="仿宋_GB2312" w:eastAsia="仿宋_GB2312"/>
          <w:sz w:val="32"/>
          <w:szCs w:val="24"/>
        </w:rPr>
        <w:t>辆、其他用车</w:t>
      </w:r>
      <w:r>
        <w:rPr>
          <w:rFonts w:ascii="仿宋_GB2312" w:hAnsi="仿宋_GB2312" w:eastAsia="仿宋_GB2312"/>
          <w:sz w:val="32"/>
          <w:szCs w:val="24"/>
        </w:rPr>
        <w:t>2</w:t>
      </w:r>
      <w:r>
        <w:rPr>
          <w:rFonts w:hint="eastAsia" w:ascii="仿宋_GB2312" w:hAnsi="仿宋_GB2312" w:eastAsia="仿宋_GB2312"/>
          <w:sz w:val="32"/>
          <w:szCs w:val="24"/>
        </w:rPr>
        <w:t>辆，其他用车主要是：督查室和编办各</w:t>
      </w:r>
      <w:r>
        <w:rPr>
          <w:rFonts w:ascii="仿宋_GB2312" w:hAnsi="仿宋_GB2312" w:eastAsia="仿宋_GB2312"/>
          <w:sz w:val="32"/>
          <w:szCs w:val="24"/>
        </w:rPr>
        <w:t>1</w:t>
      </w:r>
      <w:r>
        <w:rPr>
          <w:rFonts w:hint="eastAsia" w:ascii="仿宋_GB2312" w:hAnsi="仿宋_GB2312" w:eastAsia="仿宋_GB2312"/>
          <w:sz w:val="32"/>
          <w:szCs w:val="24"/>
        </w:rPr>
        <w:t>辆业务用车（车辆手续未及时转出，还在资产平台）；单位价值</w:t>
      </w:r>
      <w:r>
        <w:rPr>
          <w:rFonts w:ascii="仿宋_GB2312" w:hAnsi="仿宋_GB2312" w:eastAsia="仿宋_GB2312"/>
          <w:sz w:val="32"/>
          <w:szCs w:val="24"/>
        </w:rPr>
        <w:t>50</w:t>
      </w:r>
      <w:r>
        <w:rPr>
          <w:rFonts w:hint="eastAsia" w:ascii="仿宋_GB2312" w:hAnsi="仿宋_GB2312" w:eastAsia="仿宋_GB2312"/>
          <w:sz w:val="32"/>
          <w:szCs w:val="24"/>
        </w:rPr>
        <w:t>万元以上通用设备</w:t>
      </w:r>
      <w:r>
        <w:rPr>
          <w:rFonts w:ascii="仿宋_GB2312" w:hAnsi="仿宋_GB2312" w:eastAsia="仿宋_GB2312"/>
          <w:sz w:val="32"/>
          <w:szCs w:val="24"/>
        </w:rPr>
        <w:t>0</w:t>
      </w:r>
      <w:r>
        <w:rPr>
          <w:rFonts w:hint="eastAsia" w:ascii="仿宋_GB2312" w:hAnsi="仿宋_GB2312" w:eastAsia="仿宋_GB2312"/>
          <w:sz w:val="32"/>
          <w:szCs w:val="24"/>
        </w:rPr>
        <w:t>台（套）、单位价值</w:t>
      </w:r>
      <w:r>
        <w:rPr>
          <w:rFonts w:ascii="仿宋_GB2312" w:hAnsi="仿宋_GB2312" w:eastAsia="仿宋_GB2312"/>
          <w:sz w:val="32"/>
          <w:szCs w:val="24"/>
        </w:rPr>
        <w:t>100</w:t>
      </w:r>
      <w:r>
        <w:rPr>
          <w:rFonts w:hint="eastAsia" w:ascii="仿宋_GB2312" w:hAnsi="仿宋_GB2312" w:eastAsia="仿宋_GB2312"/>
          <w:sz w:val="32"/>
          <w:szCs w:val="24"/>
        </w:rPr>
        <w:t>万元以上专用设备</w:t>
      </w:r>
      <w:r>
        <w:rPr>
          <w:rFonts w:ascii="仿宋_GB2312" w:hAnsi="仿宋_GB2312" w:eastAsia="仿宋_GB2312"/>
          <w:sz w:val="32"/>
          <w:szCs w:val="24"/>
        </w:rPr>
        <w:t>0</w:t>
      </w:r>
      <w:r>
        <w:rPr>
          <w:rFonts w:hint="eastAsia" w:ascii="仿宋_GB2312" w:hAnsi="仿宋_GB2312" w:eastAsia="仿宋_GB2312"/>
          <w:sz w:val="32"/>
          <w:szCs w:val="24"/>
        </w:rPr>
        <w:t>台（套）。</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sz w:val="32"/>
          <w:szCs w:val="24"/>
        </w:rPr>
        <w:t>十一、预算绩效的情况说明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根据预算绩效管理要求，我单位2020年度开展预算绩效评价项目2个，共涉及资金111.52万元。预算绩效管理取得的成效：一是引导和鼓励高校毕业生到基层工作，树立正确的就业观，为他们搭建到西部、到基层、到祖国和人民最需要的地方干事创业的通道和平台；鼓励和引导东、中部大学生到西部基层工作生活，促进优秀人才的区域流动，助力扶贫工程，以西部计划志愿者为载体推动校地共建，引导高校资源参与到我县脱贫攻坚工作中；二是整治人居环境，打造巾帼美丽家园。发现的问题及原因：一是无；二是无。下一步改进措施：一是无；二是无。具体项目自评情况附项目支出绩效自评表。</w:t>
      </w:r>
    </w:p>
    <w:p>
      <w:pPr>
        <w:jc w:val="center"/>
        <w:rPr>
          <w:rFonts w:ascii="Arial" w:hAnsi="Arial" w:cs="Arial"/>
          <w:b/>
          <w:bCs/>
          <w:sz w:val="36"/>
          <w:szCs w:val="36"/>
        </w:rPr>
      </w:pPr>
    </w:p>
    <w:p>
      <w:r>
        <w:br w:type="page"/>
      </w:r>
    </w:p>
    <w:tbl>
      <w:tblPr>
        <w:tblStyle w:val="4"/>
        <w:tblW w:w="9285" w:type="dxa"/>
        <w:tblInd w:w="0" w:type="dxa"/>
        <w:tblLayout w:type="fixed"/>
        <w:tblCellMar>
          <w:top w:w="0" w:type="dxa"/>
          <w:left w:w="108" w:type="dxa"/>
          <w:bottom w:w="0" w:type="dxa"/>
          <w:right w:w="108" w:type="dxa"/>
        </w:tblCellMar>
      </w:tblPr>
      <w:tblGrid>
        <w:gridCol w:w="578"/>
        <w:gridCol w:w="477"/>
        <w:gridCol w:w="834"/>
        <w:gridCol w:w="834"/>
        <w:gridCol w:w="921"/>
        <w:gridCol w:w="286"/>
        <w:gridCol w:w="1044"/>
        <w:gridCol w:w="1266"/>
        <w:gridCol w:w="598"/>
        <w:gridCol w:w="592"/>
        <w:gridCol w:w="156"/>
        <w:gridCol w:w="678"/>
        <w:gridCol w:w="1021"/>
      </w:tblGrid>
      <w:tr>
        <w:tblPrEx>
          <w:tblLayout w:type="fixed"/>
          <w:tblCellMar>
            <w:top w:w="0" w:type="dxa"/>
            <w:left w:w="108" w:type="dxa"/>
            <w:bottom w:w="0" w:type="dxa"/>
            <w:right w:w="108" w:type="dxa"/>
          </w:tblCellMar>
        </w:tblPrEx>
        <w:trPr>
          <w:trHeight w:val="310" w:hRule="atLeast"/>
        </w:trPr>
        <w:tc>
          <w:tcPr>
            <w:tcW w:w="9285" w:type="dxa"/>
            <w:gridSpan w:val="13"/>
            <w:tcBorders>
              <w:top w:val="nil"/>
              <w:left w:val="nil"/>
              <w:bottom w:val="nil"/>
              <w:right w:val="nil"/>
            </w:tcBorders>
            <w:shd w:val="clear" w:color="auto" w:fill="auto"/>
            <w:vAlign w:val="center"/>
          </w:tcPr>
          <w:p>
            <w:pPr>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tblPrEx>
          <w:tblLayout w:type="fixed"/>
          <w:tblCellMar>
            <w:top w:w="0" w:type="dxa"/>
            <w:left w:w="108" w:type="dxa"/>
            <w:bottom w:w="0" w:type="dxa"/>
            <w:right w:w="108" w:type="dxa"/>
          </w:tblCellMar>
        </w:tblPrEx>
        <w:trPr>
          <w:trHeight w:val="308" w:hRule="atLeast"/>
        </w:trPr>
        <w:tc>
          <w:tcPr>
            <w:tcW w:w="9285" w:type="dxa"/>
            <w:gridSpan w:val="13"/>
            <w:tcBorders>
              <w:top w:val="nil"/>
              <w:left w:val="nil"/>
              <w:bottom w:val="nil"/>
              <w:right w:val="nil"/>
            </w:tcBorders>
            <w:shd w:val="clear" w:color="auto" w:fill="auto"/>
            <w:vAlign w:val="center"/>
          </w:tcPr>
          <w:p>
            <w:pPr>
              <w:jc w:val="center"/>
              <w:rPr>
                <w:rFonts w:ascii="宋体" w:hAnsi="宋体" w:cs="宋体"/>
                <w:color w:val="000000"/>
                <w:kern w:val="0"/>
                <w:sz w:val="22"/>
                <w:szCs w:val="22"/>
              </w:rPr>
            </w:pPr>
            <w:r>
              <w:rPr>
                <w:rFonts w:hint="eastAsia" w:ascii="宋体" w:hAnsi="宋体" w:cs="宋体"/>
                <w:color w:val="000000"/>
                <w:kern w:val="0"/>
                <w:sz w:val="22"/>
                <w:szCs w:val="22"/>
              </w:rPr>
              <w:t>（2020年度）</w:t>
            </w:r>
          </w:p>
        </w:tc>
      </w:tr>
      <w:tr>
        <w:tblPrEx>
          <w:tblLayout w:type="fixed"/>
          <w:tblCellMar>
            <w:top w:w="0" w:type="dxa"/>
            <w:left w:w="108" w:type="dxa"/>
            <w:bottom w:w="0" w:type="dxa"/>
            <w:right w:w="108" w:type="dxa"/>
          </w:tblCellMar>
        </w:tblPrEx>
        <w:trPr>
          <w:trHeight w:val="242" w:hRule="atLeast"/>
        </w:trPr>
        <w:tc>
          <w:tcPr>
            <w:tcW w:w="10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项目名称</w:t>
            </w:r>
          </w:p>
        </w:tc>
        <w:tc>
          <w:tcPr>
            <w:tcW w:w="8230" w:type="dxa"/>
            <w:gridSpan w:val="11"/>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2020年度大学生志愿服务西部计划专项经费</w:t>
            </w:r>
          </w:p>
        </w:tc>
      </w:tr>
      <w:tr>
        <w:tblPrEx>
          <w:tblLayout w:type="fixed"/>
          <w:tblCellMar>
            <w:top w:w="0" w:type="dxa"/>
            <w:left w:w="108" w:type="dxa"/>
            <w:bottom w:w="0" w:type="dxa"/>
            <w:right w:w="108" w:type="dxa"/>
          </w:tblCellMar>
        </w:tblPrEx>
        <w:trPr>
          <w:trHeight w:val="242" w:hRule="atLeast"/>
        </w:trPr>
        <w:tc>
          <w:tcPr>
            <w:tcW w:w="10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主管部门</w:t>
            </w:r>
          </w:p>
        </w:tc>
        <w:tc>
          <w:tcPr>
            <w:tcW w:w="3919"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中共玛纳斯县直属机关工作委员会</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实施单位</w:t>
            </w:r>
          </w:p>
        </w:tc>
        <w:tc>
          <w:tcPr>
            <w:tcW w:w="3045"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共青团玛纳斯县委员会</w:t>
            </w:r>
          </w:p>
        </w:tc>
      </w:tr>
      <w:tr>
        <w:tblPrEx>
          <w:tblLayout w:type="fixed"/>
          <w:tblCellMar>
            <w:top w:w="0" w:type="dxa"/>
            <w:left w:w="108" w:type="dxa"/>
            <w:bottom w:w="0" w:type="dxa"/>
            <w:right w:w="108" w:type="dxa"/>
          </w:tblCellMar>
        </w:tblPrEx>
        <w:trPr>
          <w:trHeight w:val="242" w:hRule="atLeast"/>
        </w:trPr>
        <w:tc>
          <w:tcPr>
            <w:tcW w:w="1055"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项目资金       （万元）</w:t>
            </w:r>
          </w:p>
        </w:tc>
        <w:tc>
          <w:tcPr>
            <w:tcW w:w="166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92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年初预算数</w:t>
            </w:r>
          </w:p>
        </w:tc>
        <w:tc>
          <w:tcPr>
            <w:tcW w:w="133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全年预算数</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全年执行数</w:t>
            </w:r>
          </w:p>
        </w:tc>
        <w:tc>
          <w:tcPr>
            <w:tcW w:w="119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分值</w:t>
            </w:r>
          </w:p>
        </w:tc>
        <w:tc>
          <w:tcPr>
            <w:tcW w:w="834"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执行率</w:t>
            </w:r>
          </w:p>
        </w:tc>
        <w:tc>
          <w:tcPr>
            <w:tcW w:w="102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得分</w:t>
            </w:r>
          </w:p>
        </w:tc>
      </w:tr>
      <w:tr>
        <w:tblPrEx>
          <w:tblLayout w:type="fixed"/>
          <w:tblCellMar>
            <w:top w:w="0" w:type="dxa"/>
            <w:left w:w="108" w:type="dxa"/>
            <w:bottom w:w="0" w:type="dxa"/>
            <w:right w:w="108" w:type="dxa"/>
          </w:tblCellMar>
        </w:tblPrEx>
        <w:trPr>
          <w:trHeight w:val="242" w:hRule="atLeast"/>
        </w:trPr>
        <w:tc>
          <w:tcPr>
            <w:tcW w:w="1055"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hAnsi="宋体" w:cs="宋体"/>
                <w:color w:val="000000"/>
                <w:kern w:val="0"/>
                <w:sz w:val="16"/>
                <w:szCs w:val="16"/>
              </w:rPr>
            </w:pPr>
          </w:p>
        </w:tc>
        <w:tc>
          <w:tcPr>
            <w:tcW w:w="1668" w:type="dxa"/>
            <w:gridSpan w:val="2"/>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kern w:val="0"/>
                <w:sz w:val="16"/>
                <w:szCs w:val="16"/>
              </w:rPr>
            </w:pPr>
            <w:r>
              <w:rPr>
                <w:rFonts w:hint="eastAsia" w:ascii="宋体" w:hAnsi="宋体" w:cs="宋体"/>
                <w:color w:val="000000"/>
                <w:kern w:val="0"/>
                <w:sz w:val="16"/>
                <w:szCs w:val="16"/>
              </w:rPr>
              <w:t>年度资金总额</w:t>
            </w:r>
          </w:p>
        </w:tc>
        <w:tc>
          <w:tcPr>
            <w:tcW w:w="92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101.52</w:t>
            </w:r>
          </w:p>
        </w:tc>
        <w:tc>
          <w:tcPr>
            <w:tcW w:w="133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101.52</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101.52</w:t>
            </w:r>
          </w:p>
        </w:tc>
        <w:tc>
          <w:tcPr>
            <w:tcW w:w="119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834"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100.00%</w:t>
            </w:r>
          </w:p>
        </w:tc>
        <w:tc>
          <w:tcPr>
            <w:tcW w:w="102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r>
      <w:tr>
        <w:tblPrEx>
          <w:tblLayout w:type="fixed"/>
          <w:tblCellMar>
            <w:top w:w="0" w:type="dxa"/>
            <w:left w:w="108" w:type="dxa"/>
            <w:bottom w:w="0" w:type="dxa"/>
            <w:right w:w="108" w:type="dxa"/>
          </w:tblCellMar>
        </w:tblPrEx>
        <w:trPr>
          <w:trHeight w:val="242" w:hRule="atLeast"/>
        </w:trPr>
        <w:tc>
          <w:tcPr>
            <w:tcW w:w="1055"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hAnsi="宋体" w:cs="宋体"/>
                <w:color w:val="000000"/>
                <w:kern w:val="0"/>
                <w:sz w:val="16"/>
                <w:szCs w:val="16"/>
              </w:rPr>
            </w:pPr>
          </w:p>
        </w:tc>
        <w:tc>
          <w:tcPr>
            <w:tcW w:w="166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其中：当年财政拨款</w:t>
            </w:r>
          </w:p>
        </w:tc>
        <w:tc>
          <w:tcPr>
            <w:tcW w:w="92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101.52</w:t>
            </w:r>
          </w:p>
        </w:tc>
        <w:tc>
          <w:tcPr>
            <w:tcW w:w="133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101.52</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101.52</w:t>
            </w:r>
          </w:p>
        </w:tc>
        <w:tc>
          <w:tcPr>
            <w:tcW w:w="119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c>
          <w:tcPr>
            <w:tcW w:w="834"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100.00%</w:t>
            </w:r>
          </w:p>
        </w:tc>
        <w:tc>
          <w:tcPr>
            <w:tcW w:w="102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42" w:hRule="atLeast"/>
        </w:trPr>
        <w:tc>
          <w:tcPr>
            <w:tcW w:w="1055"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hAnsi="宋体" w:cs="宋体"/>
                <w:color w:val="000000"/>
                <w:kern w:val="0"/>
                <w:sz w:val="16"/>
                <w:szCs w:val="16"/>
              </w:rPr>
            </w:pPr>
          </w:p>
        </w:tc>
        <w:tc>
          <w:tcPr>
            <w:tcW w:w="166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xml:space="preserve">     上年结转资金</w:t>
            </w:r>
          </w:p>
        </w:tc>
        <w:tc>
          <w:tcPr>
            <w:tcW w:w="92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33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19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c>
          <w:tcPr>
            <w:tcW w:w="834"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02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42" w:hRule="atLeast"/>
        </w:trPr>
        <w:tc>
          <w:tcPr>
            <w:tcW w:w="1055"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hAnsi="宋体" w:cs="宋体"/>
                <w:color w:val="000000"/>
                <w:kern w:val="0"/>
                <w:sz w:val="16"/>
                <w:szCs w:val="16"/>
              </w:rPr>
            </w:pPr>
          </w:p>
        </w:tc>
        <w:tc>
          <w:tcPr>
            <w:tcW w:w="166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xml:space="preserve">  其他资金</w:t>
            </w:r>
          </w:p>
        </w:tc>
        <w:tc>
          <w:tcPr>
            <w:tcW w:w="92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33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19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c>
          <w:tcPr>
            <w:tcW w:w="834"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02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242" w:hRule="atLeast"/>
        </w:trPr>
        <w:tc>
          <w:tcPr>
            <w:tcW w:w="578"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年度总体目标</w:t>
            </w:r>
          </w:p>
        </w:tc>
        <w:tc>
          <w:tcPr>
            <w:tcW w:w="4396"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预期目标</w:t>
            </w:r>
          </w:p>
        </w:tc>
        <w:tc>
          <w:tcPr>
            <w:tcW w:w="4311"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实际完成情况</w:t>
            </w:r>
          </w:p>
        </w:tc>
      </w:tr>
      <w:tr>
        <w:tblPrEx>
          <w:tblLayout w:type="fixed"/>
          <w:tblCellMar>
            <w:top w:w="0" w:type="dxa"/>
            <w:left w:w="108" w:type="dxa"/>
            <w:bottom w:w="0" w:type="dxa"/>
            <w:right w:w="108" w:type="dxa"/>
          </w:tblCellMar>
        </w:tblPrEx>
        <w:trPr>
          <w:trHeight w:val="586" w:hRule="atLeast"/>
        </w:trPr>
        <w:tc>
          <w:tcPr>
            <w:tcW w:w="578"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4396" w:type="dxa"/>
            <w:gridSpan w:val="6"/>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发放大学生志愿服务西部计划新疆专项志愿者工作生活补贴，为志愿者更好的在玛纳斯开展志愿服务提供有力保障，促进我县教育、卫生、文化、农技等事业的发展，持续为实现新疆社会稳定和长治久安总目标贡献力量。</w:t>
            </w:r>
          </w:p>
        </w:tc>
        <w:tc>
          <w:tcPr>
            <w:tcW w:w="4311" w:type="dxa"/>
            <w:gridSpan w:val="6"/>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严格按标准发放志愿者12个月的工作生活补贴、艰苦地区津贴以及交通补贴。</w:t>
            </w:r>
          </w:p>
        </w:tc>
      </w:tr>
      <w:tr>
        <w:tblPrEx>
          <w:tblLayout w:type="fixed"/>
          <w:tblCellMar>
            <w:top w:w="0" w:type="dxa"/>
            <w:left w:w="108" w:type="dxa"/>
            <w:bottom w:w="0" w:type="dxa"/>
            <w:right w:w="108" w:type="dxa"/>
          </w:tblCellMar>
        </w:tblPrEx>
        <w:trPr>
          <w:trHeight w:val="242" w:hRule="atLeast"/>
        </w:trPr>
        <w:tc>
          <w:tcPr>
            <w:tcW w:w="578" w:type="dxa"/>
            <w:vMerge w:val="restart"/>
            <w:tcBorders>
              <w:top w:val="nil"/>
              <w:left w:val="single" w:color="auto" w:sz="4" w:space="0"/>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绩              效    指    标</w:t>
            </w:r>
          </w:p>
        </w:tc>
        <w:tc>
          <w:tcPr>
            <w:tcW w:w="477"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一级指标</w:t>
            </w:r>
          </w:p>
        </w:tc>
        <w:tc>
          <w:tcPr>
            <w:tcW w:w="834"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二级指标</w:t>
            </w:r>
          </w:p>
        </w:tc>
        <w:tc>
          <w:tcPr>
            <w:tcW w:w="2041"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三级指标</w:t>
            </w:r>
          </w:p>
        </w:tc>
        <w:tc>
          <w:tcPr>
            <w:tcW w:w="104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年度</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实际</w:t>
            </w:r>
          </w:p>
        </w:tc>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分值</w:t>
            </w:r>
          </w:p>
        </w:tc>
        <w:tc>
          <w:tcPr>
            <w:tcW w:w="74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得分</w:t>
            </w:r>
          </w:p>
        </w:tc>
        <w:tc>
          <w:tcPr>
            <w:tcW w:w="169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偏差原因分析及改进措施</w:t>
            </w:r>
          </w:p>
        </w:tc>
      </w:tr>
      <w:tr>
        <w:tblPrEx>
          <w:tblLayout w:type="fixed"/>
          <w:tblCellMar>
            <w:top w:w="0" w:type="dxa"/>
            <w:left w:w="108" w:type="dxa"/>
            <w:bottom w:w="0" w:type="dxa"/>
            <w:right w:w="108" w:type="dxa"/>
          </w:tblCellMar>
        </w:tblPrEx>
        <w:trPr>
          <w:trHeight w:val="242" w:hRule="atLeast"/>
        </w:trPr>
        <w:tc>
          <w:tcPr>
            <w:tcW w:w="578"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77"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834"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2041" w:type="dxa"/>
            <w:gridSpan w:val="3"/>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104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指标值</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完成值</w:t>
            </w:r>
          </w:p>
        </w:tc>
        <w:tc>
          <w:tcPr>
            <w:tcW w:w="598"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748" w:type="dxa"/>
            <w:gridSpan w:val="2"/>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1699" w:type="dxa"/>
            <w:gridSpan w:val="2"/>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r>
      <w:tr>
        <w:tblPrEx>
          <w:tblLayout w:type="fixed"/>
          <w:tblCellMar>
            <w:top w:w="0" w:type="dxa"/>
            <w:left w:w="108" w:type="dxa"/>
            <w:bottom w:w="0" w:type="dxa"/>
            <w:right w:w="108" w:type="dxa"/>
          </w:tblCellMar>
        </w:tblPrEx>
        <w:trPr>
          <w:trHeight w:val="427" w:hRule="atLeast"/>
        </w:trPr>
        <w:tc>
          <w:tcPr>
            <w:tcW w:w="578"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77"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产出指标</w:t>
            </w:r>
          </w:p>
        </w:tc>
        <w:tc>
          <w:tcPr>
            <w:tcW w:w="834"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数量指标</w:t>
            </w:r>
          </w:p>
        </w:tc>
        <w:tc>
          <w:tcPr>
            <w:tcW w:w="2041"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指标1：发放志愿者工作生活补贴（人）</w:t>
            </w:r>
          </w:p>
        </w:tc>
        <w:tc>
          <w:tcPr>
            <w:tcW w:w="104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40人</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38人</w:t>
            </w:r>
          </w:p>
        </w:tc>
        <w:tc>
          <w:tcPr>
            <w:tcW w:w="59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7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9.5</w:t>
            </w:r>
          </w:p>
        </w:tc>
        <w:tc>
          <w:tcPr>
            <w:tcW w:w="169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27" w:hRule="atLeast"/>
        </w:trPr>
        <w:tc>
          <w:tcPr>
            <w:tcW w:w="578"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77"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834"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2041"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指标2：发放志愿者艰苦地区津贴（人）</w:t>
            </w:r>
          </w:p>
        </w:tc>
        <w:tc>
          <w:tcPr>
            <w:tcW w:w="104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40人</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38人</w:t>
            </w:r>
          </w:p>
        </w:tc>
        <w:tc>
          <w:tcPr>
            <w:tcW w:w="59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7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9.5</w:t>
            </w:r>
          </w:p>
        </w:tc>
        <w:tc>
          <w:tcPr>
            <w:tcW w:w="169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27" w:hRule="atLeast"/>
        </w:trPr>
        <w:tc>
          <w:tcPr>
            <w:tcW w:w="578"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77"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834"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2041" w:type="dxa"/>
            <w:gridSpan w:val="3"/>
            <w:tcBorders>
              <w:top w:val="single" w:color="auto" w:sz="4" w:space="0"/>
              <w:left w:val="nil"/>
              <w:bottom w:val="single" w:color="auto" w:sz="4" w:space="0"/>
              <w:right w:val="single" w:color="000000"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 xml:space="preserve"> 指标3：发放志愿者交通补贴（人次）</w:t>
            </w:r>
          </w:p>
        </w:tc>
        <w:tc>
          <w:tcPr>
            <w:tcW w:w="104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40人次</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38人次</w:t>
            </w:r>
          </w:p>
        </w:tc>
        <w:tc>
          <w:tcPr>
            <w:tcW w:w="598"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748"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699"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624" w:hRule="atLeast"/>
        </w:trPr>
        <w:tc>
          <w:tcPr>
            <w:tcW w:w="578"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77"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83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质量指标</w:t>
            </w:r>
          </w:p>
        </w:tc>
        <w:tc>
          <w:tcPr>
            <w:tcW w:w="2041"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指标1：补贴覆盖率（%）</w:t>
            </w:r>
          </w:p>
        </w:tc>
        <w:tc>
          <w:tcPr>
            <w:tcW w:w="104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已补助人数占应补助人数的比率为100%</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已补助人数占应补助人数的比率为100%</w:t>
            </w:r>
          </w:p>
        </w:tc>
        <w:tc>
          <w:tcPr>
            <w:tcW w:w="59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7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69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852" w:hRule="atLeast"/>
        </w:trPr>
        <w:tc>
          <w:tcPr>
            <w:tcW w:w="578"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77"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83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时效指标</w:t>
            </w:r>
          </w:p>
        </w:tc>
        <w:tc>
          <w:tcPr>
            <w:tcW w:w="2041"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 xml:space="preserve"> 指标1：补助金发放率（%）</w:t>
            </w:r>
          </w:p>
        </w:tc>
        <w:tc>
          <w:tcPr>
            <w:tcW w:w="104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实际发放的补助金金额占计划发放金额的比率为100%</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实际发放的补助金金额占计划发放金额的比率为100%</w:t>
            </w:r>
          </w:p>
        </w:tc>
        <w:tc>
          <w:tcPr>
            <w:tcW w:w="59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7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169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87" w:hRule="atLeast"/>
        </w:trPr>
        <w:tc>
          <w:tcPr>
            <w:tcW w:w="578"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77"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83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成本指标</w:t>
            </w:r>
          </w:p>
        </w:tc>
        <w:tc>
          <w:tcPr>
            <w:tcW w:w="2041"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指标1：上级专项资金金额</w:t>
            </w:r>
          </w:p>
        </w:tc>
        <w:tc>
          <w:tcPr>
            <w:tcW w:w="1044"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16"/>
                <w:szCs w:val="16"/>
              </w:rPr>
            </w:pPr>
            <w:r>
              <w:rPr>
                <w:rFonts w:hint="eastAsia" w:ascii="宋体" w:hAnsi="宋体" w:cs="宋体"/>
                <w:kern w:val="0"/>
                <w:sz w:val="16"/>
                <w:szCs w:val="16"/>
              </w:rPr>
              <w:t>101.52</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16"/>
                <w:szCs w:val="16"/>
              </w:rPr>
            </w:pPr>
            <w:r>
              <w:rPr>
                <w:rFonts w:hint="eastAsia" w:ascii="宋体" w:hAnsi="宋体" w:cs="宋体"/>
                <w:kern w:val="0"/>
                <w:sz w:val="16"/>
                <w:szCs w:val="16"/>
              </w:rPr>
              <w:t>101.52</w:t>
            </w:r>
          </w:p>
        </w:tc>
        <w:tc>
          <w:tcPr>
            <w:tcW w:w="59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7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169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51" w:hRule="atLeast"/>
        </w:trPr>
        <w:tc>
          <w:tcPr>
            <w:tcW w:w="578"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77"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效益指标</w:t>
            </w:r>
          </w:p>
        </w:tc>
        <w:tc>
          <w:tcPr>
            <w:tcW w:w="834" w:type="dxa"/>
            <w:tcBorders>
              <w:top w:val="nil"/>
              <w:left w:val="nil"/>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经济效益指标</w:t>
            </w:r>
          </w:p>
        </w:tc>
        <w:tc>
          <w:tcPr>
            <w:tcW w:w="2041"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指标1：</w:t>
            </w:r>
          </w:p>
        </w:tc>
        <w:tc>
          <w:tcPr>
            <w:tcW w:w="104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59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7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69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56" w:hRule="atLeast"/>
        </w:trPr>
        <w:tc>
          <w:tcPr>
            <w:tcW w:w="578"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77"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834" w:type="dxa"/>
            <w:tcBorders>
              <w:top w:val="single" w:color="auto" w:sz="4" w:space="0"/>
              <w:left w:val="nil"/>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社会效益指标</w:t>
            </w:r>
          </w:p>
        </w:tc>
        <w:tc>
          <w:tcPr>
            <w:tcW w:w="2041"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指标1：</w:t>
            </w:r>
          </w:p>
        </w:tc>
        <w:tc>
          <w:tcPr>
            <w:tcW w:w="104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59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7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69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49" w:hRule="atLeast"/>
        </w:trPr>
        <w:tc>
          <w:tcPr>
            <w:tcW w:w="578"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77"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834" w:type="dxa"/>
            <w:tcBorders>
              <w:top w:val="single" w:color="auto" w:sz="4" w:space="0"/>
              <w:left w:val="nil"/>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生态效益指标</w:t>
            </w:r>
          </w:p>
        </w:tc>
        <w:tc>
          <w:tcPr>
            <w:tcW w:w="2041"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指标1：</w:t>
            </w:r>
          </w:p>
        </w:tc>
        <w:tc>
          <w:tcPr>
            <w:tcW w:w="104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59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7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69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55" w:hRule="atLeast"/>
        </w:trPr>
        <w:tc>
          <w:tcPr>
            <w:tcW w:w="578"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77"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834"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可持续影响指标</w:t>
            </w:r>
          </w:p>
        </w:tc>
        <w:tc>
          <w:tcPr>
            <w:tcW w:w="2041"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指标1：项目持续时间</w:t>
            </w:r>
          </w:p>
        </w:tc>
        <w:tc>
          <w:tcPr>
            <w:tcW w:w="104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1年</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1年</w:t>
            </w:r>
          </w:p>
        </w:tc>
        <w:tc>
          <w:tcPr>
            <w:tcW w:w="59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30</w:t>
            </w:r>
          </w:p>
        </w:tc>
        <w:tc>
          <w:tcPr>
            <w:tcW w:w="7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30</w:t>
            </w:r>
          </w:p>
        </w:tc>
        <w:tc>
          <w:tcPr>
            <w:tcW w:w="169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746" w:hRule="atLeast"/>
        </w:trPr>
        <w:tc>
          <w:tcPr>
            <w:tcW w:w="578"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77" w:type="dxa"/>
            <w:tcBorders>
              <w:top w:val="nil"/>
              <w:left w:val="nil"/>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满意度指标</w:t>
            </w:r>
          </w:p>
        </w:tc>
        <w:tc>
          <w:tcPr>
            <w:tcW w:w="83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服务对象满意度指标</w:t>
            </w:r>
          </w:p>
        </w:tc>
        <w:tc>
          <w:tcPr>
            <w:tcW w:w="2041"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指标1：志愿者对发放补贴满意度（%）</w:t>
            </w:r>
          </w:p>
        </w:tc>
        <w:tc>
          <w:tcPr>
            <w:tcW w:w="104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≥90%</w:t>
            </w:r>
          </w:p>
        </w:tc>
        <w:tc>
          <w:tcPr>
            <w:tcW w:w="1266"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16"/>
                <w:szCs w:val="16"/>
              </w:rPr>
            </w:pPr>
            <w:r>
              <w:rPr>
                <w:rFonts w:hint="eastAsia" w:ascii="宋体" w:hAnsi="宋体" w:cs="宋体"/>
                <w:kern w:val="0"/>
                <w:sz w:val="16"/>
                <w:szCs w:val="16"/>
              </w:rPr>
              <w:t>100%</w:t>
            </w:r>
          </w:p>
        </w:tc>
        <w:tc>
          <w:tcPr>
            <w:tcW w:w="59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7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69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73" w:hRule="atLeast"/>
        </w:trPr>
        <w:tc>
          <w:tcPr>
            <w:tcW w:w="6240"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总分</w:t>
            </w:r>
          </w:p>
        </w:tc>
        <w:tc>
          <w:tcPr>
            <w:tcW w:w="59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74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99</w:t>
            </w:r>
          </w:p>
        </w:tc>
        <w:tc>
          <w:tcPr>
            <w:tcW w:w="169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bl>
    <w:p>
      <w:r>
        <w:br w:type="page"/>
      </w:r>
    </w:p>
    <w:tbl>
      <w:tblPr>
        <w:tblStyle w:val="4"/>
        <w:tblW w:w="9322" w:type="dxa"/>
        <w:tblInd w:w="-142" w:type="dxa"/>
        <w:tblLayout w:type="fixed"/>
        <w:tblCellMar>
          <w:top w:w="0" w:type="dxa"/>
          <w:left w:w="108" w:type="dxa"/>
          <w:bottom w:w="0" w:type="dxa"/>
          <w:right w:w="108" w:type="dxa"/>
        </w:tblCellMar>
      </w:tblPr>
      <w:tblGrid>
        <w:gridCol w:w="675"/>
        <w:gridCol w:w="442"/>
        <w:gridCol w:w="755"/>
        <w:gridCol w:w="714"/>
        <w:gridCol w:w="818"/>
        <w:gridCol w:w="242"/>
        <w:gridCol w:w="971"/>
        <w:gridCol w:w="2165"/>
        <w:gridCol w:w="584"/>
        <w:gridCol w:w="550"/>
        <w:gridCol w:w="166"/>
        <w:gridCol w:w="703"/>
        <w:gridCol w:w="537"/>
      </w:tblGrid>
      <w:tr>
        <w:tblPrEx>
          <w:tblLayout w:type="fixed"/>
          <w:tblCellMar>
            <w:top w:w="0" w:type="dxa"/>
            <w:left w:w="108" w:type="dxa"/>
            <w:bottom w:w="0" w:type="dxa"/>
            <w:right w:w="108" w:type="dxa"/>
          </w:tblCellMar>
        </w:tblPrEx>
        <w:trPr>
          <w:trHeight w:val="239" w:hRule="atLeast"/>
        </w:trPr>
        <w:tc>
          <w:tcPr>
            <w:tcW w:w="9322" w:type="dxa"/>
            <w:gridSpan w:val="13"/>
            <w:tcBorders>
              <w:top w:val="nil"/>
              <w:left w:val="nil"/>
              <w:bottom w:val="nil"/>
              <w:right w:val="nil"/>
            </w:tcBorders>
            <w:shd w:val="clear" w:color="auto" w:fill="auto"/>
            <w:vAlign w:val="center"/>
          </w:tcPr>
          <w:p>
            <w:pPr>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tblPrEx>
          <w:tblLayout w:type="fixed"/>
          <w:tblCellMar>
            <w:top w:w="0" w:type="dxa"/>
            <w:left w:w="108" w:type="dxa"/>
            <w:bottom w:w="0" w:type="dxa"/>
            <w:right w:w="108" w:type="dxa"/>
          </w:tblCellMar>
        </w:tblPrEx>
        <w:trPr>
          <w:trHeight w:val="237" w:hRule="atLeast"/>
        </w:trPr>
        <w:tc>
          <w:tcPr>
            <w:tcW w:w="9322" w:type="dxa"/>
            <w:gridSpan w:val="13"/>
            <w:tcBorders>
              <w:top w:val="nil"/>
              <w:left w:val="nil"/>
              <w:bottom w:val="nil"/>
              <w:right w:val="nil"/>
            </w:tcBorders>
            <w:shd w:val="clear" w:color="auto" w:fill="auto"/>
            <w:vAlign w:val="center"/>
          </w:tcPr>
          <w:p>
            <w:pPr>
              <w:jc w:val="center"/>
              <w:rPr>
                <w:rFonts w:ascii="宋体" w:hAnsi="宋体" w:cs="宋体"/>
                <w:color w:val="000000"/>
                <w:kern w:val="0"/>
                <w:sz w:val="22"/>
                <w:szCs w:val="22"/>
              </w:rPr>
            </w:pPr>
            <w:r>
              <w:rPr>
                <w:rFonts w:hint="eastAsia" w:ascii="宋体" w:hAnsi="宋体" w:cs="宋体"/>
                <w:color w:val="000000"/>
                <w:kern w:val="0"/>
                <w:sz w:val="22"/>
                <w:szCs w:val="22"/>
              </w:rPr>
              <w:t>（2020年度）</w:t>
            </w:r>
          </w:p>
        </w:tc>
      </w:tr>
      <w:tr>
        <w:tblPrEx>
          <w:tblLayout w:type="fixed"/>
          <w:tblCellMar>
            <w:top w:w="0" w:type="dxa"/>
            <w:left w:w="108" w:type="dxa"/>
            <w:bottom w:w="0" w:type="dxa"/>
            <w:right w:w="108" w:type="dxa"/>
          </w:tblCellMar>
        </w:tblPrEx>
        <w:trPr>
          <w:trHeight w:val="187" w:hRule="atLeast"/>
        </w:trPr>
        <w:tc>
          <w:tcPr>
            <w:tcW w:w="11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项目名称</w:t>
            </w:r>
          </w:p>
        </w:tc>
        <w:tc>
          <w:tcPr>
            <w:tcW w:w="8205" w:type="dxa"/>
            <w:gridSpan w:val="11"/>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xml:space="preserve">玛纳斯县农村人居环境整治“巾帼美丽家园”行动  </w:t>
            </w:r>
          </w:p>
        </w:tc>
      </w:tr>
      <w:tr>
        <w:tblPrEx>
          <w:tblLayout w:type="fixed"/>
          <w:tblCellMar>
            <w:top w:w="0" w:type="dxa"/>
            <w:left w:w="108" w:type="dxa"/>
            <w:bottom w:w="0" w:type="dxa"/>
            <w:right w:w="108" w:type="dxa"/>
          </w:tblCellMar>
        </w:tblPrEx>
        <w:trPr>
          <w:trHeight w:val="187" w:hRule="atLeast"/>
        </w:trPr>
        <w:tc>
          <w:tcPr>
            <w:tcW w:w="11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主管部门</w:t>
            </w:r>
          </w:p>
        </w:tc>
        <w:tc>
          <w:tcPr>
            <w:tcW w:w="3500"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中共玛纳斯县直属机关工作委员会</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实施单位</w:t>
            </w:r>
          </w:p>
        </w:tc>
        <w:tc>
          <w:tcPr>
            <w:tcW w:w="2540"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玛纳斯县妇女联合会</w:t>
            </w:r>
          </w:p>
        </w:tc>
      </w:tr>
      <w:tr>
        <w:tblPrEx>
          <w:tblLayout w:type="fixed"/>
          <w:tblCellMar>
            <w:top w:w="0" w:type="dxa"/>
            <w:left w:w="108" w:type="dxa"/>
            <w:bottom w:w="0" w:type="dxa"/>
            <w:right w:w="108" w:type="dxa"/>
          </w:tblCellMar>
        </w:tblPrEx>
        <w:trPr>
          <w:trHeight w:val="187" w:hRule="atLeast"/>
        </w:trPr>
        <w:tc>
          <w:tcPr>
            <w:tcW w:w="1117"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项目资金       （万元）</w:t>
            </w:r>
          </w:p>
        </w:tc>
        <w:tc>
          <w:tcPr>
            <w:tcW w:w="146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81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年初预算数</w:t>
            </w:r>
          </w:p>
        </w:tc>
        <w:tc>
          <w:tcPr>
            <w:tcW w:w="121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全年预算数</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分值</w:t>
            </w:r>
          </w:p>
        </w:tc>
        <w:tc>
          <w:tcPr>
            <w:tcW w:w="86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执行率</w:t>
            </w:r>
          </w:p>
        </w:tc>
        <w:tc>
          <w:tcPr>
            <w:tcW w:w="53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得分</w:t>
            </w:r>
          </w:p>
        </w:tc>
      </w:tr>
      <w:tr>
        <w:tblPrEx>
          <w:tblLayout w:type="fixed"/>
          <w:tblCellMar>
            <w:top w:w="0" w:type="dxa"/>
            <w:left w:w="108" w:type="dxa"/>
            <w:bottom w:w="0" w:type="dxa"/>
            <w:right w:w="108" w:type="dxa"/>
          </w:tblCellMar>
        </w:tblPrEx>
        <w:trPr>
          <w:trHeight w:val="187" w:hRule="atLeast"/>
        </w:trPr>
        <w:tc>
          <w:tcPr>
            <w:tcW w:w="1117"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hAnsi="宋体" w:cs="宋体"/>
                <w:color w:val="000000"/>
                <w:kern w:val="0"/>
                <w:sz w:val="16"/>
                <w:szCs w:val="16"/>
              </w:rPr>
            </w:pPr>
          </w:p>
        </w:tc>
        <w:tc>
          <w:tcPr>
            <w:tcW w:w="1469" w:type="dxa"/>
            <w:gridSpan w:val="2"/>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kern w:val="0"/>
                <w:sz w:val="16"/>
                <w:szCs w:val="16"/>
              </w:rPr>
            </w:pPr>
            <w:r>
              <w:rPr>
                <w:rFonts w:hint="eastAsia" w:ascii="宋体" w:hAnsi="宋体" w:cs="宋体"/>
                <w:color w:val="000000"/>
                <w:kern w:val="0"/>
                <w:sz w:val="16"/>
                <w:szCs w:val="16"/>
              </w:rPr>
              <w:t>年度资金总额</w:t>
            </w:r>
          </w:p>
        </w:tc>
        <w:tc>
          <w:tcPr>
            <w:tcW w:w="81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21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86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100.00%</w:t>
            </w:r>
          </w:p>
        </w:tc>
        <w:tc>
          <w:tcPr>
            <w:tcW w:w="53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r>
      <w:tr>
        <w:tblPrEx>
          <w:tblLayout w:type="fixed"/>
          <w:tblCellMar>
            <w:top w:w="0" w:type="dxa"/>
            <w:left w:w="108" w:type="dxa"/>
            <w:bottom w:w="0" w:type="dxa"/>
            <w:right w:w="108" w:type="dxa"/>
          </w:tblCellMar>
        </w:tblPrEx>
        <w:trPr>
          <w:trHeight w:val="187" w:hRule="atLeast"/>
        </w:trPr>
        <w:tc>
          <w:tcPr>
            <w:tcW w:w="1117"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hAnsi="宋体" w:cs="宋体"/>
                <w:color w:val="000000"/>
                <w:kern w:val="0"/>
                <w:sz w:val="16"/>
                <w:szCs w:val="16"/>
              </w:rPr>
            </w:pPr>
          </w:p>
        </w:tc>
        <w:tc>
          <w:tcPr>
            <w:tcW w:w="146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其中：当年财政拨款</w:t>
            </w:r>
          </w:p>
        </w:tc>
        <w:tc>
          <w:tcPr>
            <w:tcW w:w="81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21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c>
          <w:tcPr>
            <w:tcW w:w="86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53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87" w:hRule="atLeast"/>
        </w:trPr>
        <w:tc>
          <w:tcPr>
            <w:tcW w:w="1117"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hAnsi="宋体" w:cs="宋体"/>
                <w:color w:val="000000"/>
                <w:kern w:val="0"/>
                <w:sz w:val="16"/>
                <w:szCs w:val="16"/>
              </w:rPr>
            </w:pPr>
          </w:p>
        </w:tc>
        <w:tc>
          <w:tcPr>
            <w:tcW w:w="146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xml:space="preserve">   上年结转资金</w:t>
            </w:r>
          </w:p>
        </w:tc>
        <w:tc>
          <w:tcPr>
            <w:tcW w:w="81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21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c>
          <w:tcPr>
            <w:tcW w:w="86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53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87" w:hRule="atLeast"/>
        </w:trPr>
        <w:tc>
          <w:tcPr>
            <w:tcW w:w="1117"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left"/>
              <w:rPr>
                <w:rFonts w:ascii="宋体" w:hAnsi="宋体" w:cs="宋体"/>
                <w:color w:val="000000"/>
                <w:kern w:val="0"/>
                <w:sz w:val="16"/>
                <w:szCs w:val="16"/>
              </w:rPr>
            </w:pPr>
          </w:p>
        </w:tc>
        <w:tc>
          <w:tcPr>
            <w:tcW w:w="146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xml:space="preserve">  其他资金</w:t>
            </w:r>
          </w:p>
        </w:tc>
        <w:tc>
          <w:tcPr>
            <w:tcW w:w="818"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213"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c>
          <w:tcPr>
            <w:tcW w:w="869"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537"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w:t>
            </w:r>
          </w:p>
        </w:tc>
      </w:tr>
      <w:tr>
        <w:tblPrEx>
          <w:tblLayout w:type="fixed"/>
          <w:tblCellMar>
            <w:top w:w="0" w:type="dxa"/>
            <w:left w:w="108" w:type="dxa"/>
            <w:bottom w:w="0" w:type="dxa"/>
            <w:right w:w="108" w:type="dxa"/>
          </w:tblCellMar>
        </w:tblPrEx>
        <w:trPr>
          <w:trHeight w:val="187" w:hRule="atLeast"/>
        </w:trPr>
        <w:tc>
          <w:tcPr>
            <w:tcW w:w="675"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年度总体目标</w:t>
            </w:r>
          </w:p>
        </w:tc>
        <w:tc>
          <w:tcPr>
            <w:tcW w:w="3942"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预期目标</w:t>
            </w:r>
          </w:p>
        </w:tc>
        <w:tc>
          <w:tcPr>
            <w:tcW w:w="4705"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实际完成情况</w:t>
            </w:r>
          </w:p>
        </w:tc>
      </w:tr>
      <w:tr>
        <w:tblPrEx>
          <w:tblLayout w:type="fixed"/>
          <w:tblCellMar>
            <w:top w:w="0" w:type="dxa"/>
            <w:left w:w="108" w:type="dxa"/>
            <w:bottom w:w="0" w:type="dxa"/>
            <w:right w:w="108" w:type="dxa"/>
          </w:tblCellMar>
        </w:tblPrEx>
        <w:trPr>
          <w:trHeight w:val="804" w:hRule="atLeast"/>
        </w:trPr>
        <w:tc>
          <w:tcPr>
            <w:tcW w:w="675"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3942" w:type="dxa"/>
            <w:gridSpan w:val="6"/>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以“巾帼美丽家园”行动为载体，教育引领、组织发动广大妇女全面参与农村人居环境整治村庄整洁行动，开展宣传教育、“美丽庭院”创建，到2020年妇女参与率达到90％。创建州级“美丽庭院”示范户400户。</w:t>
            </w:r>
          </w:p>
        </w:tc>
        <w:tc>
          <w:tcPr>
            <w:tcW w:w="4705" w:type="dxa"/>
            <w:gridSpan w:val="6"/>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严格按标准发放志愿者12个月的工作生活补贴、艰苦地区津贴以及交通补贴。</w:t>
            </w:r>
          </w:p>
        </w:tc>
      </w:tr>
      <w:tr>
        <w:tblPrEx>
          <w:tblLayout w:type="fixed"/>
          <w:tblCellMar>
            <w:top w:w="0" w:type="dxa"/>
            <w:left w:w="108" w:type="dxa"/>
            <w:bottom w:w="0" w:type="dxa"/>
            <w:right w:w="108" w:type="dxa"/>
          </w:tblCellMar>
        </w:tblPrEx>
        <w:trPr>
          <w:trHeight w:val="187" w:hRule="atLeast"/>
        </w:trPr>
        <w:tc>
          <w:tcPr>
            <w:tcW w:w="675" w:type="dxa"/>
            <w:vMerge w:val="restart"/>
            <w:tcBorders>
              <w:top w:val="nil"/>
              <w:left w:val="single" w:color="auto" w:sz="4" w:space="0"/>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绩              效    指    标</w:t>
            </w:r>
          </w:p>
        </w:tc>
        <w:tc>
          <w:tcPr>
            <w:tcW w:w="442"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一级指标</w:t>
            </w:r>
          </w:p>
        </w:tc>
        <w:tc>
          <w:tcPr>
            <w:tcW w:w="755"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二级指标</w:t>
            </w:r>
          </w:p>
        </w:tc>
        <w:tc>
          <w:tcPr>
            <w:tcW w:w="1774"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三级指标</w:t>
            </w:r>
          </w:p>
        </w:tc>
        <w:tc>
          <w:tcPr>
            <w:tcW w:w="9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年度</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实际</w:t>
            </w:r>
          </w:p>
        </w:tc>
        <w:tc>
          <w:tcPr>
            <w:tcW w:w="584"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分值</w:t>
            </w:r>
          </w:p>
        </w:tc>
        <w:tc>
          <w:tcPr>
            <w:tcW w:w="71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得分</w:t>
            </w:r>
          </w:p>
        </w:tc>
        <w:tc>
          <w:tcPr>
            <w:tcW w:w="124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偏差原因分析及改进措施</w:t>
            </w:r>
          </w:p>
        </w:tc>
      </w:tr>
      <w:tr>
        <w:tblPrEx>
          <w:tblLayout w:type="fixed"/>
          <w:tblCellMar>
            <w:top w:w="0" w:type="dxa"/>
            <w:left w:w="108" w:type="dxa"/>
            <w:bottom w:w="0" w:type="dxa"/>
            <w:right w:w="108" w:type="dxa"/>
          </w:tblCellMar>
        </w:tblPrEx>
        <w:trPr>
          <w:trHeight w:val="187" w:hRule="atLeast"/>
        </w:trPr>
        <w:tc>
          <w:tcPr>
            <w:tcW w:w="675"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4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755"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1774" w:type="dxa"/>
            <w:gridSpan w:val="3"/>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9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指标值</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完成值</w:t>
            </w:r>
          </w:p>
        </w:tc>
        <w:tc>
          <w:tcPr>
            <w:tcW w:w="584"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716" w:type="dxa"/>
            <w:gridSpan w:val="2"/>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1240" w:type="dxa"/>
            <w:gridSpan w:val="2"/>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r>
      <w:tr>
        <w:tblPrEx>
          <w:tblLayout w:type="fixed"/>
          <w:tblCellMar>
            <w:top w:w="0" w:type="dxa"/>
            <w:left w:w="108" w:type="dxa"/>
            <w:bottom w:w="0" w:type="dxa"/>
            <w:right w:w="108" w:type="dxa"/>
          </w:tblCellMar>
        </w:tblPrEx>
        <w:trPr>
          <w:trHeight w:val="330" w:hRule="atLeast"/>
        </w:trPr>
        <w:tc>
          <w:tcPr>
            <w:tcW w:w="675"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42"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产出指标</w:t>
            </w:r>
          </w:p>
        </w:tc>
        <w:tc>
          <w:tcPr>
            <w:tcW w:w="7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数量指标</w:t>
            </w:r>
          </w:p>
        </w:tc>
        <w:tc>
          <w:tcPr>
            <w:tcW w:w="1774"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创建“美丽庭院”州级示范户（户）</w:t>
            </w:r>
          </w:p>
        </w:tc>
        <w:tc>
          <w:tcPr>
            <w:tcW w:w="9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400</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440</w:t>
            </w:r>
          </w:p>
        </w:tc>
        <w:tc>
          <w:tcPr>
            <w:tcW w:w="58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71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24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142" w:hRule="atLeast"/>
        </w:trPr>
        <w:tc>
          <w:tcPr>
            <w:tcW w:w="675"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42" w:type="dxa"/>
            <w:vMerge w:val="continue"/>
            <w:tcBorders>
              <w:top w:val="nil"/>
              <w:left w:val="single" w:color="auto" w:sz="4" w:space="0"/>
              <w:bottom w:val="single" w:color="000000" w:sz="4" w:space="0"/>
              <w:right w:val="single" w:color="auto" w:sz="4" w:space="0"/>
            </w:tcBorders>
            <w:vAlign w:val="center"/>
          </w:tcPr>
          <w:p>
            <w:pPr>
              <w:jc w:val="left"/>
              <w:rPr>
                <w:rFonts w:ascii="宋体" w:hAnsi="宋体" w:cs="宋体"/>
                <w:color w:val="000000"/>
                <w:kern w:val="0"/>
                <w:sz w:val="16"/>
                <w:szCs w:val="16"/>
              </w:rPr>
            </w:pPr>
          </w:p>
        </w:tc>
        <w:tc>
          <w:tcPr>
            <w:tcW w:w="755" w:type="dxa"/>
            <w:vMerge w:val="restart"/>
            <w:tcBorders>
              <w:top w:val="nil"/>
              <w:left w:val="single" w:color="auto" w:sz="4" w:space="0"/>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质量指标</w:t>
            </w:r>
          </w:p>
        </w:tc>
        <w:tc>
          <w:tcPr>
            <w:tcW w:w="1774"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1、“美丽庭院”创建妇女参与率。</w:t>
            </w:r>
          </w:p>
        </w:tc>
        <w:tc>
          <w:tcPr>
            <w:tcW w:w="971" w:type="dxa"/>
            <w:tcBorders>
              <w:top w:val="nil"/>
              <w:left w:val="nil"/>
              <w:bottom w:val="single" w:color="auto" w:sz="4" w:space="0"/>
              <w:right w:val="single" w:color="auto" w:sz="4" w:space="0"/>
            </w:tcBorders>
            <w:shd w:val="clear" w:color="auto" w:fill="auto"/>
            <w:noWrap/>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≧90%</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58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71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124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58" w:hRule="atLeast"/>
        </w:trPr>
        <w:tc>
          <w:tcPr>
            <w:tcW w:w="675"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42" w:type="dxa"/>
            <w:vMerge w:val="continue"/>
            <w:tcBorders>
              <w:top w:val="nil"/>
              <w:left w:val="single" w:color="auto" w:sz="4" w:space="0"/>
              <w:bottom w:val="single" w:color="000000" w:sz="4" w:space="0"/>
              <w:right w:val="single" w:color="auto" w:sz="4" w:space="0"/>
            </w:tcBorders>
            <w:vAlign w:val="center"/>
          </w:tcPr>
          <w:p>
            <w:pPr>
              <w:jc w:val="left"/>
              <w:rPr>
                <w:rFonts w:ascii="宋体" w:hAnsi="宋体" w:cs="宋体"/>
                <w:color w:val="000000"/>
                <w:kern w:val="0"/>
                <w:sz w:val="16"/>
                <w:szCs w:val="16"/>
              </w:rPr>
            </w:pPr>
          </w:p>
        </w:tc>
        <w:tc>
          <w:tcPr>
            <w:tcW w:w="755"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1774" w:type="dxa"/>
            <w:gridSpan w:val="3"/>
            <w:tcBorders>
              <w:top w:val="single" w:color="auto" w:sz="4" w:space="0"/>
              <w:left w:val="nil"/>
              <w:bottom w:val="single" w:color="auto" w:sz="4" w:space="0"/>
              <w:right w:val="single" w:color="000000"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2、创建“美丽庭院”乡镇全覆盖。</w:t>
            </w:r>
          </w:p>
        </w:tc>
        <w:tc>
          <w:tcPr>
            <w:tcW w:w="971" w:type="dxa"/>
            <w:tcBorders>
              <w:top w:val="nil"/>
              <w:left w:val="nil"/>
              <w:bottom w:val="single" w:color="auto" w:sz="4" w:space="0"/>
              <w:right w:val="single" w:color="auto" w:sz="4" w:space="0"/>
            </w:tcBorders>
            <w:shd w:val="clear" w:color="auto" w:fill="auto"/>
            <w:noWrap/>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≧90%</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90%</w:t>
            </w:r>
          </w:p>
        </w:tc>
        <w:tc>
          <w:tcPr>
            <w:tcW w:w="58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716"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124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553" w:hRule="atLeast"/>
        </w:trPr>
        <w:tc>
          <w:tcPr>
            <w:tcW w:w="675"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42" w:type="dxa"/>
            <w:vMerge w:val="continue"/>
            <w:tcBorders>
              <w:top w:val="nil"/>
              <w:left w:val="single" w:color="auto" w:sz="4" w:space="0"/>
              <w:bottom w:val="single" w:color="000000" w:sz="4" w:space="0"/>
              <w:right w:val="single" w:color="auto" w:sz="4" w:space="0"/>
            </w:tcBorders>
            <w:vAlign w:val="center"/>
          </w:tcPr>
          <w:p>
            <w:pPr>
              <w:jc w:val="left"/>
              <w:rPr>
                <w:rFonts w:ascii="宋体" w:hAnsi="宋体" w:cs="宋体"/>
                <w:color w:val="000000"/>
                <w:kern w:val="0"/>
                <w:sz w:val="16"/>
                <w:szCs w:val="16"/>
              </w:rPr>
            </w:pPr>
          </w:p>
        </w:tc>
        <w:tc>
          <w:tcPr>
            <w:tcW w:w="75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时效指标</w:t>
            </w:r>
          </w:p>
        </w:tc>
        <w:tc>
          <w:tcPr>
            <w:tcW w:w="1774"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 xml:space="preserve"> 1、创建400户州级“美丽庭院”示范户完成时间。</w:t>
            </w:r>
          </w:p>
        </w:tc>
        <w:tc>
          <w:tcPr>
            <w:tcW w:w="9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2020年12月底</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2020年12月底</w:t>
            </w:r>
          </w:p>
        </w:tc>
        <w:tc>
          <w:tcPr>
            <w:tcW w:w="58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71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124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01" w:hRule="atLeast"/>
        </w:trPr>
        <w:tc>
          <w:tcPr>
            <w:tcW w:w="675"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42" w:type="dxa"/>
            <w:vMerge w:val="continue"/>
            <w:tcBorders>
              <w:top w:val="nil"/>
              <w:left w:val="single" w:color="auto" w:sz="4" w:space="0"/>
              <w:bottom w:val="single" w:color="000000" w:sz="4" w:space="0"/>
              <w:right w:val="single" w:color="auto" w:sz="4" w:space="0"/>
            </w:tcBorders>
            <w:vAlign w:val="center"/>
          </w:tcPr>
          <w:p>
            <w:pPr>
              <w:jc w:val="left"/>
              <w:rPr>
                <w:rFonts w:ascii="宋体" w:hAnsi="宋体" w:cs="宋体"/>
                <w:color w:val="000000"/>
                <w:kern w:val="0"/>
                <w:sz w:val="16"/>
                <w:szCs w:val="16"/>
              </w:rPr>
            </w:pPr>
          </w:p>
        </w:tc>
        <w:tc>
          <w:tcPr>
            <w:tcW w:w="755" w:type="dxa"/>
            <w:vMerge w:val="continue"/>
            <w:tcBorders>
              <w:top w:val="single" w:color="auto" w:sz="4" w:space="0"/>
              <w:left w:val="single" w:color="auto" w:sz="4" w:space="0"/>
              <w:bottom w:val="single" w:color="000000" w:sz="4" w:space="0"/>
              <w:right w:val="single" w:color="auto" w:sz="4" w:space="0"/>
            </w:tcBorders>
            <w:vAlign w:val="center"/>
          </w:tcPr>
          <w:p>
            <w:pPr>
              <w:jc w:val="left"/>
              <w:rPr>
                <w:rFonts w:ascii="宋体" w:hAnsi="宋体" w:cs="宋体"/>
                <w:color w:val="000000"/>
                <w:kern w:val="0"/>
                <w:sz w:val="16"/>
                <w:szCs w:val="16"/>
              </w:rPr>
            </w:pPr>
          </w:p>
        </w:tc>
        <w:tc>
          <w:tcPr>
            <w:tcW w:w="1774" w:type="dxa"/>
            <w:gridSpan w:val="3"/>
            <w:tcBorders>
              <w:top w:val="single" w:color="auto" w:sz="4" w:space="0"/>
              <w:left w:val="nil"/>
              <w:bottom w:val="single" w:color="auto" w:sz="4" w:space="0"/>
              <w:right w:val="single" w:color="000000"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2、奖补资金兑付率</w:t>
            </w:r>
          </w:p>
        </w:tc>
        <w:tc>
          <w:tcPr>
            <w:tcW w:w="971" w:type="dxa"/>
            <w:tcBorders>
              <w:top w:val="nil"/>
              <w:left w:val="nil"/>
              <w:bottom w:val="single" w:color="auto" w:sz="4" w:space="0"/>
              <w:right w:val="single" w:color="auto" w:sz="4" w:space="0"/>
            </w:tcBorders>
            <w:shd w:val="clear" w:color="auto" w:fill="auto"/>
            <w:noWrap/>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2165" w:type="dxa"/>
            <w:tcBorders>
              <w:top w:val="nil"/>
              <w:left w:val="nil"/>
              <w:bottom w:val="single" w:color="auto" w:sz="4" w:space="0"/>
              <w:right w:val="single" w:color="auto" w:sz="4" w:space="0"/>
            </w:tcBorders>
            <w:shd w:val="clear" w:color="auto" w:fill="auto"/>
            <w:noWrap/>
            <w:vAlign w:val="center"/>
          </w:tcPr>
          <w:p>
            <w:pPr>
              <w:rPr>
                <w:rFonts w:ascii="宋体" w:hAnsi="宋体" w:cs="宋体"/>
                <w:color w:val="000000"/>
                <w:kern w:val="0"/>
                <w:sz w:val="16"/>
                <w:szCs w:val="16"/>
              </w:rPr>
            </w:pPr>
            <w:r>
              <w:rPr>
                <w:rFonts w:hint="eastAsia" w:ascii="宋体" w:hAnsi="宋体" w:cs="宋体"/>
                <w:color w:val="000000"/>
                <w:kern w:val="0"/>
                <w:sz w:val="16"/>
                <w:szCs w:val="16"/>
              </w:rPr>
              <w:t>2020年12月底完成100%</w:t>
            </w:r>
          </w:p>
        </w:tc>
        <w:tc>
          <w:tcPr>
            <w:tcW w:w="58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716"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w:t>
            </w:r>
          </w:p>
        </w:tc>
        <w:tc>
          <w:tcPr>
            <w:tcW w:w="124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553" w:hRule="atLeast"/>
        </w:trPr>
        <w:tc>
          <w:tcPr>
            <w:tcW w:w="675"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42" w:type="dxa"/>
            <w:vMerge w:val="continue"/>
            <w:tcBorders>
              <w:top w:val="nil"/>
              <w:left w:val="single" w:color="auto" w:sz="4" w:space="0"/>
              <w:bottom w:val="single" w:color="000000" w:sz="4" w:space="0"/>
              <w:right w:val="single" w:color="auto" w:sz="4" w:space="0"/>
            </w:tcBorders>
            <w:vAlign w:val="center"/>
          </w:tcPr>
          <w:p>
            <w:pPr>
              <w:jc w:val="left"/>
              <w:rPr>
                <w:rFonts w:ascii="宋体" w:hAnsi="宋体" w:cs="宋体"/>
                <w:color w:val="000000"/>
                <w:kern w:val="0"/>
                <w:sz w:val="16"/>
                <w:szCs w:val="16"/>
              </w:rPr>
            </w:pPr>
          </w:p>
        </w:tc>
        <w:tc>
          <w:tcPr>
            <w:tcW w:w="755" w:type="dxa"/>
            <w:vMerge w:val="restart"/>
            <w:tcBorders>
              <w:top w:val="nil"/>
              <w:left w:val="single" w:color="auto" w:sz="4" w:space="0"/>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成本指标</w:t>
            </w:r>
          </w:p>
        </w:tc>
        <w:tc>
          <w:tcPr>
            <w:tcW w:w="1774"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1、州级“美丽庭院”示范户奖补金发放户数</w:t>
            </w:r>
          </w:p>
        </w:tc>
        <w:tc>
          <w:tcPr>
            <w:tcW w:w="9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16"/>
                <w:szCs w:val="16"/>
              </w:rPr>
            </w:pPr>
            <w:r>
              <w:rPr>
                <w:rFonts w:hint="eastAsia" w:ascii="宋体" w:hAnsi="宋体" w:cs="宋体"/>
                <w:kern w:val="0"/>
                <w:sz w:val="16"/>
                <w:szCs w:val="16"/>
              </w:rPr>
              <w:t>8</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16"/>
                <w:szCs w:val="16"/>
              </w:rPr>
            </w:pPr>
            <w:r>
              <w:rPr>
                <w:rFonts w:hint="eastAsia" w:ascii="宋体" w:hAnsi="宋体" w:cs="宋体"/>
                <w:kern w:val="0"/>
                <w:sz w:val="16"/>
                <w:szCs w:val="16"/>
              </w:rPr>
              <w:t>10</w:t>
            </w:r>
          </w:p>
        </w:tc>
        <w:tc>
          <w:tcPr>
            <w:tcW w:w="58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71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24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553" w:hRule="atLeast"/>
        </w:trPr>
        <w:tc>
          <w:tcPr>
            <w:tcW w:w="675"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42" w:type="dxa"/>
            <w:vMerge w:val="continue"/>
            <w:tcBorders>
              <w:top w:val="nil"/>
              <w:left w:val="single" w:color="auto" w:sz="4" w:space="0"/>
              <w:bottom w:val="single" w:color="000000" w:sz="4" w:space="0"/>
              <w:right w:val="single" w:color="auto" w:sz="4" w:space="0"/>
            </w:tcBorders>
            <w:vAlign w:val="center"/>
          </w:tcPr>
          <w:p>
            <w:pPr>
              <w:jc w:val="left"/>
              <w:rPr>
                <w:rFonts w:ascii="宋体" w:hAnsi="宋体" w:cs="宋体"/>
                <w:color w:val="000000"/>
                <w:kern w:val="0"/>
                <w:sz w:val="16"/>
                <w:szCs w:val="16"/>
              </w:rPr>
            </w:pPr>
          </w:p>
        </w:tc>
        <w:tc>
          <w:tcPr>
            <w:tcW w:w="755"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1774" w:type="dxa"/>
            <w:gridSpan w:val="3"/>
            <w:tcBorders>
              <w:top w:val="single" w:color="auto" w:sz="4" w:space="0"/>
              <w:left w:val="nil"/>
              <w:bottom w:val="single" w:color="auto" w:sz="4" w:space="0"/>
              <w:right w:val="single" w:color="000000"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2、开展“美丽庭院”宣传、发动等活动经费。</w:t>
            </w:r>
          </w:p>
        </w:tc>
        <w:tc>
          <w:tcPr>
            <w:tcW w:w="9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16"/>
                <w:szCs w:val="16"/>
              </w:rPr>
            </w:pPr>
            <w:r>
              <w:rPr>
                <w:rFonts w:hint="eastAsia" w:ascii="宋体" w:hAnsi="宋体" w:cs="宋体"/>
                <w:kern w:val="0"/>
                <w:sz w:val="16"/>
                <w:szCs w:val="16"/>
              </w:rPr>
              <w:t>2</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kern w:val="0"/>
                <w:sz w:val="16"/>
                <w:szCs w:val="16"/>
              </w:rPr>
            </w:pPr>
            <w:r>
              <w:rPr>
                <w:rFonts w:hint="eastAsia" w:ascii="宋体" w:hAnsi="宋体" w:cs="宋体"/>
                <w:kern w:val="0"/>
                <w:sz w:val="16"/>
                <w:szCs w:val="16"/>
              </w:rPr>
              <w:t>2</w:t>
            </w:r>
          </w:p>
        </w:tc>
        <w:tc>
          <w:tcPr>
            <w:tcW w:w="58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716"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24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719" w:hRule="atLeast"/>
        </w:trPr>
        <w:tc>
          <w:tcPr>
            <w:tcW w:w="675"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42"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效益指标</w:t>
            </w:r>
          </w:p>
        </w:tc>
        <w:tc>
          <w:tcPr>
            <w:tcW w:w="755" w:type="dxa"/>
            <w:tcBorders>
              <w:top w:val="single" w:color="auto" w:sz="4" w:space="0"/>
              <w:left w:val="nil"/>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经济效益指标</w:t>
            </w:r>
          </w:p>
        </w:tc>
        <w:tc>
          <w:tcPr>
            <w:tcW w:w="1774"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“美丽庭院”建设与发展庭院经济和民宿、农家乐相结合，提高经济效益</w:t>
            </w:r>
          </w:p>
        </w:tc>
        <w:tc>
          <w:tcPr>
            <w:tcW w:w="971" w:type="dxa"/>
            <w:tcBorders>
              <w:top w:val="nil"/>
              <w:left w:val="nil"/>
              <w:bottom w:val="nil"/>
              <w:right w:val="nil"/>
            </w:tcBorders>
            <w:shd w:val="clear" w:color="auto" w:fill="auto"/>
            <w:noWrap/>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≧50%</w:t>
            </w:r>
          </w:p>
        </w:tc>
        <w:tc>
          <w:tcPr>
            <w:tcW w:w="2165"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50%</w:t>
            </w:r>
          </w:p>
        </w:tc>
        <w:tc>
          <w:tcPr>
            <w:tcW w:w="58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15</w:t>
            </w:r>
          </w:p>
        </w:tc>
        <w:tc>
          <w:tcPr>
            <w:tcW w:w="71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15</w:t>
            </w:r>
          </w:p>
        </w:tc>
        <w:tc>
          <w:tcPr>
            <w:tcW w:w="124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257" w:hRule="atLeast"/>
        </w:trPr>
        <w:tc>
          <w:tcPr>
            <w:tcW w:w="675"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4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755" w:type="dxa"/>
            <w:tcBorders>
              <w:top w:val="single" w:color="auto" w:sz="4" w:space="0"/>
              <w:left w:val="nil"/>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社会效益指标</w:t>
            </w:r>
          </w:p>
        </w:tc>
        <w:tc>
          <w:tcPr>
            <w:tcW w:w="1774"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“美丽庭院”创建</w:t>
            </w:r>
          </w:p>
        </w:tc>
        <w:tc>
          <w:tcPr>
            <w:tcW w:w="97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生活环境极大改善</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生活环境极大改善</w:t>
            </w:r>
          </w:p>
        </w:tc>
        <w:tc>
          <w:tcPr>
            <w:tcW w:w="58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15</w:t>
            </w:r>
          </w:p>
        </w:tc>
        <w:tc>
          <w:tcPr>
            <w:tcW w:w="71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15</w:t>
            </w:r>
          </w:p>
        </w:tc>
        <w:tc>
          <w:tcPr>
            <w:tcW w:w="124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76" w:hRule="atLeast"/>
        </w:trPr>
        <w:tc>
          <w:tcPr>
            <w:tcW w:w="675"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4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755" w:type="dxa"/>
            <w:tcBorders>
              <w:top w:val="single" w:color="auto" w:sz="4" w:space="0"/>
              <w:left w:val="nil"/>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生态效益指标</w:t>
            </w:r>
          </w:p>
        </w:tc>
        <w:tc>
          <w:tcPr>
            <w:tcW w:w="1774"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　</w:t>
            </w:r>
          </w:p>
        </w:tc>
        <w:tc>
          <w:tcPr>
            <w:tcW w:w="9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58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71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24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459" w:hRule="atLeast"/>
        </w:trPr>
        <w:tc>
          <w:tcPr>
            <w:tcW w:w="675"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4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color w:val="000000"/>
                <w:kern w:val="0"/>
                <w:sz w:val="16"/>
                <w:szCs w:val="16"/>
              </w:rPr>
            </w:pPr>
          </w:p>
        </w:tc>
        <w:tc>
          <w:tcPr>
            <w:tcW w:w="755"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可持续影响指标</w:t>
            </w:r>
          </w:p>
        </w:tc>
        <w:tc>
          <w:tcPr>
            <w:tcW w:w="1774"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　</w:t>
            </w:r>
          </w:p>
        </w:tc>
        <w:tc>
          <w:tcPr>
            <w:tcW w:w="971"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21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58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71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c>
          <w:tcPr>
            <w:tcW w:w="124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82" w:hRule="atLeast"/>
        </w:trPr>
        <w:tc>
          <w:tcPr>
            <w:tcW w:w="675" w:type="dxa"/>
            <w:vMerge w:val="continue"/>
            <w:tcBorders>
              <w:top w:val="nil"/>
              <w:left w:val="single" w:color="auto" w:sz="4" w:space="0"/>
              <w:bottom w:val="nil"/>
              <w:right w:val="single" w:color="auto" w:sz="4" w:space="0"/>
            </w:tcBorders>
            <w:vAlign w:val="center"/>
          </w:tcPr>
          <w:p>
            <w:pPr>
              <w:jc w:val="left"/>
              <w:rPr>
                <w:rFonts w:ascii="宋体" w:hAnsi="宋体" w:cs="宋体"/>
                <w:color w:val="000000"/>
                <w:kern w:val="0"/>
                <w:sz w:val="16"/>
                <w:szCs w:val="16"/>
              </w:rPr>
            </w:pPr>
          </w:p>
        </w:tc>
        <w:tc>
          <w:tcPr>
            <w:tcW w:w="442" w:type="dxa"/>
            <w:tcBorders>
              <w:top w:val="nil"/>
              <w:left w:val="nil"/>
              <w:bottom w:val="nil"/>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满意度指标</w:t>
            </w:r>
          </w:p>
        </w:tc>
        <w:tc>
          <w:tcPr>
            <w:tcW w:w="75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服务对象满意度指标</w:t>
            </w:r>
          </w:p>
        </w:tc>
        <w:tc>
          <w:tcPr>
            <w:tcW w:w="1774" w:type="dxa"/>
            <w:gridSpan w:val="3"/>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16"/>
                <w:szCs w:val="16"/>
              </w:rPr>
            </w:pPr>
            <w:r>
              <w:rPr>
                <w:rFonts w:hint="eastAsia" w:ascii="宋体" w:hAnsi="宋体" w:cs="宋体"/>
                <w:color w:val="000000"/>
                <w:kern w:val="0"/>
                <w:sz w:val="16"/>
                <w:szCs w:val="16"/>
              </w:rPr>
              <w:t>群体满意度</w:t>
            </w:r>
          </w:p>
        </w:tc>
        <w:tc>
          <w:tcPr>
            <w:tcW w:w="971" w:type="dxa"/>
            <w:tcBorders>
              <w:top w:val="nil"/>
              <w:left w:val="nil"/>
              <w:bottom w:val="nil"/>
              <w:right w:val="nil"/>
            </w:tcBorders>
            <w:shd w:val="clear" w:color="auto" w:fill="auto"/>
            <w:noWrap/>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≧80%</w:t>
            </w:r>
          </w:p>
        </w:tc>
        <w:tc>
          <w:tcPr>
            <w:tcW w:w="2165" w:type="dxa"/>
            <w:tcBorders>
              <w:top w:val="nil"/>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16"/>
                <w:szCs w:val="16"/>
              </w:rPr>
            </w:pPr>
            <w:r>
              <w:rPr>
                <w:rFonts w:hint="eastAsia" w:ascii="宋体" w:hAnsi="宋体" w:cs="宋体"/>
                <w:kern w:val="0"/>
                <w:sz w:val="16"/>
                <w:szCs w:val="16"/>
              </w:rPr>
              <w:t>90%</w:t>
            </w:r>
          </w:p>
        </w:tc>
        <w:tc>
          <w:tcPr>
            <w:tcW w:w="58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71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24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65" w:hRule="atLeast"/>
        </w:trPr>
        <w:tc>
          <w:tcPr>
            <w:tcW w:w="6782"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总分</w:t>
            </w:r>
          </w:p>
        </w:tc>
        <w:tc>
          <w:tcPr>
            <w:tcW w:w="584"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716"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1240"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16"/>
                <w:szCs w:val="16"/>
              </w:rPr>
            </w:pPr>
            <w:r>
              <w:rPr>
                <w:rFonts w:hint="eastAsia" w:ascii="宋体" w:hAnsi="宋体" w:cs="宋体"/>
                <w:color w:val="000000"/>
                <w:kern w:val="0"/>
                <w:sz w:val="16"/>
                <w:szCs w:val="16"/>
              </w:rPr>
              <w:t>　</w:t>
            </w:r>
          </w:p>
        </w:tc>
      </w:tr>
    </w:tbl>
    <w:p>
      <w:pPr>
        <w:jc w:val="center"/>
        <w:rPr>
          <w:rFonts w:ascii="黑体" w:hAnsi="黑体" w:eastAsia="黑体"/>
          <w:sz w:val="32"/>
          <w:szCs w:val="24"/>
        </w:rPr>
      </w:pPr>
      <w:r>
        <w:br w:type="page"/>
      </w:r>
      <w:r>
        <w:rPr>
          <w:rFonts w:hint="eastAsia" w:ascii="黑体" w:hAnsi="黑体" w:eastAsia="黑体"/>
          <w:sz w:val="32"/>
          <w:szCs w:val="24"/>
        </w:rPr>
        <w:t>第三部分专业名词解释</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财政拨款收入：指同级财政当年拨付的资金。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上级补助收入：指事业单位从主管部门和上级单位取得的非财政补助收入。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事业收入：指事业单位开展专业业务活动及其辅助活动所取得的收入。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经营收入：指事业单位在专业业务活动及其辅助活动之外开展非独立核算经营活动取得的收入。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附属单位上缴收入：指事业单位附属的独立核算单位按有关规定上缴的收入。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其他收入：指除上述“财政拨款收入”、“事业收入”、“经营收入”、“附属单位上缴收入”等之外取得的收入。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年初结转和结余：指以前年度支出预算因客观条件变化未执行完毕、结转到本年度按有关规定继续使用的资金，既包括财政拨款结转和结余，也包括事业收入、经营收入、其他收入的结转和结余。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基本支出：指为保障机构正常运转、完成日常工作任务而发生的人员支出和公用支出。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项目支出：指在基本支出之外为完成特定行政任务和事业发展目标所发生的支出。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经营支出：指事业单位在专业业务活动及其辅助活动之外开展非独立核算经营活动发生的支出。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对附属单位补助支出：指事业单位发生的用非财政预算资金对附属单位的补助支出。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第四部分部门决算报表（见附表）</w:t>
      </w:r>
    </w:p>
    <w:p>
      <w:pPr>
        <w:spacing w:line="600" w:lineRule="exact"/>
        <w:ind w:firstLine="640"/>
        <w:rPr>
          <w:rFonts w:ascii="黑体" w:hAnsi="黑体" w:eastAsia="黑体"/>
          <w:sz w:val="32"/>
          <w:szCs w:val="24"/>
        </w:rPr>
      </w:pPr>
      <w:r>
        <w:rPr>
          <w:rFonts w:hint="eastAsia" w:ascii="黑体" w:hAnsi="黑体" w:eastAsia="黑体"/>
          <w:sz w:val="32"/>
          <w:szCs w:val="24"/>
        </w:rPr>
        <w:t>一、《收入支出决算总表》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二、《收入决算表》</w:t>
      </w:r>
    </w:p>
    <w:p>
      <w:pPr>
        <w:spacing w:line="600" w:lineRule="exact"/>
        <w:ind w:firstLine="640"/>
        <w:rPr>
          <w:rFonts w:ascii="黑体" w:hAnsi="黑体" w:eastAsia="黑体"/>
          <w:sz w:val="32"/>
          <w:szCs w:val="24"/>
        </w:rPr>
      </w:pPr>
      <w:r>
        <w:rPr>
          <w:rFonts w:hint="eastAsia" w:ascii="黑体" w:hAnsi="黑体" w:eastAsia="黑体"/>
          <w:sz w:val="32"/>
          <w:szCs w:val="24"/>
        </w:rPr>
        <w:t>三、《支出决算表》</w:t>
      </w:r>
    </w:p>
    <w:p>
      <w:pPr>
        <w:spacing w:line="600" w:lineRule="exact"/>
        <w:ind w:firstLine="640"/>
        <w:rPr>
          <w:rFonts w:ascii="黑体" w:hAnsi="黑体" w:eastAsia="黑体"/>
          <w:sz w:val="32"/>
          <w:szCs w:val="24"/>
        </w:rPr>
      </w:pPr>
      <w:r>
        <w:rPr>
          <w:rFonts w:hint="eastAsia" w:ascii="黑体" w:hAnsi="黑体" w:eastAsia="黑体"/>
          <w:sz w:val="32"/>
          <w:szCs w:val="24"/>
        </w:rPr>
        <w:t>四、《财政拨款收入支出决算总表》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五、《一般公共预算财政拨款支出决算表》</w:t>
      </w:r>
    </w:p>
    <w:p>
      <w:pPr>
        <w:spacing w:line="600" w:lineRule="exact"/>
        <w:ind w:firstLine="640"/>
        <w:rPr>
          <w:rFonts w:ascii="黑体" w:hAnsi="黑体" w:eastAsia="黑体"/>
          <w:sz w:val="32"/>
          <w:szCs w:val="24"/>
        </w:rPr>
      </w:pPr>
      <w:r>
        <w:rPr>
          <w:rFonts w:hint="eastAsia" w:ascii="黑体" w:hAnsi="黑体" w:eastAsia="黑体"/>
          <w:sz w:val="32"/>
          <w:szCs w:val="24"/>
        </w:rPr>
        <w:t>六、《一般公共预算财政拨款基本支出决算表》</w:t>
      </w:r>
    </w:p>
    <w:p>
      <w:pPr>
        <w:spacing w:line="600" w:lineRule="exact"/>
        <w:ind w:firstLine="640"/>
        <w:rPr>
          <w:rFonts w:ascii="黑体" w:hAnsi="黑体" w:eastAsia="黑体"/>
          <w:sz w:val="32"/>
          <w:szCs w:val="24"/>
        </w:rPr>
      </w:pPr>
      <w:r>
        <w:rPr>
          <w:rFonts w:hint="eastAsia" w:ascii="黑体" w:hAnsi="黑体" w:eastAsia="黑体"/>
          <w:sz w:val="32"/>
          <w:szCs w:val="24"/>
        </w:rPr>
        <w:t>七、《一般公共预算财政拨款“三公”经费支出决算表》</w:t>
      </w:r>
    </w:p>
    <w:p>
      <w:pPr>
        <w:spacing w:line="600" w:lineRule="exact"/>
        <w:ind w:firstLine="640"/>
        <w:rPr>
          <w:rFonts w:ascii="黑体" w:hAnsi="黑体" w:eastAsia="黑体"/>
          <w:sz w:val="32"/>
          <w:szCs w:val="24"/>
        </w:rPr>
      </w:pPr>
      <w:r>
        <w:rPr>
          <w:rFonts w:hint="eastAsia" w:ascii="黑体" w:hAnsi="黑体" w:eastAsia="黑体"/>
          <w:sz w:val="32"/>
          <w:szCs w:val="24"/>
        </w:rPr>
        <w:t>八、《政府性基金预算财政拨款收入支出决算表》此表为空表</w:t>
      </w:r>
    </w:p>
    <w:p>
      <w:pPr>
        <w:spacing w:line="600" w:lineRule="exact"/>
        <w:ind w:firstLine="640"/>
        <w:rPr>
          <w:rFonts w:ascii="黑体" w:hAnsi="黑体" w:eastAsia="黑体"/>
          <w:sz w:val="32"/>
          <w:szCs w:val="24"/>
        </w:rPr>
      </w:pPr>
      <w:r>
        <w:rPr>
          <w:rFonts w:hint="eastAsia" w:ascii="黑体" w:hAnsi="黑体" w:eastAsia="黑体"/>
          <w:sz w:val="32"/>
          <w:szCs w:val="24"/>
        </w:rPr>
        <w:t>九、《国有资本经营预算财政拨款收入支出决算表》此表为空表</w:t>
      </w:r>
    </w:p>
    <w:p>
      <w:pPr>
        <w:keepNext/>
        <w:keepLines/>
        <w:ind w:firstLine="640"/>
        <w:rPr>
          <w:rFonts w:ascii="黑体" w:hAnsi="黑体" w:eastAsia="黑体"/>
          <w:kern w:val="0"/>
          <w:sz w:val="32"/>
          <w:szCs w:val="24"/>
        </w:rPr>
      </w:pPr>
    </w:p>
    <w:p>
      <w:pPr>
        <w:jc w:val="left"/>
        <w:rPr>
          <w:rFonts w:ascii="黑体" w:hAnsi="黑体" w:eastAsia="黑体"/>
          <w:sz w:val="32"/>
          <w:szCs w:val="24"/>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2"/>
  </w:compat>
  <w:rsids>
    <w:rsidRoot w:val="004F093D"/>
    <w:rsid w:val="002211AE"/>
    <w:rsid w:val="00234C44"/>
    <w:rsid w:val="003833AA"/>
    <w:rsid w:val="003F21F3"/>
    <w:rsid w:val="004F093D"/>
    <w:rsid w:val="004F2320"/>
    <w:rsid w:val="00506F38"/>
    <w:rsid w:val="00553FE8"/>
    <w:rsid w:val="00644197"/>
    <w:rsid w:val="006C7834"/>
    <w:rsid w:val="00777061"/>
    <w:rsid w:val="007A20FC"/>
    <w:rsid w:val="00A24749"/>
    <w:rsid w:val="00C02C70"/>
    <w:rsid w:val="00C77BCD"/>
    <w:rsid w:val="00E303A4"/>
    <w:rsid w:val="00E6653F"/>
    <w:rsid w:val="19FD61E3"/>
    <w:rsid w:val="1B981EB6"/>
    <w:rsid w:val="1D3A7AC2"/>
    <w:rsid w:val="205F74EC"/>
    <w:rsid w:val="3E39691C"/>
    <w:rsid w:val="519115A0"/>
    <w:rsid w:val="5E13116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name="heading 2"/>
    <w:lsdException w:qFormat="1" w:uiPriority="99" w:name="heading 3"/>
    <w:lsdException w:qFormat="1" w:uiPriority="99" w:name="heading 4"/>
    <w:lsdException w:qFormat="1" w:uiPriority="99" w:name="heading 5"/>
    <w:lsdException w:qFormat="1" w:uiPriority="99" w:name="heading 6"/>
    <w:lsdException w:qFormat="1" w:uiPriority="99" w:name="heading 7"/>
    <w:lsdException w:qFormat="1" w:uiPriority="99" w:name="heading 8"/>
    <w:lsdException w:qFormat="1" w:uiPriority="99"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iPriority="99"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nhideWhenUsed="0" w:uiPriority="99" w:semiHidden="0" w:name="Balloon Text"/>
    <w:lsdException w:qFormat="1" w:unhideWhenUsed="0" w:uiPriority="99" w:semiHidden="0"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rFonts w:cs="Times New Roman"/>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1108</Words>
  <Characters>6322</Characters>
  <Lines>52</Lines>
  <Paragraphs>14</Paragraphs>
  <TotalTime>34</TotalTime>
  <ScaleCrop>false</ScaleCrop>
  <LinksUpToDate>false</LinksUpToDate>
  <CharactersWithSpaces>7416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2021-08-05T05:18:00Z</dcterms:created>
  <dc:creator>Windows 10</dc:creator>
  <cp:lastModifiedBy>Administrator</cp:lastModifiedBy>
  <dcterms:modified xsi:type="dcterms:W3CDTF">2025-02-08T09:21:22Z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3B6D560EA845460A9DF7E6FABE04C815</vt:lpwstr>
  </property>
</Properties>
</file>