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bookmarkStart w:id="0" w:name="_GoBack"/>
      <w:bookmarkEnd w:id="0"/>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新疆昌吉玛纳斯县信访投诉受理服务中心</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目录</w:t>
      </w:r>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一）贯彻落实党中央、国务院和自治区、自治州党委、人民政府及上级主管部门关于信访工作的方针、政策和法规，指导全县的信访工作。（二）处理向县委、县人民政府反映问题的群众来信来访，及时向党委和政府领导报告来信来访中提出的重要建议及反映的重大情况。（三）办理县党政领导和上级机关交办的群众来信来访事项。（四）做好领导接待群众来信来访的事前准备和事后交办、催办等落实工作。（五）组织和协调有关部门联合办案，会同处理“老大难”信访问题。（六）负责督促、检查各乡镇及县直各部门（党委）对党委政府关于信访工作的安排部署的贯彻落实情况。（七）承担县信访领导小组办公室的日常工作。（八）定期结合分析信访形势，对信访问题及时调查研究，向</w:t>
      </w:r>
      <w:r>
        <w:rPr>
          <w:rFonts w:hint="eastAsia" w:ascii="仿宋_GB2312" w:hAnsi="仿宋_GB2312" w:eastAsia="仿宋_GB2312"/>
          <w:sz w:val="32"/>
          <w:szCs w:val="24"/>
          <w:lang w:eastAsia="zh-CN"/>
        </w:rPr>
        <w:t>县委、县政府</w:t>
      </w:r>
      <w:r>
        <w:rPr>
          <w:rFonts w:hint="eastAsia" w:ascii="仿宋_GB2312" w:hAnsi="仿宋_GB2312" w:eastAsia="仿宋_GB2312"/>
          <w:sz w:val="32"/>
          <w:szCs w:val="24"/>
        </w:rPr>
        <w:t>和自治州信访部门提供各种信访信息，并提出有关信访工作的建议与措施。（九）宣传和贯彻落实《信访条例》，负责全县信访工作的业务指导，负责信访队伍的业务培训。（十）完成县委、县人民政府交办的其他工作任务。</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新疆昌吉玛纳斯县信访投诉受理服务中心</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5</w:t>
      </w:r>
      <w:r>
        <w:rPr>
          <w:rFonts w:hint="eastAsia" w:ascii="仿宋_GB2312" w:hAnsi="仿宋_GB2312" w:eastAsia="仿宋_GB2312"/>
          <w:sz w:val="32"/>
          <w:szCs w:val="24"/>
        </w:rPr>
        <w:t>人，其中：在职人员</w:t>
      </w:r>
      <w:r>
        <w:rPr>
          <w:rFonts w:ascii="仿宋_GB2312" w:hAnsi="仿宋_GB2312" w:eastAsia="仿宋_GB2312"/>
          <w:sz w:val="32"/>
          <w:szCs w:val="24"/>
        </w:rPr>
        <w:t>5</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从部门决算单位构成看，新疆昌吉玛纳斯县信访投诉受理服务中心部门决算包括：新疆昌吉玛纳斯县信访投诉受理服务中心决算。单位无下属预算单位，下设</w:t>
      </w:r>
      <w:r>
        <w:rPr>
          <w:rFonts w:ascii="仿宋_GB2312" w:hAnsi="仿宋_GB2312" w:eastAsia="仿宋_GB2312"/>
          <w:sz w:val="32"/>
          <w:szCs w:val="24"/>
        </w:rPr>
        <w:t>0</w:t>
      </w:r>
      <w:r>
        <w:rPr>
          <w:rFonts w:hint="eastAsia" w:ascii="仿宋_GB2312" w:hAnsi="仿宋_GB2312" w:eastAsia="仿宋_GB2312"/>
          <w:sz w:val="32"/>
          <w:szCs w:val="24"/>
        </w:rPr>
        <w:t>个处室，分别是：我单位无下设处室。</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110.70</w:t>
      </w:r>
      <w:r>
        <w:rPr>
          <w:rFonts w:hint="eastAsia" w:ascii="仿宋_GB2312" w:hAnsi="仿宋_GB2312" w:eastAsia="仿宋_GB2312"/>
          <w:sz w:val="32"/>
          <w:szCs w:val="24"/>
        </w:rPr>
        <w:t>万元，与上年相比，减少</w:t>
      </w:r>
      <w:r>
        <w:rPr>
          <w:rFonts w:ascii="仿宋_GB2312" w:hAnsi="仿宋_GB2312" w:eastAsia="仿宋_GB2312"/>
          <w:sz w:val="32"/>
          <w:szCs w:val="24"/>
        </w:rPr>
        <w:t>16.83</w:t>
      </w:r>
      <w:r>
        <w:rPr>
          <w:rFonts w:hint="eastAsia" w:ascii="仿宋_GB2312" w:hAnsi="仿宋_GB2312" w:eastAsia="仿宋_GB2312"/>
          <w:sz w:val="32"/>
          <w:szCs w:val="24"/>
        </w:rPr>
        <w:t>万元，降低</w:t>
      </w:r>
      <w:r>
        <w:rPr>
          <w:rFonts w:ascii="仿宋_GB2312" w:hAnsi="仿宋_GB2312" w:eastAsia="仿宋_GB2312"/>
          <w:sz w:val="32"/>
          <w:szCs w:val="24"/>
        </w:rPr>
        <w:t>13.20%</w:t>
      </w:r>
      <w:r>
        <w:rPr>
          <w:rFonts w:hint="eastAsia" w:ascii="仿宋_GB2312" w:hAnsi="仿宋_GB2312" w:eastAsia="仿宋_GB2312"/>
          <w:sz w:val="32"/>
          <w:szCs w:val="24"/>
        </w:rPr>
        <w:t>，主要原因是：本年单位缴纳社保费用降低；同时压缩办公支出，减少人员经费支出，导致收入减少。本年支出</w:t>
      </w:r>
      <w:r>
        <w:rPr>
          <w:rFonts w:ascii="仿宋_GB2312" w:hAnsi="仿宋_GB2312" w:eastAsia="仿宋_GB2312"/>
          <w:sz w:val="32"/>
          <w:szCs w:val="24"/>
        </w:rPr>
        <w:t>110.70</w:t>
      </w:r>
      <w:r>
        <w:rPr>
          <w:rFonts w:hint="eastAsia" w:ascii="仿宋_GB2312" w:hAnsi="仿宋_GB2312" w:eastAsia="仿宋_GB2312"/>
          <w:sz w:val="32"/>
          <w:szCs w:val="24"/>
        </w:rPr>
        <w:t>万元，与上年相比，减少</w:t>
      </w:r>
      <w:r>
        <w:rPr>
          <w:rFonts w:ascii="仿宋_GB2312" w:hAnsi="仿宋_GB2312" w:eastAsia="仿宋_GB2312"/>
          <w:sz w:val="32"/>
          <w:szCs w:val="24"/>
        </w:rPr>
        <w:t>16.83</w:t>
      </w:r>
      <w:r>
        <w:rPr>
          <w:rFonts w:hint="eastAsia" w:ascii="仿宋_GB2312" w:hAnsi="仿宋_GB2312" w:eastAsia="仿宋_GB2312"/>
          <w:sz w:val="32"/>
          <w:szCs w:val="24"/>
        </w:rPr>
        <w:t>万元，降低</w:t>
      </w:r>
      <w:r>
        <w:rPr>
          <w:rFonts w:ascii="仿宋_GB2312" w:hAnsi="仿宋_GB2312" w:eastAsia="仿宋_GB2312"/>
          <w:sz w:val="32"/>
          <w:szCs w:val="24"/>
        </w:rPr>
        <w:t>13.20%</w:t>
      </w:r>
      <w:r>
        <w:rPr>
          <w:rFonts w:hint="eastAsia" w:ascii="仿宋_GB2312" w:hAnsi="仿宋_GB2312" w:eastAsia="仿宋_GB2312"/>
          <w:sz w:val="32"/>
          <w:szCs w:val="24"/>
        </w:rPr>
        <w:t>，主要原因是：本年单位缴纳社保费用降低；同时压缩办公支出，减少人员经费支出，导致支出减少。</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110.70</w:t>
      </w:r>
      <w:r>
        <w:rPr>
          <w:rFonts w:hint="eastAsia" w:ascii="仿宋_GB2312" w:hAnsi="仿宋_GB2312" w:eastAsia="仿宋_GB2312"/>
          <w:sz w:val="32"/>
          <w:szCs w:val="24"/>
        </w:rPr>
        <w:t>万元，其中：财政拨款收入</w:t>
      </w:r>
      <w:r>
        <w:rPr>
          <w:rFonts w:ascii="仿宋_GB2312" w:hAnsi="仿宋_GB2312" w:eastAsia="仿宋_GB2312"/>
          <w:sz w:val="32"/>
          <w:szCs w:val="24"/>
        </w:rPr>
        <w:t>110.70</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；上级补助收入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110.70</w:t>
      </w:r>
      <w:r>
        <w:rPr>
          <w:rFonts w:hint="eastAsia" w:ascii="仿宋_GB2312" w:hAnsi="仿宋_GB2312" w:eastAsia="仿宋_GB2312"/>
          <w:sz w:val="32"/>
          <w:szCs w:val="24"/>
        </w:rPr>
        <w:t>万元，其中：基本支出</w:t>
      </w:r>
      <w:r>
        <w:rPr>
          <w:rFonts w:ascii="仿宋_GB2312" w:hAnsi="仿宋_GB2312" w:eastAsia="仿宋_GB2312"/>
          <w:sz w:val="32"/>
          <w:szCs w:val="24"/>
        </w:rPr>
        <w:t>110.70</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；项目支出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；上缴上级支出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110.70</w:t>
      </w:r>
      <w:r>
        <w:rPr>
          <w:rFonts w:hint="eastAsia" w:ascii="仿宋_GB2312" w:hAnsi="仿宋_GB2312" w:eastAsia="仿宋_GB2312"/>
          <w:sz w:val="32"/>
          <w:szCs w:val="24"/>
        </w:rPr>
        <w:t>万元，与上年相比，减少</w:t>
      </w:r>
      <w:r>
        <w:rPr>
          <w:rFonts w:ascii="仿宋_GB2312" w:hAnsi="仿宋_GB2312" w:eastAsia="仿宋_GB2312"/>
          <w:sz w:val="32"/>
          <w:szCs w:val="24"/>
        </w:rPr>
        <w:t>16.83</w:t>
      </w:r>
      <w:r>
        <w:rPr>
          <w:rFonts w:hint="eastAsia" w:ascii="仿宋_GB2312" w:hAnsi="仿宋_GB2312" w:eastAsia="仿宋_GB2312"/>
          <w:sz w:val="32"/>
          <w:szCs w:val="24"/>
        </w:rPr>
        <w:t>万元，降低</w:t>
      </w:r>
      <w:r>
        <w:rPr>
          <w:rFonts w:ascii="仿宋_GB2312" w:hAnsi="仿宋_GB2312" w:eastAsia="仿宋_GB2312"/>
          <w:sz w:val="32"/>
          <w:szCs w:val="24"/>
        </w:rPr>
        <w:t>13.20%</w:t>
      </w:r>
      <w:r>
        <w:rPr>
          <w:rFonts w:hint="eastAsia" w:ascii="仿宋_GB2312" w:hAnsi="仿宋_GB2312" w:eastAsia="仿宋_GB2312"/>
          <w:sz w:val="32"/>
          <w:szCs w:val="24"/>
        </w:rPr>
        <w:t>。主要原因是：本年单位缴纳社保费用降低；同时压缩办公支出，减少人员经费支出，导致收入减少。财政拨款支出</w:t>
      </w:r>
      <w:r>
        <w:rPr>
          <w:rFonts w:ascii="仿宋_GB2312" w:hAnsi="仿宋_GB2312" w:eastAsia="仿宋_GB2312"/>
          <w:sz w:val="32"/>
          <w:szCs w:val="24"/>
        </w:rPr>
        <w:t>110.70</w:t>
      </w:r>
      <w:r>
        <w:rPr>
          <w:rFonts w:hint="eastAsia" w:ascii="仿宋_GB2312" w:hAnsi="仿宋_GB2312" w:eastAsia="仿宋_GB2312"/>
          <w:sz w:val="32"/>
          <w:szCs w:val="24"/>
        </w:rPr>
        <w:t>万元，与上年相比，减少</w:t>
      </w:r>
      <w:r>
        <w:rPr>
          <w:rFonts w:ascii="仿宋_GB2312" w:hAnsi="仿宋_GB2312" w:eastAsia="仿宋_GB2312"/>
          <w:sz w:val="32"/>
          <w:szCs w:val="24"/>
        </w:rPr>
        <w:t>16.83</w:t>
      </w:r>
      <w:r>
        <w:rPr>
          <w:rFonts w:hint="eastAsia" w:ascii="仿宋_GB2312" w:hAnsi="仿宋_GB2312" w:eastAsia="仿宋_GB2312"/>
          <w:sz w:val="32"/>
          <w:szCs w:val="24"/>
        </w:rPr>
        <w:t>万元，降低</w:t>
      </w:r>
      <w:r>
        <w:rPr>
          <w:rFonts w:ascii="仿宋_GB2312" w:hAnsi="仿宋_GB2312" w:eastAsia="仿宋_GB2312"/>
          <w:sz w:val="32"/>
          <w:szCs w:val="24"/>
        </w:rPr>
        <w:t>13.20%</w:t>
      </w:r>
      <w:r>
        <w:rPr>
          <w:rFonts w:hint="eastAsia" w:ascii="仿宋_GB2312" w:hAnsi="仿宋_GB2312" w:eastAsia="仿宋_GB2312"/>
          <w:sz w:val="32"/>
          <w:szCs w:val="24"/>
        </w:rPr>
        <w:t>，主要原因是：本年单位缴纳社保费用降低；同时压缩办公支出，减少人员经费支出，导致支出减少。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109.53</w:t>
      </w:r>
      <w:r>
        <w:rPr>
          <w:rFonts w:hint="eastAsia" w:ascii="仿宋_GB2312" w:hAnsi="仿宋_GB2312" w:eastAsia="仿宋_GB2312"/>
          <w:sz w:val="32"/>
          <w:szCs w:val="24"/>
        </w:rPr>
        <w:t>万元，决算数</w:t>
      </w:r>
      <w:r>
        <w:rPr>
          <w:rFonts w:ascii="仿宋_GB2312" w:hAnsi="仿宋_GB2312" w:eastAsia="仿宋_GB2312"/>
          <w:sz w:val="32"/>
          <w:szCs w:val="24"/>
        </w:rPr>
        <w:t>110.70</w:t>
      </w:r>
      <w:r>
        <w:rPr>
          <w:rFonts w:hint="eastAsia" w:ascii="仿宋_GB2312" w:hAnsi="仿宋_GB2312" w:eastAsia="仿宋_GB2312"/>
          <w:sz w:val="32"/>
          <w:szCs w:val="24"/>
        </w:rPr>
        <w:t>万元，预决算差异率</w:t>
      </w:r>
      <w:r>
        <w:rPr>
          <w:rFonts w:ascii="仿宋_GB2312" w:hAnsi="仿宋_GB2312" w:eastAsia="仿宋_GB2312"/>
          <w:sz w:val="32"/>
          <w:szCs w:val="24"/>
        </w:rPr>
        <w:t>1.07%</w:t>
      </w:r>
      <w:r>
        <w:rPr>
          <w:rFonts w:hint="eastAsia" w:ascii="仿宋_GB2312" w:hAnsi="仿宋_GB2312" w:eastAsia="仿宋_GB2312"/>
          <w:sz w:val="32"/>
          <w:szCs w:val="24"/>
        </w:rPr>
        <w:t>，主要原因是：人员年度考核工资调增，预决算收入产生差异。财政拨款支出年初预算数</w:t>
      </w:r>
      <w:r>
        <w:rPr>
          <w:rFonts w:ascii="仿宋_GB2312" w:hAnsi="仿宋_GB2312" w:eastAsia="仿宋_GB2312"/>
          <w:sz w:val="32"/>
          <w:szCs w:val="24"/>
        </w:rPr>
        <w:t>109.53</w:t>
      </w:r>
      <w:r>
        <w:rPr>
          <w:rFonts w:hint="eastAsia" w:ascii="仿宋_GB2312" w:hAnsi="仿宋_GB2312" w:eastAsia="仿宋_GB2312"/>
          <w:sz w:val="32"/>
          <w:szCs w:val="24"/>
        </w:rPr>
        <w:t>万元，决算数</w:t>
      </w:r>
      <w:r>
        <w:rPr>
          <w:rFonts w:ascii="仿宋_GB2312" w:hAnsi="仿宋_GB2312" w:eastAsia="仿宋_GB2312"/>
          <w:sz w:val="32"/>
          <w:szCs w:val="24"/>
        </w:rPr>
        <w:t>110.70</w:t>
      </w:r>
      <w:r>
        <w:rPr>
          <w:rFonts w:hint="eastAsia" w:ascii="仿宋_GB2312" w:hAnsi="仿宋_GB2312" w:eastAsia="仿宋_GB2312"/>
          <w:sz w:val="32"/>
          <w:szCs w:val="24"/>
        </w:rPr>
        <w:t>万元，预决算差异率</w:t>
      </w:r>
      <w:r>
        <w:rPr>
          <w:rFonts w:ascii="仿宋_GB2312" w:hAnsi="仿宋_GB2312" w:eastAsia="仿宋_GB2312"/>
          <w:sz w:val="32"/>
          <w:szCs w:val="24"/>
        </w:rPr>
        <w:t>1.07%</w:t>
      </w:r>
      <w:r>
        <w:rPr>
          <w:rFonts w:hint="eastAsia" w:ascii="仿宋_GB2312" w:hAnsi="仿宋_GB2312" w:eastAsia="仿宋_GB2312"/>
          <w:sz w:val="32"/>
          <w:szCs w:val="24"/>
        </w:rPr>
        <w:t>，主要原因是：人员年度考核工资调增，预决算支出产生差异。</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110.70</w:t>
      </w:r>
      <w:r>
        <w:rPr>
          <w:rFonts w:hint="eastAsia" w:ascii="仿宋_GB2312" w:hAnsi="仿宋_GB2312" w:eastAsia="仿宋_GB2312"/>
          <w:sz w:val="32"/>
          <w:szCs w:val="24"/>
        </w:rPr>
        <w:t>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2010308</w:t>
      </w:r>
      <w:r>
        <w:rPr>
          <w:rFonts w:hint="eastAsia" w:ascii="仿宋_GB2312" w:hAnsi="仿宋_GB2312" w:eastAsia="仿宋_GB2312"/>
          <w:sz w:val="32"/>
          <w:szCs w:val="24"/>
        </w:rPr>
        <w:t>信访事务</w:t>
      </w:r>
      <w:r>
        <w:rPr>
          <w:rFonts w:ascii="仿宋_GB2312" w:hAnsi="仿宋_GB2312" w:eastAsia="仿宋_GB2312"/>
          <w:sz w:val="32"/>
          <w:szCs w:val="24"/>
        </w:rPr>
        <w:t>104.1</w:t>
      </w:r>
      <w:r>
        <w:rPr>
          <w:rFonts w:hint="eastAsia" w:ascii="仿宋_GB2312" w:hAnsi="仿宋_GB2312" w:eastAsia="仿宋_GB2312"/>
          <w:sz w:val="32"/>
          <w:szCs w:val="24"/>
        </w:rPr>
        <w:t>9万元；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6.51</w:t>
      </w:r>
      <w:r>
        <w:rPr>
          <w:rFonts w:hint="eastAsia" w:ascii="仿宋_GB2312" w:hAnsi="仿宋_GB2312" w:eastAsia="仿宋_GB2312"/>
          <w:sz w:val="32"/>
          <w:szCs w:val="24"/>
        </w:rPr>
        <w:t>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110.70</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89.3</w:t>
      </w:r>
      <w:r>
        <w:rPr>
          <w:rFonts w:hint="eastAsia" w:ascii="仿宋_GB2312" w:hAnsi="仿宋_GB2312" w:eastAsia="仿宋_GB2312"/>
          <w:sz w:val="32"/>
          <w:szCs w:val="24"/>
        </w:rPr>
        <w:t>5万元，包括：基本工资、津贴补贴、奖金、绩效工资、机关事业单位基本养老保险缴费、职工基本医疗保险缴费、公务员医疗补助缴费、其他社会保障缴费、住房公积金、其他工资福利支出、退休费、奖励金。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21.35</w:t>
      </w:r>
      <w:r>
        <w:rPr>
          <w:rFonts w:hint="eastAsia" w:ascii="仿宋_GB2312" w:hAnsi="仿宋_GB2312" w:eastAsia="仿宋_GB2312"/>
          <w:sz w:val="32"/>
          <w:szCs w:val="24"/>
        </w:rPr>
        <w:t>万元，包括：办公费、水费、邮电费、差旅费、维修（护）费、劳务费、工会经费、福利费、公务用车运行维护费、办公设备购置、专用设备购置。</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1.63</w:t>
      </w:r>
      <w:r>
        <w:rPr>
          <w:rFonts w:hint="eastAsia" w:ascii="仿宋_GB2312" w:hAnsi="仿宋_GB2312" w:eastAsia="仿宋_GB2312"/>
          <w:sz w:val="32"/>
          <w:szCs w:val="24"/>
        </w:rPr>
        <w:t>万元，比上年减少</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万元，降低</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，主要原因是2</w:t>
      </w:r>
      <w:r>
        <w:rPr>
          <w:rFonts w:ascii="仿宋_GB2312" w:hAnsi="仿宋_GB2312" w:eastAsia="仿宋_GB2312"/>
          <w:sz w:val="32"/>
          <w:szCs w:val="24"/>
        </w:rPr>
        <w:t>020</w:t>
      </w:r>
      <w:r>
        <w:rPr>
          <w:rFonts w:hint="eastAsia" w:ascii="仿宋_GB2312" w:hAnsi="仿宋_GB2312" w:eastAsia="仿宋_GB2312"/>
          <w:sz w:val="32"/>
          <w:szCs w:val="24"/>
        </w:rPr>
        <w:t>年我单位</w:t>
      </w:r>
      <w:r>
        <w:rPr>
          <w:rFonts w:hint="eastAsia" w:ascii="仿宋_GB2312" w:eastAsia="仿宋_GB2312"/>
          <w:sz w:val="32"/>
          <w:szCs w:val="22"/>
        </w:rPr>
        <w:t>严格执行中央八项规定，控制</w:t>
      </w:r>
      <w:r>
        <w:rPr>
          <w:rFonts w:hint="eastAsia" w:ascii="仿宋_GB2312" w:hAnsi="仿宋_GB2312" w:eastAsia="仿宋_GB2312"/>
          <w:sz w:val="32"/>
          <w:szCs w:val="24"/>
        </w:rPr>
        <w:t>“三公”经费，与上年相比本年无变化。其中，因公出国（境）费支出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年单位无因公出国（境）费支出，与上年相比无变化；公务用车购置及运行维护费支出</w:t>
      </w:r>
      <w:r>
        <w:rPr>
          <w:rFonts w:ascii="仿宋_GB2312" w:hAnsi="仿宋_GB2312" w:eastAsia="仿宋_GB2312"/>
          <w:sz w:val="32"/>
          <w:szCs w:val="24"/>
        </w:rPr>
        <w:t>1.63</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sz w:val="32"/>
          <w:szCs w:val="24"/>
        </w:rPr>
        <w:t>，比上年减少</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万元，降低</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，主要原因是2</w:t>
      </w:r>
      <w:r>
        <w:rPr>
          <w:rFonts w:ascii="仿宋_GB2312" w:hAnsi="仿宋_GB2312" w:eastAsia="仿宋_GB2312"/>
          <w:sz w:val="32"/>
          <w:szCs w:val="24"/>
        </w:rPr>
        <w:t>020</w:t>
      </w:r>
      <w:r>
        <w:rPr>
          <w:rFonts w:hint="eastAsia" w:ascii="仿宋_GB2312" w:hAnsi="仿宋_GB2312" w:eastAsia="仿宋_GB2312"/>
          <w:sz w:val="32"/>
          <w:szCs w:val="24"/>
        </w:rPr>
        <w:t>年我单位</w:t>
      </w:r>
      <w:r>
        <w:rPr>
          <w:rFonts w:hint="eastAsia" w:ascii="仿宋_GB2312" w:eastAsia="仿宋_GB2312"/>
          <w:sz w:val="32"/>
          <w:szCs w:val="22"/>
        </w:rPr>
        <w:t>严格执行中央八项规定，控制</w:t>
      </w:r>
      <w:r>
        <w:rPr>
          <w:rFonts w:hint="eastAsia" w:ascii="仿宋_GB2312" w:hAnsi="仿宋_GB2312" w:eastAsia="仿宋_GB2312"/>
          <w:sz w:val="32"/>
          <w:szCs w:val="24"/>
        </w:rPr>
        <w:t>“三公”经费，与上年相比本年无变化；公务接待费支出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，主要原因是本单位本年无此项支出。具体情况如下：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1.63</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万元，公务用车运行维护费</w:t>
      </w:r>
      <w:r>
        <w:rPr>
          <w:rFonts w:ascii="仿宋_GB2312" w:hAnsi="仿宋_GB2312" w:eastAsia="仿宋_GB2312"/>
          <w:sz w:val="32"/>
          <w:szCs w:val="24"/>
        </w:rPr>
        <w:t>1.63</w:t>
      </w:r>
      <w:r>
        <w:rPr>
          <w:rFonts w:hint="eastAsia" w:ascii="仿宋_GB2312" w:hAnsi="仿宋_GB2312" w:eastAsia="仿宋_GB2312"/>
          <w:sz w:val="32"/>
          <w:szCs w:val="24"/>
        </w:rPr>
        <w:t>万元。公务用车运行维护费开支内容包括公务用车燃油费、维修费、过路过桥费、保险费等。公务用车购置数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1</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万元，开支内容包括本年无此项支出。单位全年安排的国内公务接待</w:t>
      </w:r>
      <w:r>
        <w:rPr>
          <w:rFonts w:ascii="仿宋_GB2312" w:hAnsi="仿宋_GB2312" w:eastAsia="仿宋_GB2312"/>
          <w:sz w:val="32"/>
          <w:szCs w:val="24"/>
        </w:rPr>
        <w:t>0</w:t>
      </w:r>
      <w:r>
        <w:rPr>
          <w:rFonts w:hint="eastAsia" w:ascii="仿宋_GB2312" w:hAnsi="仿宋_GB2312" w:eastAsia="仿宋_GB2312"/>
          <w:sz w:val="32"/>
          <w:szCs w:val="24"/>
        </w:rPr>
        <w:t>批次，</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w:t>
      </w:r>
      <w:r>
        <w:rPr>
          <w:rFonts w:ascii="仿宋_GB2312" w:hAnsi="仿宋_GB2312" w:eastAsia="仿宋_GB2312"/>
          <w:sz w:val="32"/>
          <w:szCs w:val="24"/>
        </w:rPr>
        <w:t>1.74</w:t>
      </w:r>
      <w:r>
        <w:rPr>
          <w:rFonts w:hint="eastAsia" w:ascii="仿宋_GB2312" w:hAnsi="仿宋_GB2312" w:eastAsia="仿宋_GB2312"/>
          <w:sz w:val="32"/>
          <w:szCs w:val="24"/>
        </w:rPr>
        <w:t>万元，决算数</w:t>
      </w:r>
      <w:r>
        <w:rPr>
          <w:rFonts w:ascii="仿宋_GB2312" w:hAnsi="仿宋_GB2312" w:eastAsia="仿宋_GB2312"/>
          <w:sz w:val="32"/>
          <w:szCs w:val="24"/>
        </w:rPr>
        <w:t>1.63</w:t>
      </w:r>
      <w:r>
        <w:rPr>
          <w:rFonts w:hint="eastAsia" w:ascii="仿宋_GB2312" w:hAnsi="仿宋_GB2312" w:eastAsia="仿宋_GB2312"/>
          <w:sz w:val="32"/>
          <w:szCs w:val="24"/>
        </w:rPr>
        <w:t>万元，预决算差异率</w:t>
      </w:r>
      <w:r>
        <w:rPr>
          <w:rFonts w:ascii="仿宋_GB2312" w:hAnsi="仿宋_GB2312" w:eastAsia="仿宋_GB2312"/>
          <w:sz w:val="32"/>
          <w:szCs w:val="24"/>
        </w:rPr>
        <w:t>-6.32%</w:t>
      </w:r>
      <w:r>
        <w:rPr>
          <w:rFonts w:hint="eastAsia" w:ascii="仿宋_GB2312" w:hAnsi="仿宋_GB2312" w:eastAsia="仿宋_GB2312"/>
          <w:sz w:val="32"/>
          <w:szCs w:val="24"/>
        </w:rPr>
        <w:t>，主要原因是：厉行节约，减少公务用车燃油费、维修费等支出。其中：因公出国（境）费预算数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，主要原因是：我单位本年无公务用车购置费支出；公务用车运行费预算数</w:t>
      </w:r>
      <w:r>
        <w:rPr>
          <w:rFonts w:ascii="仿宋_GB2312" w:hAnsi="仿宋_GB2312" w:eastAsia="仿宋_GB2312"/>
          <w:sz w:val="32"/>
          <w:szCs w:val="24"/>
        </w:rPr>
        <w:t>1.74</w:t>
      </w:r>
      <w:r>
        <w:rPr>
          <w:rFonts w:hint="eastAsia" w:ascii="仿宋_GB2312" w:hAnsi="仿宋_GB2312" w:eastAsia="仿宋_GB2312"/>
          <w:sz w:val="32"/>
          <w:szCs w:val="24"/>
        </w:rPr>
        <w:t>万元，决算数</w:t>
      </w:r>
      <w:r>
        <w:rPr>
          <w:rFonts w:ascii="仿宋_GB2312" w:hAnsi="仿宋_GB2312" w:eastAsia="仿宋_GB2312"/>
          <w:sz w:val="32"/>
          <w:szCs w:val="24"/>
        </w:rPr>
        <w:t>1.63</w:t>
      </w:r>
      <w:r>
        <w:rPr>
          <w:rFonts w:hint="eastAsia" w:ascii="仿宋_GB2312" w:hAnsi="仿宋_GB2312" w:eastAsia="仿宋_GB2312"/>
          <w:sz w:val="32"/>
          <w:szCs w:val="24"/>
        </w:rPr>
        <w:t>万元，预决算差异率</w:t>
      </w:r>
      <w:r>
        <w:rPr>
          <w:rFonts w:ascii="仿宋_GB2312" w:hAnsi="仿宋_GB2312" w:eastAsia="仿宋_GB2312"/>
          <w:sz w:val="32"/>
          <w:szCs w:val="24"/>
        </w:rPr>
        <w:t>-6.32%</w:t>
      </w:r>
      <w:r>
        <w:rPr>
          <w:rFonts w:hint="eastAsia" w:ascii="仿宋_GB2312" w:hAnsi="仿宋_GB2312" w:eastAsia="仿宋_GB2312"/>
          <w:sz w:val="32"/>
          <w:szCs w:val="24"/>
        </w:rPr>
        <w:t>，主要原因是：厉行节约，减少公务用车燃油费、维修费等支出；公务接待费预算数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，主要原因是：我单位本年无公务接待费支出。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我单位本年度无政府性基金预算财政拨款收入支出，政府性基金预算财政拨款收入支出决算表为空表。</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年度新疆昌吉玛纳斯县信访投诉受理服务中心（事业单位）日常公用经费支出</w:t>
      </w:r>
      <w:r>
        <w:rPr>
          <w:rFonts w:ascii="仿宋_GB2312" w:hAnsi="仿宋_GB2312" w:eastAsia="仿宋_GB2312"/>
          <w:sz w:val="32"/>
          <w:szCs w:val="24"/>
        </w:rPr>
        <w:t>21.35</w:t>
      </w:r>
      <w:r>
        <w:rPr>
          <w:rFonts w:hint="eastAsia" w:ascii="仿宋_GB2312" w:hAnsi="仿宋_GB2312" w:eastAsia="仿宋_GB2312"/>
          <w:sz w:val="32"/>
          <w:szCs w:val="24"/>
        </w:rPr>
        <w:t>万元，比上年减少</w:t>
      </w:r>
      <w:r>
        <w:rPr>
          <w:rFonts w:ascii="仿宋_GB2312" w:hAnsi="仿宋_GB2312" w:eastAsia="仿宋_GB2312"/>
          <w:sz w:val="32"/>
          <w:szCs w:val="24"/>
        </w:rPr>
        <w:t>4.05</w:t>
      </w:r>
      <w:r>
        <w:rPr>
          <w:rFonts w:hint="eastAsia" w:ascii="仿宋_GB2312" w:hAnsi="仿宋_GB2312" w:eastAsia="仿宋_GB2312"/>
          <w:sz w:val="32"/>
          <w:szCs w:val="24"/>
        </w:rPr>
        <w:t>万元，降低</w:t>
      </w:r>
      <w:r>
        <w:rPr>
          <w:rFonts w:ascii="仿宋_GB2312" w:hAnsi="仿宋_GB2312" w:eastAsia="仿宋_GB2312"/>
          <w:sz w:val="32"/>
          <w:szCs w:val="24"/>
        </w:rPr>
        <w:t>15.94%</w:t>
      </w:r>
      <w:r>
        <w:rPr>
          <w:rFonts w:hint="eastAsia" w:ascii="仿宋_GB2312" w:hAnsi="仿宋_GB2312" w:eastAsia="仿宋_GB2312"/>
          <w:sz w:val="32"/>
          <w:szCs w:val="24"/>
        </w:rPr>
        <w:t>，主要原因是办公费、水费、维修维护费等支出减少。</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万元，其中：政府采购货物支出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万元、政府采购工程支出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万元、政府采购服务支出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0</w:t>
      </w:r>
      <w:r>
        <w:rPr>
          <w:rFonts w:hint="eastAsia" w:ascii="仿宋_GB2312" w:hAnsi="仿宋_GB2312" w:eastAsia="仿宋_GB2312"/>
          <w:sz w:val="32"/>
          <w:szCs w:val="24"/>
        </w:rPr>
        <w:t>.00（平方米），价值</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万元。车辆</w:t>
      </w:r>
      <w:r>
        <w:rPr>
          <w:rFonts w:ascii="仿宋_GB2312" w:hAnsi="仿宋_GB2312" w:eastAsia="仿宋_GB2312"/>
          <w:sz w:val="32"/>
          <w:szCs w:val="24"/>
        </w:rPr>
        <w:t>1</w:t>
      </w:r>
      <w:r>
        <w:rPr>
          <w:rFonts w:hint="eastAsia" w:ascii="仿宋_GB2312" w:hAnsi="仿宋_GB2312" w:eastAsia="仿宋_GB2312"/>
          <w:sz w:val="32"/>
          <w:szCs w:val="24"/>
        </w:rPr>
        <w:t>辆，价值</w:t>
      </w:r>
      <w:r>
        <w:rPr>
          <w:rFonts w:ascii="仿宋_GB2312" w:hAnsi="仿宋_GB2312" w:eastAsia="仿宋_GB2312"/>
          <w:sz w:val="32"/>
          <w:szCs w:val="24"/>
        </w:rPr>
        <w:t>14.98</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0</w:t>
      </w:r>
      <w:r>
        <w:rPr>
          <w:rFonts w:hint="eastAsia" w:ascii="仿宋_GB2312" w:hAnsi="仿宋_GB2312" w:eastAsia="仿宋_GB2312"/>
          <w:sz w:val="32"/>
          <w:szCs w:val="24"/>
        </w:rPr>
        <w:t>辆、特种专业技术用车</w:t>
      </w:r>
      <w:r>
        <w:rPr>
          <w:rFonts w:ascii="仿宋_GB2312" w:hAnsi="仿宋_GB2312" w:eastAsia="仿宋_GB2312"/>
          <w:sz w:val="32"/>
          <w:szCs w:val="24"/>
        </w:rPr>
        <w:t>0</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1</w:t>
      </w:r>
      <w:r>
        <w:rPr>
          <w:rFonts w:hint="eastAsia" w:ascii="仿宋_GB2312" w:hAnsi="仿宋_GB2312" w:eastAsia="仿宋_GB2312"/>
          <w:sz w:val="32"/>
          <w:szCs w:val="24"/>
        </w:rPr>
        <w:t>辆，其他用车主要是：收发文件、接送人员用车；单位价值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根据预算绩效管理要求，我单位2020年度开展预算绩效评价项目0个，共涉及资金0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万元。预算绩效管理取得的成效：无。发现的问题及原因：无。下一步改进措施：无。我单位2020年无项目支出绩效自评表。</w:t>
      </w:r>
    </w:p>
    <w:p>
      <w:pPr>
        <w:keepNext/>
        <w:keepLines/>
        <w:ind w:firstLine="640"/>
        <w:jc w:val="center"/>
        <w:rPr>
          <w:rFonts w:ascii="黑体" w:hAnsi="黑体" w:eastAsia="黑体"/>
          <w:sz w:val="32"/>
          <w:szCs w:val="24"/>
        </w:rPr>
      </w:pPr>
      <w:r>
        <w:rPr>
          <w:rFonts w:hint="eastAsia" w:ascii="黑体" w:hAnsi="黑体" w:eastAsia="黑体"/>
          <w:sz w:val="32"/>
          <w:szCs w:val="24"/>
        </w:rPr>
        <w:t>第三部分专业名词解释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w:t>
      </w:r>
      <w:r>
        <w:rPr>
          <w:rFonts w:hint="eastAsia" w:ascii="黑体" w:hAnsi="黑体" w:eastAsia="黑体"/>
          <w:kern w:val="0"/>
          <w:sz w:val="32"/>
          <w:szCs w:val="24"/>
        </w:rPr>
        <w:t>此表为空表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w:t>
      </w:r>
      <w:r>
        <w:rPr>
          <w:rFonts w:hint="eastAsia" w:ascii="黑体" w:hAnsi="黑体" w:eastAsia="黑体"/>
          <w:kern w:val="0"/>
          <w:sz w:val="32"/>
          <w:szCs w:val="24"/>
        </w:rPr>
        <w:t>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7C2CA0"/>
    <w:rsid w:val="00007032"/>
    <w:rsid w:val="00112774"/>
    <w:rsid w:val="00276D8D"/>
    <w:rsid w:val="00311153"/>
    <w:rsid w:val="00315F0A"/>
    <w:rsid w:val="00337105"/>
    <w:rsid w:val="00342A11"/>
    <w:rsid w:val="00350994"/>
    <w:rsid w:val="00537A4D"/>
    <w:rsid w:val="005E36CE"/>
    <w:rsid w:val="007C2CA0"/>
    <w:rsid w:val="007C3947"/>
    <w:rsid w:val="00B32EFE"/>
    <w:rsid w:val="00B958C9"/>
    <w:rsid w:val="00C5711F"/>
    <w:rsid w:val="00D258E3"/>
    <w:rsid w:val="00F45041"/>
    <w:rsid w:val="00FD6C38"/>
    <w:rsid w:val="04E7461E"/>
    <w:rsid w:val="3DB81A46"/>
    <w:rsid w:val="69E026B9"/>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
    <w:pPr>
      <w:keepNext/>
      <w:spacing w:before="240" w:after="60"/>
      <w:outlineLvl w:val="1"/>
    </w:pPr>
    <w:rPr>
      <w:rFonts w:ascii="Arial" w:hAnsi="Arial"/>
      <w:b/>
      <w:i/>
      <w:szCs w:val="24"/>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标题 2 Char"/>
    <w:basedOn w:val="6"/>
    <w:link w:val="2"/>
    <w:semiHidden/>
    <w:qFormat/>
    <w:uiPriority w:val="9"/>
    <w:rPr>
      <w:rFonts w:asciiTheme="majorHAnsi" w:hAnsiTheme="majorHAnsi" w:eastAsiaTheme="majorEastAsia" w:cstheme="majorBidi"/>
      <w:b/>
      <w:bCs/>
      <w:sz w:val="32"/>
      <w:szCs w:val="32"/>
    </w:rPr>
  </w:style>
  <w:style w:type="character" w:customStyle="1" w:styleId="8">
    <w:name w:val="页眉 Char"/>
    <w:basedOn w:val="6"/>
    <w:link w:val="4"/>
    <w:qFormat/>
    <w:uiPriority w:val="99"/>
    <w:rPr>
      <w:rFonts w:ascii="Times New Roman" w:hAnsi="Times New Roman" w:cs="Times New Roman"/>
      <w:kern w:val="2"/>
      <w:sz w:val="18"/>
      <w:szCs w:val="18"/>
    </w:rPr>
  </w:style>
  <w:style w:type="character" w:customStyle="1" w:styleId="9">
    <w:name w:val="页脚 Char"/>
    <w:basedOn w:val="6"/>
    <w:link w:val="3"/>
    <w:qFormat/>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760</Words>
  <Characters>4333</Characters>
  <Lines>36</Lines>
  <Paragraphs>10</Paragraphs>
  <TotalTime>4</TotalTime>
  <ScaleCrop>false</ScaleCrop>
  <LinksUpToDate>false</LinksUpToDate>
  <CharactersWithSpaces>5083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2021-08-04T07:07:00Z</dcterms:created>
  <dc:creator>Administrator</dc:creator>
  <cp:lastModifiedBy>Administrator</cp:lastModifiedBy>
  <dcterms:modified xsi:type="dcterms:W3CDTF">2025-02-08T09:19:43Z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BDC0FE7E8A4946F486C016E43354542A</vt:lpwstr>
  </property>
</Properties>
</file>