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rPr>
          <w:rFonts w:ascii="黑体" w:hAnsi="黑体" w:eastAsia="黑体"/>
          <w:sz w:val="32"/>
          <w:szCs w:val="24"/>
        </w:rPr>
      </w:pPr>
      <w:bookmarkStart w:id="0" w:name="_GoBack"/>
      <w:bookmarkEnd w:id="0"/>
      <w:r>
        <w:rPr>
          <w:rFonts w:hint="eastAsia" w:ascii="黑体" w:hAnsi="黑体" w:eastAsia="黑体"/>
          <w:sz w:val="32"/>
          <w:szCs w:val="24"/>
        </w:rPr>
        <w:t>附件：</w:t>
      </w: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p>
    <w:p>
      <w:pPr>
        <w:keepNext/>
        <w:keepLines/>
        <w:jc w:val="center"/>
        <w:rPr>
          <w:rFonts w:ascii="方正小标宋_GBK" w:hAnsi="方正小标宋_GBK" w:eastAsia="方正小标宋_GBK"/>
          <w:sz w:val="44"/>
          <w:szCs w:val="24"/>
        </w:rPr>
      </w:pPr>
      <w:r>
        <w:rPr>
          <w:rFonts w:hint="eastAsia" w:ascii="方正小标宋_GBK" w:hAnsi="方正小标宋_GBK" w:eastAsia="方正小标宋_GBK"/>
          <w:sz w:val="44"/>
          <w:szCs w:val="24"/>
        </w:rPr>
        <w:t>新疆昌吉玛纳斯县项目代建管理处</w:t>
      </w:r>
      <w:r>
        <w:rPr>
          <w:rFonts w:ascii="方正小标宋_GBK" w:hAnsi="方正小标宋_GBK" w:eastAsia="方正小标宋_GBK"/>
          <w:sz w:val="44"/>
          <w:szCs w:val="24"/>
        </w:rPr>
        <w:t>2020</w:t>
      </w:r>
      <w:r>
        <w:rPr>
          <w:rFonts w:hint="eastAsia" w:ascii="方正小标宋_GBK" w:hAnsi="方正小标宋_GBK" w:eastAsia="方正小标宋_GBK"/>
          <w:sz w:val="44"/>
          <w:szCs w:val="24"/>
        </w:rPr>
        <w:t>年度部门决算公开说明</w:t>
      </w:r>
    </w:p>
    <w:p>
      <w:pPr>
        <w:keepNext/>
        <w:keepLines/>
        <w:jc w:val="center"/>
        <w:rPr>
          <w:rFonts w:ascii="仿宋_GB2312" w:hAnsi="仿宋_GB2312" w:eastAsia="仿宋_GB2312"/>
          <w:kern w:val="0"/>
          <w:sz w:val="32"/>
          <w:szCs w:val="24"/>
        </w:rPr>
      </w:pPr>
      <w:r>
        <w:rPr>
          <w:rFonts w:ascii="方正小标宋_GBK" w:hAnsi="方正小标宋_GBK" w:eastAsia="方正小标宋_GBK"/>
          <w:sz w:val="44"/>
          <w:szCs w:val="24"/>
        </w:rPr>
        <w:br w:type="page"/>
      </w:r>
      <w:r>
        <w:rPr>
          <w:rFonts w:hint="eastAsia" w:ascii="仿宋_GB2312" w:hAnsi="仿宋_GB2312" w:eastAsia="仿宋_GB2312"/>
          <w:b/>
          <w:kern w:val="0"/>
          <w:sz w:val="36"/>
          <w:szCs w:val="24"/>
        </w:rPr>
        <w:t>目录</w:t>
      </w:r>
    </w:p>
    <w:p>
      <w:pPr>
        <w:keepNext/>
        <w:keepLines/>
        <w:spacing w:line="600" w:lineRule="exact"/>
        <w:rPr>
          <w:rFonts w:ascii="仿宋_GB2312" w:hAnsi="仿宋_GB2312" w:eastAsia="仿宋_GB2312"/>
          <w:sz w:val="32"/>
          <w:szCs w:val="24"/>
        </w:rPr>
      </w:pPr>
      <w:r>
        <w:rPr>
          <w:rFonts w:hint="eastAsia" w:ascii="仿宋_GB2312" w:hAnsi="仿宋_GB2312" w:eastAsia="仿宋_GB2312"/>
          <w:b/>
          <w:sz w:val="32"/>
          <w:szCs w:val="24"/>
        </w:rPr>
        <w:t>第一部分部门单位概况</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一、主要职能</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二、机构设置及人员情况</w:t>
      </w:r>
    </w:p>
    <w:p>
      <w:pPr>
        <w:keepNext/>
        <w:keepLines/>
        <w:spacing w:line="600" w:lineRule="exact"/>
        <w:rPr>
          <w:rFonts w:ascii="仿宋_GB2312" w:hAnsi="仿宋_GB2312" w:eastAsia="仿宋_GB2312"/>
          <w:b/>
          <w:sz w:val="32"/>
          <w:szCs w:val="24"/>
        </w:rPr>
      </w:pPr>
      <w:r>
        <w:rPr>
          <w:rFonts w:hint="eastAsia" w:ascii="仿宋_GB2312" w:hAnsi="仿宋_GB2312" w:eastAsia="仿宋_GB2312"/>
          <w:b/>
          <w:sz w:val="32"/>
          <w:szCs w:val="24"/>
        </w:rPr>
        <w:t>第二部分部门决算情况说明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一、收入支出决算总体情况说明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二、收入决算情况说明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三、支出决算情况说明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四、财政拨款收入支出决算总体情况说明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五、一般公共预算财政拨款支出决算情况说明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六、一般公共预算财政拨款基本支出决算情况说明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七、一般公共预算财政拨款“三公”经费支出决算情况说明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八、政府性基金预算财政拨款收入支出决算情况说明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九、国有资本经营预算财政拨款收入支出决算情况说明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十、其他重要事项的情况说明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（一）机关运行经费支出情况</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（二）政府采购情况</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（三）国有资产占用情况说明</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十一、预算绩效的情况说明</w:t>
      </w:r>
    </w:p>
    <w:p>
      <w:pPr>
        <w:keepNext/>
        <w:keepLines/>
        <w:spacing w:line="600" w:lineRule="exact"/>
        <w:rPr>
          <w:rFonts w:ascii="仿宋_GB2312" w:hAnsi="仿宋_GB2312" w:eastAsia="仿宋_GB2312"/>
          <w:b/>
          <w:sz w:val="32"/>
          <w:szCs w:val="24"/>
        </w:rPr>
      </w:pPr>
      <w:r>
        <w:rPr>
          <w:rFonts w:hint="eastAsia" w:ascii="仿宋_GB2312" w:hAnsi="仿宋_GB2312" w:eastAsia="仿宋_GB2312"/>
          <w:b/>
          <w:sz w:val="32"/>
          <w:szCs w:val="24"/>
        </w:rPr>
        <w:t>第三部分专业名词解释</w:t>
      </w:r>
    </w:p>
    <w:p>
      <w:pPr>
        <w:keepNext/>
        <w:keepLines/>
        <w:spacing w:line="600" w:lineRule="exact"/>
        <w:rPr>
          <w:rFonts w:ascii="仿宋_GB2312" w:hAnsi="仿宋_GB2312" w:eastAsia="仿宋_GB2312"/>
          <w:b/>
          <w:sz w:val="32"/>
          <w:szCs w:val="24"/>
        </w:rPr>
      </w:pPr>
      <w:r>
        <w:rPr>
          <w:rFonts w:hint="eastAsia" w:ascii="仿宋_GB2312" w:hAnsi="仿宋_GB2312" w:eastAsia="仿宋_GB2312"/>
          <w:b/>
          <w:sz w:val="32"/>
          <w:szCs w:val="24"/>
        </w:rPr>
        <w:t>第四部分部门决算报表（见附表）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一、《收入支出决算总表》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二、《收入决算表》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三、《支出决算表》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四、《财政拨款收入支出决算总表》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五、《一般公共预算财政拨款支出决算表》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六、《一般公共预算财政拨款基本支出决算表》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七、《一般公共预算财政拨款“三公”经费支出决算表》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八、《政府性基金预算财政拨款收入支出决算表》</w:t>
      </w:r>
    </w:p>
    <w:p>
      <w:pPr>
        <w:keepNext/>
        <w:keepLines/>
        <w:spacing w:line="600" w:lineRule="exact"/>
        <w:rPr>
          <w:rFonts w:ascii="仿宋_GB2312" w:hAnsi="仿宋_GB2312" w:eastAsia="仿宋_GB2312"/>
          <w:sz w:val="32"/>
          <w:szCs w:val="24"/>
        </w:rPr>
      </w:pPr>
      <w:r>
        <w:rPr>
          <w:rFonts w:hint="eastAsia" w:ascii="仿宋_GB2312" w:hAnsi="仿宋_GB2312" w:eastAsia="仿宋_GB2312"/>
          <w:sz w:val="32"/>
          <w:szCs w:val="24"/>
        </w:rPr>
        <w:t>九、《国有资本经营预算财政拨款收入支出决算表》</w:t>
      </w:r>
    </w:p>
    <w:p>
      <w:pPr>
        <w:keepNext/>
        <w:keepLines/>
        <w:spacing w:line="600" w:lineRule="exact"/>
        <w:rPr>
          <w:rFonts w:eastAsia="Times New Roman"/>
          <w:szCs w:val="24"/>
        </w:rPr>
      </w:pPr>
    </w:p>
    <w:p>
      <w:pPr>
        <w:spacing w:line="600" w:lineRule="exact"/>
        <w:ind w:firstLine="640"/>
        <w:jc w:val="center"/>
        <w:rPr>
          <w:rFonts w:ascii="黑体" w:hAnsi="黑体" w:eastAsia="黑体"/>
          <w:sz w:val="32"/>
          <w:szCs w:val="24"/>
        </w:rPr>
      </w:pPr>
      <w:r>
        <w:rPr>
          <w:rFonts w:ascii="仿宋_GB2312" w:hAnsi="仿宋_GB2312" w:eastAsia="仿宋_GB2312"/>
          <w:sz w:val="32"/>
          <w:szCs w:val="24"/>
        </w:rPr>
        <w:br w:type="page"/>
      </w:r>
      <w:r>
        <w:rPr>
          <w:rFonts w:hint="eastAsia" w:ascii="黑体" w:hAnsi="黑体" w:eastAsia="黑体"/>
          <w:sz w:val="32"/>
          <w:szCs w:val="24"/>
        </w:rPr>
        <w:t>第一部分部门单位概况</w:t>
      </w:r>
    </w:p>
    <w:p>
      <w:pPr>
        <w:spacing w:line="600" w:lineRule="exact"/>
        <w:ind w:firstLine="640"/>
        <w:rPr>
          <w:rFonts w:ascii="黑体" w:hAnsi="黑体" w:eastAsia="黑体"/>
          <w:sz w:val="32"/>
          <w:szCs w:val="24"/>
        </w:rPr>
      </w:pPr>
      <w:r>
        <w:rPr>
          <w:rFonts w:hint="eastAsia" w:ascii="黑体" w:hAnsi="黑体" w:eastAsia="黑体"/>
          <w:sz w:val="32"/>
          <w:szCs w:val="24"/>
        </w:rPr>
        <w:t>一、主要职能</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1</w:t>
      </w:r>
      <w:r>
        <w:rPr>
          <w:rFonts w:hint="eastAsia" w:ascii="仿宋_GB2312" w:hAnsi="仿宋_GB2312" w:eastAsia="仿宋_GB2312"/>
          <w:sz w:val="32"/>
          <w:szCs w:val="24"/>
        </w:rPr>
        <w:t>、办理县政府投资的非经营性重点项目的立项、规划选址、土地使用等相关手续，审查代建单位的基本条件，依照法律、法规组织开展代建单位的招标工作，对代建单位的中标结果进行确认。</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w:t>
      </w:r>
      <w:r>
        <w:rPr>
          <w:rFonts w:hint="eastAsia" w:ascii="仿宋_GB2312" w:hAnsi="仿宋_GB2312" w:eastAsia="仿宋_GB2312"/>
          <w:sz w:val="32"/>
          <w:szCs w:val="24"/>
        </w:rPr>
        <w:t>、与代建单位签订项目代建合同，并依法履行合同。</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3</w:t>
      </w:r>
      <w:r>
        <w:rPr>
          <w:rFonts w:hint="eastAsia" w:ascii="仿宋_GB2312" w:hAnsi="仿宋_GB2312" w:eastAsia="仿宋_GB2312"/>
          <w:sz w:val="32"/>
          <w:szCs w:val="24"/>
        </w:rPr>
        <w:t>、协调代建单位和使用单位关系，向县发展改革、财政、规划建设部门报告项目进展情况，向县发展改革部门提出项目年度投资计划申请，并将代建过程中发生的违法、违规行为及时报告有关行政主管部门。</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4</w:t>
      </w:r>
      <w:r>
        <w:rPr>
          <w:rFonts w:hint="eastAsia" w:ascii="仿宋_GB2312" w:hAnsi="仿宋_GB2312" w:eastAsia="仿宋_GB2312"/>
          <w:sz w:val="32"/>
          <w:szCs w:val="24"/>
        </w:rPr>
        <w:t>、审查代建单位编制的项目年度投资计划和年度基建支出预算，对代建单位的资金拨付申请提出审查意见，负责代建项目投资预算和建档工作。</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5</w:t>
      </w:r>
      <w:r>
        <w:rPr>
          <w:rFonts w:hint="eastAsia" w:ascii="仿宋_GB2312" w:hAnsi="仿宋_GB2312" w:eastAsia="仿宋_GB2312"/>
          <w:sz w:val="32"/>
          <w:szCs w:val="24"/>
        </w:rPr>
        <w:t>、负责县政府投资的非经营性重点项目建设的组织实施、管理、检查监督，参与工程竣工验收，组织资产移交。</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6</w:t>
      </w:r>
      <w:r>
        <w:rPr>
          <w:rFonts w:hint="eastAsia" w:ascii="仿宋_GB2312" w:hAnsi="仿宋_GB2312" w:eastAsia="仿宋_GB2312"/>
          <w:sz w:val="32"/>
          <w:szCs w:val="24"/>
        </w:rPr>
        <w:t>、负责政府投资的非经营性重点项目的储备管理和研究工作。</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7</w:t>
      </w:r>
      <w:r>
        <w:rPr>
          <w:rFonts w:hint="eastAsia" w:ascii="仿宋_GB2312" w:hAnsi="仿宋_GB2312" w:eastAsia="仿宋_GB2312"/>
          <w:sz w:val="32"/>
          <w:szCs w:val="24"/>
        </w:rPr>
        <w:t>、承办</w:t>
      </w:r>
      <w:r>
        <w:rPr>
          <w:rFonts w:hint="eastAsia" w:ascii="仿宋_GB2312" w:hAnsi="仿宋_GB2312" w:eastAsia="仿宋_GB2312"/>
          <w:sz w:val="32"/>
          <w:szCs w:val="24"/>
          <w:lang w:eastAsia="zh-CN"/>
        </w:rPr>
        <w:t>县委、县政府</w:t>
      </w:r>
      <w:r>
        <w:rPr>
          <w:rFonts w:hint="eastAsia" w:ascii="仿宋_GB2312" w:hAnsi="仿宋_GB2312" w:eastAsia="仿宋_GB2312"/>
          <w:sz w:val="32"/>
          <w:szCs w:val="24"/>
        </w:rPr>
        <w:t>交办的其他事项。</w:t>
      </w:r>
    </w:p>
    <w:p>
      <w:pPr>
        <w:spacing w:line="600" w:lineRule="exact"/>
        <w:ind w:firstLine="640"/>
        <w:rPr>
          <w:rFonts w:ascii="黑体" w:hAnsi="黑体" w:eastAsia="黑体"/>
          <w:sz w:val="32"/>
          <w:szCs w:val="24"/>
        </w:rPr>
      </w:pPr>
      <w:r>
        <w:rPr>
          <w:rFonts w:hint="eastAsia" w:ascii="黑体" w:hAnsi="黑体" w:eastAsia="黑体"/>
          <w:sz w:val="32"/>
          <w:szCs w:val="24"/>
        </w:rPr>
        <w:t>二、机构设置及人员情况</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新疆昌吉玛纳斯县项目代建管理处</w:t>
      </w:r>
      <w:r>
        <w:rPr>
          <w:rFonts w:ascii="仿宋_GB2312" w:hAnsi="仿宋_GB2312" w:eastAsia="仿宋_GB2312"/>
          <w:sz w:val="32"/>
          <w:szCs w:val="24"/>
        </w:rPr>
        <w:t>2020</w:t>
      </w:r>
      <w:r>
        <w:rPr>
          <w:rFonts w:hint="eastAsia" w:ascii="仿宋_GB2312" w:hAnsi="仿宋_GB2312" w:eastAsia="仿宋_GB2312"/>
          <w:sz w:val="32"/>
          <w:szCs w:val="24"/>
        </w:rPr>
        <w:t>年度，实有人数</w:t>
      </w:r>
      <w:r>
        <w:rPr>
          <w:rFonts w:ascii="仿宋_GB2312" w:hAnsi="仿宋_GB2312" w:eastAsia="仿宋_GB2312"/>
          <w:sz w:val="32"/>
          <w:szCs w:val="24"/>
        </w:rPr>
        <w:t>9</w:t>
      </w:r>
      <w:r>
        <w:rPr>
          <w:rFonts w:hint="eastAsia" w:ascii="仿宋_GB2312" w:hAnsi="仿宋_GB2312" w:eastAsia="仿宋_GB2312"/>
          <w:sz w:val="32"/>
          <w:szCs w:val="24"/>
        </w:rPr>
        <w:t>人，其中：在职人员</w:t>
      </w:r>
      <w:r>
        <w:rPr>
          <w:rFonts w:ascii="仿宋_GB2312" w:hAnsi="仿宋_GB2312" w:eastAsia="仿宋_GB2312"/>
          <w:sz w:val="32"/>
          <w:szCs w:val="24"/>
        </w:rPr>
        <w:t>9</w:t>
      </w:r>
      <w:r>
        <w:rPr>
          <w:rFonts w:hint="eastAsia" w:ascii="仿宋_GB2312" w:hAnsi="仿宋_GB2312" w:eastAsia="仿宋_GB2312"/>
          <w:sz w:val="32"/>
          <w:szCs w:val="24"/>
        </w:rPr>
        <w:t>人，离休人员</w:t>
      </w:r>
      <w:r>
        <w:rPr>
          <w:rFonts w:ascii="仿宋_GB2312" w:hAnsi="仿宋_GB2312" w:eastAsia="仿宋_GB2312"/>
          <w:sz w:val="32"/>
          <w:szCs w:val="24"/>
        </w:rPr>
        <w:t>0</w:t>
      </w:r>
      <w:r>
        <w:rPr>
          <w:rFonts w:hint="eastAsia" w:ascii="仿宋_GB2312" w:hAnsi="仿宋_GB2312" w:eastAsia="仿宋_GB2312"/>
          <w:sz w:val="32"/>
          <w:szCs w:val="24"/>
        </w:rPr>
        <w:t>人，退休人员</w:t>
      </w:r>
      <w:r>
        <w:rPr>
          <w:rFonts w:ascii="仿宋_GB2312" w:hAnsi="仿宋_GB2312" w:eastAsia="仿宋_GB2312"/>
          <w:sz w:val="32"/>
          <w:szCs w:val="24"/>
        </w:rPr>
        <w:t>0</w:t>
      </w:r>
      <w:r>
        <w:rPr>
          <w:rFonts w:hint="eastAsia" w:ascii="仿宋_GB2312" w:hAnsi="仿宋_GB2312" w:eastAsia="仿宋_GB2312"/>
          <w:sz w:val="32"/>
          <w:szCs w:val="24"/>
        </w:rPr>
        <w:t>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从部门决算单位构成看，新疆昌吉玛纳斯县项目代建管理处部门决算包括：新疆昌吉玛纳斯县项目代建管理处决算。单位无下属预算单位，下设</w:t>
      </w:r>
      <w:r>
        <w:rPr>
          <w:rFonts w:ascii="仿宋_GB2312" w:hAnsi="仿宋_GB2312" w:eastAsia="仿宋_GB2312"/>
          <w:sz w:val="32"/>
          <w:szCs w:val="24"/>
        </w:rPr>
        <w:t>0</w:t>
      </w:r>
      <w:r>
        <w:rPr>
          <w:rFonts w:hint="eastAsia" w:ascii="仿宋_GB2312" w:hAnsi="仿宋_GB2312" w:eastAsia="仿宋_GB2312"/>
          <w:sz w:val="32"/>
          <w:szCs w:val="24"/>
        </w:rPr>
        <w:t>个处室，分别是：我单位无下设处室。</w:t>
      </w:r>
    </w:p>
    <w:p>
      <w:pPr>
        <w:spacing w:line="600" w:lineRule="exact"/>
        <w:ind w:firstLine="640"/>
        <w:rPr>
          <w:rFonts w:ascii="仿宋_GB2312" w:hAnsi="仿宋_GB2312" w:eastAsia="仿宋_GB2312"/>
          <w:sz w:val="32"/>
          <w:szCs w:val="24"/>
        </w:rPr>
      </w:pPr>
    </w:p>
    <w:p>
      <w:pPr>
        <w:spacing w:line="600" w:lineRule="exact"/>
        <w:ind w:firstLine="640"/>
        <w:jc w:val="center"/>
        <w:rPr>
          <w:rFonts w:ascii="黑体" w:hAnsi="黑体" w:eastAsia="黑体"/>
          <w:sz w:val="32"/>
          <w:szCs w:val="24"/>
        </w:rPr>
      </w:pPr>
      <w:r>
        <w:rPr>
          <w:rFonts w:hint="eastAsia" w:ascii="黑体" w:hAnsi="黑体" w:eastAsia="黑体"/>
          <w:sz w:val="32"/>
          <w:szCs w:val="24"/>
        </w:rPr>
        <w:t>第二部分部门决算情况说明</w:t>
      </w:r>
    </w:p>
    <w:p>
      <w:pPr>
        <w:spacing w:line="600" w:lineRule="exact"/>
        <w:ind w:firstLine="640"/>
        <w:jc w:val="left"/>
        <w:rPr>
          <w:rFonts w:ascii="黑体" w:hAnsi="黑体" w:eastAsia="黑体"/>
          <w:sz w:val="32"/>
          <w:szCs w:val="24"/>
        </w:rPr>
      </w:pPr>
      <w:r>
        <w:rPr>
          <w:rFonts w:hint="eastAsia" w:ascii="黑体" w:hAnsi="黑体" w:eastAsia="黑体"/>
          <w:sz w:val="32"/>
          <w:szCs w:val="24"/>
        </w:rPr>
        <w:t>一、收入支出决算总体情况说明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年度本年收入</w:t>
      </w:r>
      <w:r>
        <w:rPr>
          <w:rFonts w:ascii="仿宋_GB2312" w:hAnsi="仿宋_GB2312" w:eastAsia="仿宋_GB2312"/>
          <w:sz w:val="32"/>
          <w:szCs w:val="24"/>
        </w:rPr>
        <w:t>371.37</w:t>
      </w:r>
      <w:r>
        <w:rPr>
          <w:rFonts w:hint="eastAsia" w:ascii="仿宋_GB2312" w:hAnsi="仿宋_GB2312" w:eastAsia="仿宋_GB2312"/>
          <w:sz w:val="32"/>
          <w:szCs w:val="24"/>
        </w:rPr>
        <w:t>万元，与上年相比，减少</w:t>
      </w:r>
      <w:r>
        <w:rPr>
          <w:rFonts w:ascii="仿宋_GB2312" w:hAnsi="仿宋_GB2312" w:eastAsia="仿宋_GB2312"/>
          <w:sz w:val="32"/>
          <w:szCs w:val="24"/>
        </w:rPr>
        <w:t>2,500.87</w:t>
      </w:r>
      <w:r>
        <w:rPr>
          <w:rFonts w:hint="eastAsia" w:ascii="仿宋_GB2312" w:hAnsi="仿宋_GB2312" w:eastAsia="仿宋_GB2312"/>
          <w:sz w:val="32"/>
          <w:szCs w:val="24"/>
        </w:rPr>
        <w:t>万元，降低</w:t>
      </w:r>
      <w:r>
        <w:rPr>
          <w:rFonts w:ascii="仿宋_GB2312" w:hAnsi="仿宋_GB2312" w:eastAsia="仿宋_GB2312"/>
          <w:sz w:val="32"/>
          <w:szCs w:val="24"/>
        </w:rPr>
        <w:t>87.07%</w:t>
      </w:r>
      <w:r>
        <w:rPr>
          <w:rFonts w:hint="eastAsia" w:ascii="仿宋_GB2312" w:hAnsi="仿宋_GB2312" w:eastAsia="仿宋_GB2312"/>
          <w:sz w:val="32"/>
          <w:szCs w:val="24"/>
        </w:rPr>
        <w:t>，主要原因是：本年教育支出、公安支出、科学技术支出项目资金拨款减少，因此本年收入较上年减少。本年支出</w:t>
      </w:r>
      <w:r>
        <w:rPr>
          <w:rFonts w:ascii="仿宋_GB2312" w:hAnsi="仿宋_GB2312" w:eastAsia="仿宋_GB2312"/>
          <w:sz w:val="32"/>
          <w:szCs w:val="24"/>
        </w:rPr>
        <w:t>371.37</w:t>
      </w:r>
      <w:r>
        <w:rPr>
          <w:rFonts w:hint="eastAsia" w:ascii="仿宋_GB2312" w:hAnsi="仿宋_GB2312" w:eastAsia="仿宋_GB2312"/>
          <w:sz w:val="32"/>
          <w:szCs w:val="24"/>
        </w:rPr>
        <w:t>万元，与上年相比，减少</w:t>
      </w:r>
      <w:r>
        <w:rPr>
          <w:rFonts w:ascii="仿宋_GB2312" w:hAnsi="仿宋_GB2312" w:eastAsia="仿宋_GB2312"/>
          <w:sz w:val="32"/>
          <w:szCs w:val="24"/>
        </w:rPr>
        <w:t>2,500.87</w:t>
      </w:r>
      <w:r>
        <w:rPr>
          <w:rFonts w:hint="eastAsia" w:ascii="仿宋_GB2312" w:hAnsi="仿宋_GB2312" w:eastAsia="仿宋_GB2312"/>
          <w:sz w:val="32"/>
          <w:szCs w:val="24"/>
        </w:rPr>
        <w:t>万元，降低</w:t>
      </w:r>
      <w:r>
        <w:rPr>
          <w:rFonts w:ascii="仿宋_GB2312" w:hAnsi="仿宋_GB2312" w:eastAsia="仿宋_GB2312"/>
          <w:sz w:val="32"/>
          <w:szCs w:val="24"/>
        </w:rPr>
        <w:t>87.07%</w:t>
      </w:r>
      <w:r>
        <w:rPr>
          <w:rFonts w:hint="eastAsia" w:ascii="仿宋_GB2312" w:hAnsi="仿宋_GB2312" w:eastAsia="仿宋_GB2312"/>
          <w:sz w:val="32"/>
          <w:szCs w:val="24"/>
        </w:rPr>
        <w:t>，主要原因是：</w:t>
      </w:r>
      <w:r>
        <w:rPr>
          <w:rFonts w:hint="eastAsia" w:ascii="仿宋_GB2312" w:hAnsi="仿宋_GB2312" w:eastAsia="仿宋_GB2312"/>
          <w:kern w:val="0"/>
          <w:sz w:val="32"/>
          <w:szCs w:val="24"/>
        </w:rPr>
        <w:t>本年减少教育支出、公安支出、科学技术支出项目资金，因此本年支出较上年有所减少</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二、收入决算情况说明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年度本年收入</w:t>
      </w:r>
      <w:r>
        <w:rPr>
          <w:rFonts w:ascii="仿宋_GB2312" w:hAnsi="仿宋_GB2312" w:eastAsia="仿宋_GB2312"/>
          <w:sz w:val="32"/>
          <w:szCs w:val="24"/>
        </w:rPr>
        <w:t>371.37</w:t>
      </w:r>
      <w:r>
        <w:rPr>
          <w:rFonts w:hint="eastAsia" w:ascii="仿宋_GB2312" w:hAnsi="仿宋_GB2312" w:eastAsia="仿宋_GB2312"/>
          <w:sz w:val="32"/>
          <w:szCs w:val="24"/>
        </w:rPr>
        <w:t>万元，其中：财政拨款收入</w:t>
      </w:r>
      <w:r>
        <w:rPr>
          <w:rFonts w:ascii="仿宋_GB2312" w:hAnsi="仿宋_GB2312" w:eastAsia="仿宋_GB2312"/>
          <w:sz w:val="32"/>
          <w:szCs w:val="24"/>
        </w:rPr>
        <w:t>371.37</w:t>
      </w:r>
      <w:r>
        <w:rPr>
          <w:rFonts w:hint="eastAsia" w:ascii="仿宋_GB2312" w:hAnsi="仿宋_GB2312" w:eastAsia="仿宋_GB2312"/>
          <w:sz w:val="32"/>
          <w:szCs w:val="24"/>
        </w:rPr>
        <w:t>万元，占</w:t>
      </w:r>
      <w:r>
        <w:rPr>
          <w:rFonts w:ascii="仿宋_GB2312" w:hAnsi="仿宋_GB2312" w:eastAsia="仿宋_GB2312"/>
          <w:sz w:val="32"/>
          <w:szCs w:val="24"/>
        </w:rPr>
        <w:t>100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；上级补助收入</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；事业收入</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；经营收入</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；附属单位上缴收入</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；其他收入</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三、支出决算情况说明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年度本年支出</w:t>
      </w:r>
      <w:r>
        <w:rPr>
          <w:rFonts w:ascii="仿宋_GB2312" w:hAnsi="仿宋_GB2312" w:eastAsia="仿宋_GB2312"/>
          <w:sz w:val="32"/>
          <w:szCs w:val="24"/>
        </w:rPr>
        <w:t>371.37</w:t>
      </w:r>
      <w:r>
        <w:rPr>
          <w:rFonts w:hint="eastAsia" w:ascii="仿宋_GB2312" w:hAnsi="仿宋_GB2312" w:eastAsia="仿宋_GB2312"/>
          <w:sz w:val="32"/>
          <w:szCs w:val="24"/>
        </w:rPr>
        <w:t>万元，其中：基本支出</w:t>
      </w:r>
      <w:r>
        <w:rPr>
          <w:rFonts w:ascii="仿宋_GB2312" w:hAnsi="仿宋_GB2312" w:eastAsia="仿宋_GB2312"/>
          <w:sz w:val="32"/>
          <w:szCs w:val="24"/>
        </w:rPr>
        <w:t>106.37</w:t>
      </w:r>
      <w:r>
        <w:rPr>
          <w:rFonts w:hint="eastAsia" w:ascii="仿宋_GB2312" w:hAnsi="仿宋_GB2312" w:eastAsia="仿宋_GB2312"/>
          <w:sz w:val="32"/>
          <w:szCs w:val="24"/>
        </w:rPr>
        <w:t>万元，占</w:t>
      </w:r>
      <w:r>
        <w:rPr>
          <w:rFonts w:ascii="仿宋_GB2312" w:hAnsi="仿宋_GB2312" w:eastAsia="仿宋_GB2312"/>
          <w:sz w:val="32"/>
          <w:szCs w:val="24"/>
        </w:rPr>
        <w:t>28.64%</w:t>
      </w:r>
      <w:r>
        <w:rPr>
          <w:rFonts w:hint="eastAsia" w:ascii="仿宋_GB2312" w:hAnsi="仿宋_GB2312" w:eastAsia="仿宋_GB2312"/>
          <w:sz w:val="32"/>
          <w:szCs w:val="24"/>
        </w:rPr>
        <w:t>；项目支出</w:t>
      </w:r>
      <w:r>
        <w:rPr>
          <w:rFonts w:ascii="仿宋_GB2312" w:hAnsi="仿宋_GB2312" w:eastAsia="仿宋_GB2312"/>
          <w:sz w:val="32"/>
          <w:szCs w:val="24"/>
        </w:rPr>
        <w:t>265.00</w:t>
      </w:r>
      <w:r>
        <w:rPr>
          <w:rFonts w:hint="eastAsia" w:ascii="仿宋_GB2312" w:hAnsi="仿宋_GB2312" w:eastAsia="仿宋_GB2312"/>
          <w:sz w:val="32"/>
          <w:szCs w:val="24"/>
        </w:rPr>
        <w:t>万元，占</w:t>
      </w:r>
      <w:r>
        <w:rPr>
          <w:rFonts w:ascii="仿宋_GB2312" w:hAnsi="仿宋_GB2312" w:eastAsia="仿宋_GB2312"/>
          <w:sz w:val="32"/>
          <w:szCs w:val="24"/>
        </w:rPr>
        <w:t>71.36%</w:t>
      </w:r>
      <w:r>
        <w:rPr>
          <w:rFonts w:hint="eastAsia" w:ascii="仿宋_GB2312" w:hAnsi="仿宋_GB2312" w:eastAsia="仿宋_GB2312"/>
          <w:sz w:val="32"/>
          <w:szCs w:val="24"/>
        </w:rPr>
        <w:t>；上缴上级支出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；经营支出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；对附属单位补助支出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四、财政拨款收入支出决算总体情况说明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年度财政拨款收入</w:t>
      </w:r>
      <w:r>
        <w:rPr>
          <w:rFonts w:ascii="仿宋_GB2312" w:hAnsi="仿宋_GB2312" w:eastAsia="仿宋_GB2312"/>
          <w:sz w:val="32"/>
          <w:szCs w:val="24"/>
        </w:rPr>
        <w:t>371.37</w:t>
      </w:r>
      <w:r>
        <w:rPr>
          <w:rFonts w:hint="eastAsia" w:ascii="仿宋_GB2312" w:hAnsi="仿宋_GB2312" w:eastAsia="仿宋_GB2312"/>
          <w:sz w:val="32"/>
          <w:szCs w:val="24"/>
        </w:rPr>
        <w:t>万元，与上年相比，减少</w:t>
      </w:r>
      <w:r>
        <w:rPr>
          <w:rFonts w:ascii="仿宋_GB2312" w:hAnsi="仿宋_GB2312" w:eastAsia="仿宋_GB2312"/>
          <w:sz w:val="32"/>
          <w:szCs w:val="24"/>
        </w:rPr>
        <w:t>2,500.87</w:t>
      </w:r>
      <w:r>
        <w:rPr>
          <w:rFonts w:hint="eastAsia" w:ascii="仿宋_GB2312" w:hAnsi="仿宋_GB2312" w:eastAsia="仿宋_GB2312"/>
          <w:sz w:val="32"/>
          <w:szCs w:val="24"/>
        </w:rPr>
        <w:t>万元，降低</w:t>
      </w:r>
      <w:r>
        <w:rPr>
          <w:rFonts w:ascii="仿宋_GB2312" w:hAnsi="仿宋_GB2312" w:eastAsia="仿宋_GB2312"/>
          <w:sz w:val="32"/>
          <w:szCs w:val="24"/>
        </w:rPr>
        <w:t>87.07%</w:t>
      </w:r>
      <w:r>
        <w:rPr>
          <w:rFonts w:hint="eastAsia" w:ascii="仿宋_GB2312" w:hAnsi="仿宋_GB2312" w:eastAsia="仿宋_GB2312"/>
          <w:sz w:val="32"/>
          <w:szCs w:val="24"/>
        </w:rPr>
        <w:t>。主要原因是：</w:t>
      </w:r>
      <w:r>
        <w:rPr>
          <w:rFonts w:hint="eastAsia" w:ascii="仿宋_GB2312" w:hAnsi="仿宋_GB2312" w:eastAsia="仿宋_GB2312"/>
          <w:kern w:val="0"/>
          <w:sz w:val="32"/>
          <w:szCs w:val="24"/>
        </w:rPr>
        <w:t>本年减少教育支出、公安支出、科学技术支出项目拨款，因此本年财政拨款收入较上年有所减少</w:t>
      </w:r>
      <w:r>
        <w:rPr>
          <w:rFonts w:hint="eastAsia" w:ascii="仿宋_GB2312" w:hAnsi="仿宋_GB2312" w:eastAsia="仿宋_GB2312"/>
          <w:sz w:val="32"/>
          <w:szCs w:val="24"/>
        </w:rPr>
        <w:t>。财政拨款支出</w:t>
      </w:r>
      <w:r>
        <w:rPr>
          <w:rFonts w:ascii="仿宋_GB2312" w:hAnsi="仿宋_GB2312" w:eastAsia="仿宋_GB2312"/>
          <w:sz w:val="32"/>
          <w:szCs w:val="24"/>
        </w:rPr>
        <w:t>371.37</w:t>
      </w:r>
      <w:r>
        <w:rPr>
          <w:rFonts w:hint="eastAsia" w:ascii="仿宋_GB2312" w:hAnsi="仿宋_GB2312" w:eastAsia="仿宋_GB2312"/>
          <w:sz w:val="32"/>
          <w:szCs w:val="24"/>
        </w:rPr>
        <w:t>万元，与上年相比，减少</w:t>
      </w:r>
      <w:r>
        <w:rPr>
          <w:rFonts w:ascii="仿宋_GB2312" w:hAnsi="仿宋_GB2312" w:eastAsia="仿宋_GB2312"/>
          <w:sz w:val="32"/>
          <w:szCs w:val="24"/>
        </w:rPr>
        <w:t>2,500.87</w:t>
      </w:r>
      <w:r>
        <w:rPr>
          <w:rFonts w:hint="eastAsia" w:ascii="仿宋_GB2312" w:hAnsi="仿宋_GB2312" w:eastAsia="仿宋_GB2312"/>
          <w:sz w:val="32"/>
          <w:szCs w:val="24"/>
        </w:rPr>
        <w:t>万元，降低</w:t>
      </w:r>
      <w:r>
        <w:rPr>
          <w:rFonts w:ascii="仿宋_GB2312" w:hAnsi="仿宋_GB2312" w:eastAsia="仿宋_GB2312"/>
          <w:sz w:val="32"/>
          <w:szCs w:val="24"/>
        </w:rPr>
        <w:t>87.07%</w:t>
      </w:r>
      <w:r>
        <w:rPr>
          <w:rFonts w:hint="eastAsia" w:ascii="仿宋_GB2312" w:hAnsi="仿宋_GB2312" w:eastAsia="仿宋_GB2312"/>
          <w:sz w:val="32"/>
          <w:szCs w:val="24"/>
        </w:rPr>
        <w:t>，主要原因是：</w:t>
      </w:r>
      <w:r>
        <w:rPr>
          <w:rFonts w:hint="eastAsia" w:ascii="仿宋_GB2312" w:hAnsi="仿宋_GB2312" w:eastAsia="仿宋_GB2312"/>
          <w:kern w:val="0"/>
          <w:sz w:val="32"/>
          <w:szCs w:val="24"/>
        </w:rPr>
        <w:t>本年减少教育支出、公安支出、科学技术支出项目资金，因此本年财政拨款支出较上年有所减少</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与年初预算数相比情况：财政拨款收入年初预算数</w:t>
      </w:r>
      <w:r>
        <w:rPr>
          <w:rFonts w:ascii="仿宋_GB2312" w:hAnsi="仿宋_GB2312" w:eastAsia="仿宋_GB2312"/>
          <w:sz w:val="32"/>
          <w:szCs w:val="24"/>
        </w:rPr>
        <w:t>99.90</w:t>
      </w:r>
      <w:r>
        <w:rPr>
          <w:rFonts w:hint="eastAsia" w:ascii="仿宋_GB2312" w:hAnsi="仿宋_GB2312" w:eastAsia="仿宋_GB2312"/>
          <w:sz w:val="32"/>
          <w:szCs w:val="24"/>
        </w:rPr>
        <w:t>万元，决算数</w:t>
      </w:r>
      <w:r>
        <w:rPr>
          <w:rFonts w:ascii="仿宋_GB2312" w:hAnsi="仿宋_GB2312" w:eastAsia="仿宋_GB2312"/>
          <w:sz w:val="32"/>
          <w:szCs w:val="24"/>
        </w:rPr>
        <w:t>371.37</w:t>
      </w:r>
      <w:r>
        <w:rPr>
          <w:rFonts w:hint="eastAsia" w:ascii="仿宋_GB2312" w:hAnsi="仿宋_GB2312" w:eastAsia="仿宋_GB2312"/>
          <w:sz w:val="32"/>
          <w:szCs w:val="24"/>
        </w:rPr>
        <w:t>万元，预决算差异率</w:t>
      </w:r>
      <w:r>
        <w:rPr>
          <w:rFonts w:ascii="仿宋_GB2312" w:hAnsi="仿宋_GB2312" w:eastAsia="仿宋_GB2312"/>
          <w:sz w:val="32"/>
          <w:szCs w:val="24"/>
        </w:rPr>
        <w:t>271.74%</w:t>
      </w:r>
      <w:r>
        <w:rPr>
          <w:rFonts w:hint="eastAsia" w:ascii="仿宋_GB2312" w:hAnsi="仿宋_GB2312" w:eastAsia="仿宋_GB2312"/>
          <w:sz w:val="32"/>
          <w:szCs w:val="24"/>
        </w:rPr>
        <w:t>，主要原因是：</w:t>
      </w:r>
      <w:r>
        <w:rPr>
          <w:rFonts w:hint="eastAsia" w:ascii="仿宋" w:eastAsia="仿宋"/>
          <w:kern w:val="0"/>
          <w:sz w:val="32"/>
          <w:szCs w:val="24"/>
        </w:rPr>
        <w:t>追加项目拨款，包括</w:t>
      </w:r>
      <w:r>
        <w:rPr>
          <w:rFonts w:hint="eastAsia" w:ascii="仿宋_GB2312" w:hAnsi="仿宋_GB2312" w:eastAsia="仿宋_GB2312"/>
          <w:kern w:val="0"/>
          <w:sz w:val="32"/>
          <w:szCs w:val="24"/>
        </w:rPr>
        <w:t>其他城乡社区公共设施支出</w:t>
      </w:r>
      <w:r>
        <w:rPr>
          <w:rFonts w:hint="eastAsia" w:ascii="仿宋" w:eastAsia="仿宋"/>
          <w:kern w:val="0"/>
          <w:sz w:val="32"/>
          <w:szCs w:val="24"/>
        </w:rPr>
        <w:t>、城市建设支出、</w:t>
      </w:r>
      <w:r>
        <w:rPr>
          <w:rFonts w:hint="eastAsia" w:ascii="仿宋_GB2312" w:hAnsi="仿宋_GB2312" w:eastAsia="仿宋_GB2312"/>
          <w:kern w:val="0"/>
          <w:sz w:val="32"/>
          <w:szCs w:val="24"/>
        </w:rPr>
        <w:t>自然灾害灾后重建补助</w:t>
      </w:r>
      <w:r>
        <w:rPr>
          <w:rFonts w:hint="eastAsia" w:ascii="仿宋" w:eastAsia="仿宋"/>
          <w:kern w:val="0"/>
          <w:sz w:val="32"/>
          <w:szCs w:val="24"/>
        </w:rPr>
        <w:t>支出</w:t>
      </w:r>
      <w:r>
        <w:rPr>
          <w:rFonts w:hint="eastAsia" w:ascii="仿宋_GB2312" w:hAnsi="仿宋_GB2312" w:eastAsia="仿宋_GB2312"/>
          <w:sz w:val="32"/>
          <w:szCs w:val="24"/>
        </w:rPr>
        <w:t>。财政拨款支出年初预算数</w:t>
      </w:r>
      <w:r>
        <w:rPr>
          <w:rFonts w:ascii="仿宋_GB2312" w:hAnsi="仿宋_GB2312" w:eastAsia="仿宋_GB2312"/>
          <w:sz w:val="32"/>
          <w:szCs w:val="24"/>
        </w:rPr>
        <w:t>99.90</w:t>
      </w:r>
      <w:r>
        <w:rPr>
          <w:rFonts w:hint="eastAsia" w:ascii="仿宋_GB2312" w:hAnsi="仿宋_GB2312" w:eastAsia="仿宋_GB2312"/>
          <w:sz w:val="32"/>
          <w:szCs w:val="24"/>
        </w:rPr>
        <w:t>万元，决算数</w:t>
      </w:r>
      <w:r>
        <w:rPr>
          <w:rFonts w:ascii="仿宋_GB2312" w:hAnsi="仿宋_GB2312" w:eastAsia="仿宋_GB2312"/>
          <w:sz w:val="32"/>
          <w:szCs w:val="24"/>
        </w:rPr>
        <w:t>371.37</w:t>
      </w:r>
      <w:r>
        <w:rPr>
          <w:rFonts w:hint="eastAsia" w:ascii="仿宋_GB2312" w:hAnsi="仿宋_GB2312" w:eastAsia="仿宋_GB2312"/>
          <w:sz w:val="32"/>
          <w:szCs w:val="24"/>
        </w:rPr>
        <w:t>万元，预决算差异率</w:t>
      </w:r>
      <w:r>
        <w:rPr>
          <w:rFonts w:ascii="仿宋_GB2312" w:hAnsi="仿宋_GB2312" w:eastAsia="仿宋_GB2312"/>
          <w:sz w:val="32"/>
          <w:szCs w:val="24"/>
        </w:rPr>
        <w:t>271.74%</w:t>
      </w:r>
      <w:r>
        <w:rPr>
          <w:rFonts w:hint="eastAsia" w:ascii="仿宋_GB2312" w:hAnsi="仿宋_GB2312" w:eastAsia="仿宋_GB2312"/>
          <w:sz w:val="32"/>
          <w:szCs w:val="24"/>
        </w:rPr>
        <w:t>，主要原因是：本年</w:t>
      </w:r>
      <w:r>
        <w:rPr>
          <w:rFonts w:hint="eastAsia" w:ascii="仿宋" w:eastAsia="仿宋"/>
          <w:kern w:val="0"/>
          <w:sz w:val="32"/>
          <w:szCs w:val="24"/>
        </w:rPr>
        <w:t>追加项目，包括</w:t>
      </w:r>
      <w:r>
        <w:rPr>
          <w:rFonts w:hint="eastAsia" w:ascii="仿宋_GB2312" w:hAnsi="仿宋_GB2312" w:eastAsia="仿宋_GB2312"/>
          <w:kern w:val="0"/>
          <w:sz w:val="32"/>
          <w:szCs w:val="24"/>
        </w:rPr>
        <w:t>其他城乡社区公共设施支出、</w:t>
      </w:r>
      <w:r>
        <w:rPr>
          <w:rFonts w:hint="eastAsia" w:ascii="仿宋" w:eastAsia="仿宋"/>
          <w:kern w:val="0"/>
          <w:sz w:val="32"/>
          <w:szCs w:val="24"/>
        </w:rPr>
        <w:t>城市建设支出、</w:t>
      </w:r>
      <w:r>
        <w:rPr>
          <w:rFonts w:hint="eastAsia" w:ascii="仿宋_GB2312" w:hAnsi="仿宋_GB2312" w:eastAsia="仿宋_GB2312"/>
          <w:kern w:val="0"/>
          <w:sz w:val="32"/>
          <w:szCs w:val="24"/>
        </w:rPr>
        <w:t>自然灾害灾后重建补助</w:t>
      </w:r>
      <w:r>
        <w:rPr>
          <w:rFonts w:hint="eastAsia" w:ascii="仿宋" w:eastAsia="仿宋"/>
          <w:kern w:val="0"/>
          <w:sz w:val="32"/>
          <w:szCs w:val="24"/>
        </w:rPr>
        <w:t>支出，支出增加</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五、一般公共预算财政拨款支出决算情况说明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年度一般公共预算财政拨款支出</w:t>
      </w:r>
      <w:r>
        <w:rPr>
          <w:rFonts w:ascii="仿宋_GB2312" w:hAnsi="仿宋_GB2312" w:eastAsia="仿宋_GB2312"/>
          <w:sz w:val="32"/>
          <w:szCs w:val="24"/>
        </w:rPr>
        <w:t>136.37</w:t>
      </w:r>
      <w:r>
        <w:rPr>
          <w:rFonts w:hint="eastAsia" w:ascii="仿宋_GB2312" w:hAnsi="仿宋_GB2312" w:eastAsia="仿宋_GB2312"/>
          <w:sz w:val="32"/>
          <w:szCs w:val="24"/>
        </w:rPr>
        <w:t>万元。按功能分类科目项级科目公开，其中：</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2080505</w:t>
      </w:r>
      <w:r>
        <w:rPr>
          <w:rFonts w:hint="eastAsia" w:ascii="仿宋_GB2312" w:hAnsi="仿宋_GB2312" w:eastAsia="仿宋_GB2312"/>
          <w:sz w:val="32"/>
          <w:szCs w:val="24"/>
        </w:rPr>
        <w:t>机关事业单位基本养老保险缴费支出</w:t>
      </w:r>
      <w:r>
        <w:rPr>
          <w:rFonts w:ascii="仿宋_GB2312" w:hAnsi="仿宋_GB2312" w:eastAsia="仿宋_GB2312"/>
          <w:sz w:val="32"/>
          <w:szCs w:val="24"/>
        </w:rPr>
        <w:t>8.68</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2120106</w:t>
      </w:r>
      <w:r>
        <w:rPr>
          <w:rFonts w:hint="eastAsia" w:ascii="仿宋_GB2312" w:hAnsi="仿宋_GB2312" w:eastAsia="仿宋_GB2312"/>
          <w:sz w:val="32"/>
          <w:szCs w:val="24"/>
        </w:rPr>
        <w:t>工程建设管理</w:t>
      </w:r>
      <w:r>
        <w:rPr>
          <w:rFonts w:ascii="仿宋_GB2312" w:hAnsi="仿宋_GB2312" w:eastAsia="仿宋_GB2312"/>
          <w:sz w:val="32"/>
          <w:szCs w:val="24"/>
        </w:rPr>
        <w:t>97.69</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2120399</w:t>
      </w:r>
      <w:r>
        <w:rPr>
          <w:rFonts w:hint="eastAsia" w:ascii="仿宋_GB2312" w:hAnsi="仿宋_GB2312" w:eastAsia="仿宋_GB2312"/>
          <w:sz w:val="32"/>
          <w:szCs w:val="24"/>
        </w:rPr>
        <w:t>其他城乡社区公共设施支出</w:t>
      </w:r>
      <w:r>
        <w:rPr>
          <w:rFonts w:ascii="仿宋_GB2312" w:hAnsi="仿宋_GB2312" w:eastAsia="仿宋_GB2312"/>
          <w:sz w:val="32"/>
          <w:szCs w:val="24"/>
        </w:rPr>
        <w:t>20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2240704</w:t>
      </w:r>
      <w:r>
        <w:rPr>
          <w:rFonts w:hint="eastAsia" w:ascii="仿宋_GB2312" w:hAnsi="仿宋_GB2312" w:eastAsia="仿宋_GB2312"/>
          <w:sz w:val="32"/>
          <w:szCs w:val="24"/>
        </w:rPr>
        <w:t>自然灾害灾后重建补助</w:t>
      </w:r>
      <w:r>
        <w:rPr>
          <w:rFonts w:ascii="仿宋_GB2312" w:hAnsi="仿宋_GB2312" w:eastAsia="仿宋_GB2312"/>
          <w:sz w:val="32"/>
          <w:szCs w:val="24"/>
        </w:rPr>
        <w:t>10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w:t>
      </w:r>
    </w:p>
    <w:p>
      <w:pPr>
        <w:keepNext/>
        <w:keepLines/>
        <w:ind w:firstLine="643"/>
        <w:rPr>
          <w:rFonts w:ascii="仿宋_GB2312" w:hAnsi="仿宋_GB2312" w:eastAsia="仿宋_GB2312"/>
          <w:b/>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六、一般公共预算财政拨款基本支出决算情况说明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年度一般公共预算财政拨款基本支出</w:t>
      </w:r>
      <w:r>
        <w:rPr>
          <w:rFonts w:ascii="仿宋_GB2312" w:hAnsi="仿宋_GB2312" w:eastAsia="仿宋_GB2312"/>
          <w:sz w:val="32"/>
          <w:szCs w:val="24"/>
        </w:rPr>
        <w:t>106.37</w:t>
      </w:r>
      <w:r>
        <w:rPr>
          <w:rFonts w:hint="eastAsia" w:ascii="仿宋_GB2312" w:hAnsi="仿宋_GB2312" w:eastAsia="仿宋_GB2312"/>
          <w:sz w:val="32"/>
          <w:szCs w:val="24"/>
        </w:rPr>
        <w:t>万元，其中：</w:t>
      </w:r>
    </w:p>
    <w:p>
      <w:pPr>
        <w:spacing w:line="600" w:lineRule="exact"/>
        <w:ind w:firstLine="640"/>
        <w:rPr>
          <w:rFonts w:eastAsia="仿宋_GB2312"/>
          <w:sz w:val="32"/>
          <w:szCs w:val="24"/>
        </w:rPr>
      </w:pPr>
      <w:r>
        <w:rPr>
          <w:rFonts w:hint="eastAsia" w:ascii="仿宋_GB2312" w:hAnsi="仿宋_GB2312" w:eastAsia="仿宋_GB2312"/>
          <w:sz w:val="32"/>
          <w:szCs w:val="24"/>
        </w:rPr>
        <w:t>人员经费</w:t>
      </w:r>
      <w:r>
        <w:rPr>
          <w:rFonts w:ascii="仿宋_GB2312" w:hAnsi="仿宋_GB2312" w:eastAsia="仿宋_GB2312"/>
          <w:sz w:val="32"/>
          <w:szCs w:val="24"/>
        </w:rPr>
        <w:t>103.74</w:t>
      </w:r>
      <w:r>
        <w:rPr>
          <w:rFonts w:hint="eastAsia" w:ascii="仿宋_GB2312" w:hAnsi="仿宋_GB2312" w:eastAsia="仿宋_GB2312"/>
          <w:sz w:val="32"/>
          <w:szCs w:val="24"/>
        </w:rPr>
        <w:t>万元，包括：基本工资、津贴补贴、奖金、机关事业单位基本养老保险缴费、职工基本医疗保险缴费、公务员医疗补助缴费、其他社会保障缴费、住房公积金、医疗费、其他工资福利支出。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公用经费</w:t>
      </w:r>
      <w:r>
        <w:rPr>
          <w:rFonts w:ascii="仿宋_GB2312" w:hAnsi="仿宋_GB2312" w:eastAsia="仿宋_GB2312"/>
          <w:sz w:val="32"/>
          <w:szCs w:val="24"/>
        </w:rPr>
        <w:t>2.63</w:t>
      </w:r>
      <w:r>
        <w:rPr>
          <w:rFonts w:hint="eastAsia" w:ascii="仿宋_GB2312" w:hAnsi="仿宋_GB2312" w:eastAsia="仿宋_GB2312"/>
          <w:sz w:val="32"/>
          <w:szCs w:val="24"/>
        </w:rPr>
        <w:t>万元，包括：办公费、邮电费、维修（护）费、租赁费、工会经费、福利费、其他交通费用。</w:t>
      </w:r>
    </w:p>
    <w:p>
      <w:pPr>
        <w:keepNext/>
        <w:keepLines/>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七、一般公共预算财政拨款“三公”经费支出决算情况说明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年度一般公共预算“三公”经费支出决算</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万元，比上年增加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万元，增长</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，主要原因是本单位本年无此项支出。其中，因公出国（境）费支出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，比上年增加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万元，增长</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年单位无因公出国（境）费支出，与上年相比无变化；公务用车购置及运行维护费支出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，比上年增加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万元，增长</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，主要原因是本单位本年无此项支出；公务接待费支出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，比上年增加</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万元，增长</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，主要原因是本单位本年无此项支出。具体情况如下：</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因公出国（境）费支出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万元，开支内容包括：无因公出国（境）费支出。单位全年安排的因公出国（境）团组</w:t>
      </w:r>
      <w:r>
        <w:rPr>
          <w:rFonts w:ascii="仿宋_GB2312" w:hAnsi="仿宋_GB2312" w:eastAsia="仿宋_GB2312"/>
          <w:sz w:val="32"/>
          <w:szCs w:val="24"/>
        </w:rPr>
        <w:t>0</w:t>
      </w:r>
      <w:r>
        <w:rPr>
          <w:rFonts w:hint="eastAsia" w:ascii="仿宋_GB2312" w:hAnsi="仿宋_GB2312" w:eastAsia="仿宋_GB2312"/>
          <w:sz w:val="32"/>
          <w:szCs w:val="24"/>
        </w:rPr>
        <w:t>个，因公出国（境）</w:t>
      </w:r>
      <w:r>
        <w:rPr>
          <w:rFonts w:ascii="仿宋_GB2312" w:hAnsi="仿宋_GB2312" w:eastAsia="仿宋_GB2312"/>
          <w:sz w:val="32"/>
          <w:szCs w:val="24"/>
        </w:rPr>
        <w:t>0</w:t>
      </w:r>
      <w:r>
        <w:rPr>
          <w:rFonts w:hint="eastAsia" w:ascii="仿宋_GB2312" w:hAnsi="仿宋_GB2312" w:eastAsia="仿宋_GB2312"/>
          <w:sz w:val="32"/>
          <w:szCs w:val="24"/>
        </w:rPr>
        <w:t>人次。</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公务用车购置及运行维护费</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万元，其中，公务用车购置费</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万元，公务用车运行维护费</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万元。公务用车运行维护费开支内容包括无公务用车运行维护费开支。公务用车购置数</w:t>
      </w:r>
      <w:r>
        <w:rPr>
          <w:rFonts w:ascii="仿宋_GB2312" w:hAnsi="仿宋_GB2312" w:eastAsia="仿宋_GB2312"/>
          <w:sz w:val="32"/>
          <w:szCs w:val="24"/>
        </w:rPr>
        <w:t>0</w:t>
      </w:r>
      <w:r>
        <w:rPr>
          <w:rFonts w:hint="eastAsia" w:ascii="仿宋_GB2312" w:hAnsi="仿宋_GB2312" w:eastAsia="仿宋_GB2312"/>
          <w:sz w:val="32"/>
          <w:szCs w:val="24"/>
        </w:rPr>
        <w:t>辆，公务用车保有量</w:t>
      </w:r>
      <w:r>
        <w:rPr>
          <w:rFonts w:ascii="仿宋_GB2312" w:hAnsi="仿宋_GB2312" w:eastAsia="仿宋_GB2312"/>
          <w:sz w:val="32"/>
          <w:szCs w:val="24"/>
        </w:rPr>
        <w:t>0</w:t>
      </w:r>
      <w:r>
        <w:rPr>
          <w:rFonts w:hint="eastAsia" w:ascii="仿宋_GB2312" w:hAnsi="仿宋_GB2312" w:eastAsia="仿宋_GB2312"/>
          <w:sz w:val="32"/>
          <w:szCs w:val="24"/>
        </w:rPr>
        <w:t>辆。</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公务接待费</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万元，开支内容包括无公务接待费开支。单位全年安排的国内公务接待</w:t>
      </w:r>
      <w:r>
        <w:rPr>
          <w:rFonts w:ascii="仿宋_GB2312" w:hAnsi="仿宋_GB2312" w:eastAsia="仿宋_GB2312"/>
          <w:sz w:val="32"/>
          <w:szCs w:val="24"/>
        </w:rPr>
        <w:t>0</w:t>
      </w:r>
      <w:r>
        <w:rPr>
          <w:rFonts w:hint="eastAsia" w:ascii="仿宋_GB2312" w:hAnsi="仿宋_GB2312" w:eastAsia="仿宋_GB2312"/>
          <w:sz w:val="32"/>
          <w:szCs w:val="24"/>
        </w:rPr>
        <w:t>批次，</w:t>
      </w:r>
      <w:r>
        <w:rPr>
          <w:rFonts w:ascii="仿宋_GB2312" w:hAnsi="仿宋_GB2312" w:eastAsia="仿宋_GB2312"/>
          <w:sz w:val="32"/>
          <w:szCs w:val="24"/>
        </w:rPr>
        <w:t>0</w:t>
      </w:r>
      <w:r>
        <w:rPr>
          <w:rFonts w:hint="eastAsia" w:ascii="仿宋_GB2312" w:hAnsi="仿宋_GB2312" w:eastAsia="仿宋_GB2312"/>
          <w:sz w:val="32"/>
          <w:szCs w:val="24"/>
        </w:rPr>
        <w:t>人次。</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与年初预算数相比情况：一般公共预算“三公”经费支出年初预算数</w:t>
      </w:r>
      <w:r>
        <w:rPr>
          <w:rFonts w:ascii="仿宋_GB2312" w:hAnsi="仿宋_GB2312" w:eastAsia="仿宋_GB2312"/>
          <w:sz w:val="32"/>
          <w:szCs w:val="24"/>
        </w:rPr>
        <w:t>1.10</w:t>
      </w:r>
      <w:r>
        <w:rPr>
          <w:rFonts w:hint="eastAsia" w:ascii="仿宋_GB2312" w:hAnsi="仿宋_GB2312" w:eastAsia="仿宋_GB2312"/>
          <w:sz w:val="32"/>
          <w:szCs w:val="24"/>
        </w:rPr>
        <w:t>万元，决算数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万元，预决算差异率</w:t>
      </w:r>
      <w:r>
        <w:rPr>
          <w:rFonts w:ascii="仿宋_GB2312" w:hAnsi="仿宋_GB2312" w:eastAsia="仿宋_GB2312"/>
          <w:sz w:val="32"/>
          <w:szCs w:val="24"/>
        </w:rPr>
        <w:t>-100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，主要原因是：本年无“三公”经费支出。其中：因公出国（境）费预算数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万元，决算数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万元，预决算差异率</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w:t>
      </w:r>
      <w:r>
        <w:rPr>
          <w:rFonts w:ascii="仿宋_GB2312" w:hAnsi="仿宋_GB2312" w:eastAsia="仿宋_GB2312"/>
          <w:sz w:val="32"/>
          <w:szCs w:val="24"/>
        </w:rPr>
        <w:t>2020</w:t>
      </w:r>
      <w:r>
        <w:rPr>
          <w:rFonts w:hint="eastAsia" w:ascii="仿宋_GB2312" w:hAnsi="仿宋_GB2312" w:eastAsia="仿宋_GB2312"/>
          <w:sz w:val="32"/>
          <w:szCs w:val="24"/>
        </w:rPr>
        <w:t>年未安排因公出国（境）费预算；公务用车购置费预算数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万元，决算数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万元，预决算差异率</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w:t>
      </w:r>
      <w:r>
        <w:rPr>
          <w:rFonts w:ascii="仿宋_GB2312" w:hAnsi="仿宋_GB2312" w:eastAsia="仿宋_GB2312"/>
          <w:kern w:val="0"/>
          <w:sz w:val="32"/>
          <w:szCs w:val="24"/>
        </w:rPr>
        <w:t>2020</w:t>
      </w:r>
      <w:r>
        <w:rPr>
          <w:rFonts w:hint="eastAsia" w:ascii="仿宋_GB2312" w:hAnsi="仿宋_GB2312" w:eastAsia="仿宋_GB2312"/>
          <w:kern w:val="0"/>
          <w:sz w:val="32"/>
          <w:szCs w:val="24"/>
        </w:rPr>
        <w:t>年未安排</w:t>
      </w:r>
      <w:r>
        <w:rPr>
          <w:rFonts w:hint="eastAsia" w:ascii="仿宋" w:eastAsia="仿宋"/>
          <w:kern w:val="0"/>
          <w:sz w:val="32"/>
          <w:szCs w:val="24"/>
        </w:rPr>
        <w:t>公务用车购置费预算</w:t>
      </w:r>
      <w:r>
        <w:rPr>
          <w:rFonts w:hint="eastAsia" w:ascii="仿宋_GB2312" w:hAnsi="仿宋_GB2312" w:eastAsia="仿宋_GB2312"/>
          <w:sz w:val="32"/>
          <w:szCs w:val="24"/>
        </w:rPr>
        <w:t>；公务用车运行费预算数</w:t>
      </w:r>
      <w:r>
        <w:rPr>
          <w:rFonts w:ascii="仿宋_GB2312" w:hAnsi="仿宋_GB2312" w:eastAsia="仿宋_GB2312"/>
          <w:sz w:val="32"/>
          <w:szCs w:val="24"/>
        </w:rPr>
        <w:t>1.10</w:t>
      </w:r>
      <w:r>
        <w:rPr>
          <w:rFonts w:hint="eastAsia" w:ascii="仿宋_GB2312" w:hAnsi="仿宋_GB2312" w:eastAsia="仿宋_GB2312"/>
          <w:sz w:val="32"/>
          <w:szCs w:val="24"/>
        </w:rPr>
        <w:t>万元，决算数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万元，预决算差异率</w:t>
      </w:r>
      <w:r>
        <w:rPr>
          <w:rFonts w:ascii="仿宋_GB2312" w:hAnsi="仿宋_GB2312" w:eastAsia="仿宋_GB2312"/>
          <w:sz w:val="32"/>
          <w:szCs w:val="24"/>
        </w:rPr>
        <w:t>-100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，主要原因是：本年无公务用车运行费支出；公务接待费预算数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万元，决算数</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万元，预决算差异率</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，主要原因是：本年无公务接待费支出。</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八、政府性基金预算财政拨款收入支出决算情况说明</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年度政府性基金预算财政拨款收入</w:t>
      </w:r>
      <w:r>
        <w:rPr>
          <w:rFonts w:ascii="仿宋_GB2312" w:hAnsi="仿宋_GB2312" w:eastAsia="仿宋_GB2312"/>
          <w:sz w:val="32"/>
          <w:szCs w:val="24"/>
        </w:rPr>
        <w:t>235</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万元，与上年相比，增加</w:t>
      </w:r>
      <w:r>
        <w:rPr>
          <w:rFonts w:ascii="仿宋_GB2312" w:hAnsi="仿宋_GB2312" w:eastAsia="仿宋_GB2312"/>
          <w:sz w:val="32"/>
          <w:szCs w:val="24"/>
        </w:rPr>
        <w:t>235</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万元，增长</w:t>
      </w:r>
      <w:r>
        <w:rPr>
          <w:rFonts w:ascii="仿宋_GB2312" w:hAnsi="仿宋_GB2312" w:eastAsia="仿宋_GB2312"/>
          <w:sz w:val="32"/>
          <w:szCs w:val="24"/>
        </w:rPr>
        <w:t>100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，主要原因是：追加城市建设支出项目资金，因此政府性基金财政拨款收入增加。政府性基金预算财政拨款支出</w:t>
      </w:r>
      <w:r>
        <w:rPr>
          <w:rFonts w:ascii="仿宋_GB2312" w:hAnsi="仿宋_GB2312" w:eastAsia="仿宋_GB2312"/>
          <w:sz w:val="32"/>
          <w:szCs w:val="24"/>
        </w:rPr>
        <w:t>235</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万元。与上年相比，增加</w:t>
      </w:r>
      <w:r>
        <w:rPr>
          <w:rFonts w:ascii="仿宋_GB2312" w:hAnsi="仿宋_GB2312" w:eastAsia="仿宋_GB2312"/>
          <w:sz w:val="32"/>
          <w:szCs w:val="24"/>
        </w:rPr>
        <w:t>235</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万元，增长</w:t>
      </w:r>
      <w:r>
        <w:rPr>
          <w:rFonts w:ascii="仿宋_GB2312" w:hAnsi="仿宋_GB2312" w:eastAsia="仿宋_GB2312"/>
          <w:sz w:val="32"/>
          <w:szCs w:val="24"/>
        </w:rPr>
        <w:t>100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。主要原因是：追加城市建设支出项目资金，因此政府性基金财政拨款支出增加。</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九、国有资本经营预算财政拨款收入支出决算情况说明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我单位本年度无国有资本经营预算财政拨款收入支出，国有资本经营预算财政拨款收入支出决算表为空表。</w:t>
      </w:r>
    </w:p>
    <w:p>
      <w:pPr>
        <w:keepNext/>
        <w:keepLines/>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kern w:val="0"/>
          <w:sz w:val="32"/>
          <w:szCs w:val="24"/>
        </w:rPr>
        <w:t>十、其他重要事项的情况说明</w:t>
      </w:r>
    </w:p>
    <w:p>
      <w:pPr>
        <w:keepNext/>
        <w:keepLines/>
        <w:ind w:firstLine="640"/>
        <w:rPr>
          <w:rFonts w:ascii="黑体" w:hAnsi="黑体" w:eastAsia="黑体"/>
          <w:sz w:val="32"/>
          <w:szCs w:val="24"/>
        </w:rPr>
      </w:pPr>
      <w:r>
        <w:rPr>
          <w:rFonts w:hint="eastAsia" w:ascii="黑体" w:hAnsi="黑体" w:eastAsia="黑体"/>
          <w:sz w:val="32"/>
          <w:szCs w:val="24"/>
        </w:rPr>
        <w:t>（一）机关运行经费支出情况</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年度新疆昌吉玛纳斯县项目代建管理处（事业单位）日常公用经费</w:t>
      </w:r>
      <w:r>
        <w:rPr>
          <w:rFonts w:ascii="仿宋_GB2312" w:hAnsi="仿宋_GB2312" w:eastAsia="仿宋_GB2312"/>
          <w:sz w:val="32"/>
          <w:szCs w:val="24"/>
        </w:rPr>
        <w:t>2.63</w:t>
      </w:r>
      <w:r>
        <w:rPr>
          <w:rFonts w:hint="eastAsia" w:ascii="仿宋_GB2312" w:hAnsi="仿宋_GB2312" w:eastAsia="仿宋_GB2312"/>
          <w:sz w:val="32"/>
          <w:szCs w:val="24"/>
        </w:rPr>
        <w:t>万元，比上年增加</w:t>
      </w:r>
      <w:r>
        <w:rPr>
          <w:rFonts w:ascii="仿宋_GB2312" w:hAnsi="仿宋_GB2312" w:eastAsia="仿宋_GB2312"/>
          <w:sz w:val="32"/>
          <w:szCs w:val="24"/>
        </w:rPr>
        <w:t>0.95</w:t>
      </w:r>
      <w:r>
        <w:rPr>
          <w:rFonts w:hint="eastAsia" w:ascii="仿宋_GB2312" w:hAnsi="仿宋_GB2312" w:eastAsia="仿宋_GB2312"/>
          <w:sz w:val="32"/>
          <w:szCs w:val="24"/>
        </w:rPr>
        <w:t>万元，增长</w:t>
      </w:r>
      <w:r>
        <w:rPr>
          <w:rFonts w:ascii="仿宋_GB2312" w:hAnsi="仿宋_GB2312" w:eastAsia="仿宋_GB2312"/>
          <w:sz w:val="32"/>
          <w:szCs w:val="24"/>
        </w:rPr>
        <w:t>56.55%</w:t>
      </w:r>
      <w:r>
        <w:rPr>
          <w:rFonts w:hint="eastAsia" w:ascii="仿宋_GB2312" w:hAnsi="仿宋_GB2312" w:eastAsia="仿宋_GB2312"/>
          <w:sz w:val="32"/>
          <w:szCs w:val="24"/>
        </w:rPr>
        <w:t>，主要原因是办公费、其他交通费用支出增加。</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sz w:val="32"/>
          <w:szCs w:val="24"/>
        </w:rPr>
      </w:pPr>
      <w:r>
        <w:rPr>
          <w:rFonts w:hint="eastAsia" w:ascii="黑体" w:hAnsi="黑体" w:eastAsia="黑体"/>
          <w:sz w:val="32"/>
          <w:szCs w:val="24"/>
        </w:rPr>
        <w:t>（二）政府采购情况</w:t>
      </w:r>
    </w:p>
    <w:p>
      <w:pPr>
        <w:spacing w:line="600" w:lineRule="exact"/>
        <w:ind w:firstLine="640"/>
        <w:rPr>
          <w:rFonts w:ascii="仿宋_GB2312" w:hAnsi="仿宋_GB2312" w:eastAsia="仿宋_GB2312"/>
          <w:sz w:val="32"/>
          <w:szCs w:val="24"/>
        </w:rPr>
      </w:pPr>
      <w:r>
        <w:rPr>
          <w:rFonts w:ascii="仿宋_GB2312" w:hAnsi="仿宋_GB2312" w:eastAsia="仿宋_GB2312"/>
          <w:sz w:val="32"/>
          <w:szCs w:val="24"/>
        </w:rPr>
        <w:t>2020</w:t>
      </w:r>
      <w:r>
        <w:rPr>
          <w:rFonts w:hint="eastAsia" w:ascii="仿宋_GB2312" w:hAnsi="仿宋_GB2312" w:eastAsia="仿宋_GB2312"/>
          <w:sz w:val="32"/>
          <w:szCs w:val="24"/>
        </w:rPr>
        <w:t>年度政府采购支出总额</w:t>
      </w:r>
      <w:r>
        <w:rPr>
          <w:rFonts w:ascii="仿宋_GB2312" w:hAnsi="仿宋_GB2312" w:eastAsia="仿宋_GB2312"/>
          <w:sz w:val="32"/>
          <w:szCs w:val="24"/>
        </w:rPr>
        <w:t>20.32</w:t>
      </w:r>
      <w:r>
        <w:rPr>
          <w:rFonts w:hint="eastAsia" w:ascii="仿宋_GB2312" w:hAnsi="仿宋_GB2312" w:eastAsia="仿宋_GB2312"/>
          <w:sz w:val="32"/>
          <w:szCs w:val="24"/>
        </w:rPr>
        <w:t>万元，其中：政府采购货物支出</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万元、政府采购工程支出</w:t>
      </w:r>
      <w:r>
        <w:rPr>
          <w:rFonts w:ascii="仿宋_GB2312" w:hAnsi="仿宋_GB2312" w:eastAsia="仿宋_GB2312"/>
          <w:sz w:val="32"/>
          <w:szCs w:val="24"/>
        </w:rPr>
        <w:t>20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万元、政府采购服务支出</w:t>
      </w:r>
      <w:r>
        <w:rPr>
          <w:rFonts w:ascii="仿宋_GB2312" w:hAnsi="仿宋_GB2312" w:eastAsia="仿宋_GB2312"/>
          <w:sz w:val="32"/>
          <w:szCs w:val="24"/>
        </w:rPr>
        <w:t>0.32</w:t>
      </w:r>
      <w:r>
        <w:rPr>
          <w:rFonts w:hint="eastAsia" w:ascii="仿宋_GB2312" w:hAnsi="仿宋_GB2312" w:eastAsia="仿宋_GB2312"/>
          <w:sz w:val="32"/>
          <w:szCs w:val="24"/>
        </w:rPr>
        <w:t>万元。</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授予中小企业合同金额</w:t>
      </w:r>
      <w:r>
        <w:rPr>
          <w:rFonts w:ascii="仿宋_GB2312" w:hAnsi="仿宋_GB2312" w:eastAsia="仿宋_GB2312"/>
          <w:sz w:val="32"/>
          <w:szCs w:val="24"/>
        </w:rPr>
        <w:t>20.32</w:t>
      </w:r>
      <w:r>
        <w:rPr>
          <w:rFonts w:hint="eastAsia" w:ascii="仿宋_GB2312" w:hAnsi="仿宋_GB2312" w:eastAsia="仿宋_GB2312"/>
          <w:sz w:val="32"/>
          <w:szCs w:val="24"/>
        </w:rPr>
        <w:t>万元，占政府采购支出总额的</w:t>
      </w:r>
      <w:r>
        <w:rPr>
          <w:rFonts w:ascii="仿宋_GB2312" w:hAnsi="仿宋_GB2312" w:eastAsia="仿宋_GB2312"/>
          <w:sz w:val="32"/>
          <w:szCs w:val="24"/>
        </w:rPr>
        <w:t>100</w:t>
      </w:r>
      <w:r>
        <w:rPr>
          <w:rFonts w:hint="eastAsia" w:ascii="仿宋_GB2312" w:hAnsi="仿宋_GB2312" w:eastAsia="仿宋_GB2312"/>
          <w:kern w:val="0"/>
          <w:sz w:val="32"/>
          <w:szCs w:val="24"/>
        </w:rPr>
        <w:t>.00</w:t>
      </w:r>
      <w:r>
        <w:rPr>
          <w:rFonts w:ascii="仿宋_GB2312" w:hAnsi="仿宋_GB2312" w:eastAsia="仿宋_GB2312"/>
          <w:sz w:val="32"/>
          <w:szCs w:val="24"/>
        </w:rPr>
        <w:t>%</w:t>
      </w:r>
      <w:r>
        <w:rPr>
          <w:rFonts w:hint="eastAsia" w:ascii="仿宋_GB2312" w:hAnsi="仿宋_GB2312" w:eastAsia="仿宋_GB2312"/>
          <w:sz w:val="32"/>
          <w:szCs w:val="24"/>
        </w:rPr>
        <w:t>，其中：授予小微企业合同金额</w:t>
      </w:r>
      <w:r>
        <w:rPr>
          <w:rFonts w:ascii="仿宋_GB2312" w:hAnsi="仿宋_GB2312" w:eastAsia="仿宋_GB2312"/>
          <w:sz w:val="32"/>
          <w:szCs w:val="24"/>
        </w:rPr>
        <w:t>20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万元，占政府采购支出总额的</w:t>
      </w:r>
      <w:r>
        <w:rPr>
          <w:rFonts w:ascii="仿宋_GB2312" w:hAnsi="仿宋_GB2312" w:eastAsia="仿宋_GB2312"/>
          <w:sz w:val="32"/>
          <w:szCs w:val="24"/>
        </w:rPr>
        <w:t>98.43%</w:t>
      </w:r>
      <w:r>
        <w:rPr>
          <w:rFonts w:hint="eastAsia" w:ascii="仿宋_GB2312" w:hAnsi="仿宋_GB2312" w:eastAsia="仿宋_GB2312"/>
          <w:sz w:val="32"/>
          <w:szCs w:val="24"/>
        </w:rPr>
        <w:t>。</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sz w:val="32"/>
          <w:szCs w:val="24"/>
        </w:rPr>
      </w:pPr>
      <w:r>
        <w:rPr>
          <w:rFonts w:hint="eastAsia" w:ascii="黑体" w:hAnsi="黑体" w:eastAsia="黑体"/>
          <w:sz w:val="32"/>
          <w:szCs w:val="24"/>
        </w:rPr>
        <w:t>（三）国有资产占用情况说明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截止</w:t>
      </w:r>
      <w:r>
        <w:rPr>
          <w:rFonts w:ascii="仿宋_GB2312" w:hAnsi="仿宋_GB2312" w:eastAsia="仿宋_GB2312"/>
          <w:sz w:val="32"/>
          <w:szCs w:val="24"/>
        </w:rPr>
        <w:t>2020</w:t>
      </w:r>
      <w:r>
        <w:rPr>
          <w:rFonts w:hint="eastAsia" w:ascii="仿宋_GB2312" w:hAnsi="仿宋_GB2312" w:eastAsia="仿宋_GB2312"/>
          <w:sz w:val="32"/>
          <w:szCs w:val="24"/>
        </w:rPr>
        <w:t>年</w:t>
      </w:r>
      <w:r>
        <w:rPr>
          <w:rFonts w:ascii="仿宋_GB2312" w:hAnsi="仿宋_GB2312" w:eastAsia="仿宋_GB2312"/>
          <w:sz w:val="32"/>
          <w:szCs w:val="24"/>
        </w:rPr>
        <w:t>12</w:t>
      </w:r>
      <w:r>
        <w:rPr>
          <w:rFonts w:hint="eastAsia" w:ascii="仿宋_GB2312" w:hAnsi="仿宋_GB2312" w:eastAsia="仿宋_GB2312"/>
          <w:sz w:val="32"/>
          <w:szCs w:val="24"/>
        </w:rPr>
        <w:t>月</w:t>
      </w:r>
      <w:r>
        <w:rPr>
          <w:rFonts w:ascii="仿宋_GB2312" w:hAnsi="仿宋_GB2312" w:eastAsia="仿宋_GB2312"/>
          <w:sz w:val="32"/>
          <w:szCs w:val="24"/>
        </w:rPr>
        <w:t>31</w:t>
      </w:r>
      <w:r>
        <w:rPr>
          <w:rFonts w:hint="eastAsia" w:ascii="仿宋_GB2312" w:hAnsi="仿宋_GB2312" w:eastAsia="仿宋_GB2312"/>
          <w:sz w:val="32"/>
          <w:szCs w:val="24"/>
        </w:rPr>
        <w:t>日，单位共有房屋</w:t>
      </w:r>
      <w:r>
        <w:rPr>
          <w:rFonts w:ascii="仿宋_GB2312" w:hAnsi="仿宋_GB2312" w:eastAsia="仿宋_GB2312"/>
          <w:sz w:val="32"/>
          <w:szCs w:val="24"/>
        </w:rPr>
        <w:t>0</w:t>
      </w:r>
      <w:r>
        <w:rPr>
          <w:rFonts w:hint="eastAsia" w:ascii="仿宋_GB2312" w:hAnsi="仿宋_GB2312" w:eastAsia="仿宋_GB2312"/>
          <w:sz w:val="32"/>
          <w:szCs w:val="24"/>
        </w:rPr>
        <w:t>.00（平方米），价值</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万元。车辆</w:t>
      </w:r>
      <w:r>
        <w:rPr>
          <w:rFonts w:ascii="仿宋_GB2312" w:hAnsi="仿宋_GB2312" w:eastAsia="仿宋_GB2312"/>
          <w:sz w:val="32"/>
          <w:szCs w:val="24"/>
        </w:rPr>
        <w:t>0</w:t>
      </w:r>
      <w:r>
        <w:rPr>
          <w:rFonts w:hint="eastAsia" w:ascii="仿宋_GB2312" w:hAnsi="仿宋_GB2312" w:eastAsia="仿宋_GB2312"/>
          <w:sz w:val="32"/>
          <w:szCs w:val="24"/>
        </w:rPr>
        <w:t>辆，价值</w:t>
      </w:r>
      <w:r>
        <w:rPr>
          <w:rFonts w:ascii="仿宋_GB2312" w:hAnsi="仿宋_GB2312" w:eastAsia="仿宋_GB2312"/>
          <w:sz w:val="32"/>
          <w:szCs w:val="24"/>
        </w:rPr>
        <w:t>0</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万元，其中：副部（省）级及以上领导用车</w:t>
      </w:r>
      <w:r>
        <w:rPr>
          <w:rFonts w:ascii="仿宋_GB2312" w:hAnsi="仿宋_GB2312" w:eastAsia="仿宋_GB2312"/>
          <w:sz w:val="32"/>
          <w:szCs w:val="24"/>
        </w:rPr>
        <w:t>0</w:t>
      </w:r>
      <w:r>
        <w:rPr>
          <w:rFonts w:hint="eastAsia" w:ascii="仿宋_GB2312" w:hAnsi="仿宋_GB2312" w:eastAsia="仿宋_GB2312"/>
          <w:sz w:val="32"/>
          <w:szCs w:val="24"/>
        </w:rPr>
        <w:t>辆、主要领导干部用车</w:t>
      </w:r>
      <w:r>
        <w:rPr>
          <w:rFonts w:ascii="仿宋_GB2312" w:hAnsi="仿宋_GB2312" w:eastAsia="仿宋_GB2312"/>
          <w:sz w:val="32"/>
          <w:szCs w:val="24"/>
        </w:rPr>
        <w:t>0</w:t>
      </w:r>
      <w:r>
        <w:rPr>
          <w:rFonts w:hint="eastAsia" w:ascii="仿宋_GB2312" w:hAnsi="仿宋_GB2312" w:eastAsia="仿宋_GB2312"/>
          <w:sz w:val="32"/>
          <w:szCs w:val="24"/>
        </w:rPr>
        <w:t>辆、机要通信用车</w:t>
      </w:r>
      <w:r>
        <w:rPr>
          <w:rFonts w:ascii="仿宋_GB2312" w:hAnsi="仿宋_GB2312" w:eastAsia="仿宋_GB2312"/>
          <w:sz w:val="32"/>
          <w:szCs w:val="24"/>
        </w:rPr>
        <w:t>0</w:t>
      </w:r>
      <w:r>
        <w:rPr>
          <w:rFonts w:hint="eastAsia" w:ascii="仿宋_GB2312" w:hAnsi="仿宋_GB2312" w:eastAsia="仿宋_GB2312"/>
          <w:sz w:val="32"/>
          <w:szCs w:val="24"/>
        </w:rPr>
        <w:t>辆、应急保障用车</w:t>
      </w:r>
      <w:r>
        <w:rPr>
          <w:rFonts w:ascii="仿宋_GB2312" w:hAnsi="仿宋_GB2312" w:eastAsia="仿宋_GB2312"/>
          <w:sz w:val="32"/>
          <w:szCs w:val="24"/>
        </w:rPr>
        <w:t>0</w:t>
      </w:r>
      <w:r>
        <w:rPr>
          <w:rFonts w:hint="eastAsia" w:ascii="仿宋_GB2312" w:hAnsi="仿宋_GB2312" w:eastAsia="仿宋_GB2312"/>
          <w:sz w:val="32"/>
          <w:szCs w:val="24"/>
        </w:rPr>
        <w:t>辆、执法执勤用车</w:t>
      </w:r>
      <w:r>
        <w:rPr>
          <w:rFonts w:ascii="仿宋_GB2312" w:hAnsi="仿宋_GB2312" w:eastAsia="仿宋_GB2312"/>
          <w:sz w:val="32"/>
          <w:szCs w:val="24"/>
        </w:rPr>
        <w:t>0</w:t>
      </w:r>
      <w:r>
        <w:rPr>
          <w:rFonts w:hint="eastAsia" w:ascii="仿宋_GB2312" w:hAnsi="仿宋_GB2312" w:eastAsia="仿宋_GB2312"/>
          <w:sz w:val="32"/>
          <w:szCs w:val="24"/>
        </w:rPr>
        <w:t>辆、特种专业技术用车</w:t>
      </w:r>
      <w:r>
        <w:rPr>
          <w:rFonts w:ascii="仿宋_GB2312" w:hAnsi="仿宋_GB2312" w:eastAsia="仿宋_GB2312"/>
          <w:sz w:val="32"/>
          <w:szCs w:val="24"/>
        </w:rPr>
        <w:t>0</w:t>
      </w:r>
      <w:r>
        <w:rPr>
          <w:rFonts w:hint="eastAsia" w:ascii="仿宋_GB2312" w:hAnsi="仿宋_GB2312" w:eastAsia="仿宋_GB2312"/>
          <w:sz w:val="32"/>
          <w:szCs w:val="24"/>
        </w:rPr>
        <w:t>辆、离退休干部用车</w:t>
      </w:r>
      <w:r>
        <w:rPr>
          <w:rFonts w:ascii="仿宋_GB2312" w:hAnsi="仿宋_GB2312" w:eastAsia="仿宋_GB2312"/>
          <w:sz w:val="32"/>
          <w:szCs w:val="24"/>
        </w:rPr>
        <w:t>0</w:t>
      </w:r>
      <w:r>
        <w:rPr>
          <w:rFonts w:hint="eastAsia" w:ascii="仿宋_GB2312" w:hAnsi="仿宋_GB2312" w:eastAsia="仿宋_GB2312"/>
          <w:sz w:val="32"/>
          <w:szCs w:val="24"/>
        </w:rPr>
        <w:t>辆、其他用车</w:t>
      </w:r>
      <w:r>
        <w:rPr>
          <w:rFonts w:ascii="仿宋_GB2312" w:hAnsi="仿宋_GB2312" w:eastAsia="仿宋_GB2312"/>
          <w:sz w:val="32"/>
          <w:szCs w:val="24"/>
        </w:rPr>
        <w:t>0</w:t>
      </w:r>
      <w:r>
        <w:rPr>
          <w:rFonts w:hint="eastAsia" w:ascii="仿宋_GB2312" w:hAnsi="仿宋_GB2312" w:eastAsia="仿宋_GB2312"/>
          <w:sz w:val="32"/>
          <w:szCs w:val="24"/>
        </w:rPr>
        <w:t>辆，其他用车主要是：我单位无其他用车；单位价值</w:t>
      </w:r>
      <w:r>
        <w:rPr>
          <w:rFonts w:ascii="仿宋_GB2312" w:hAnsi="仿宋_GB2312" w:eastAsia="仿宋_GB2312"/>
          <w:sz w:val="32"/>
          <w:szCs w:val="24"/>
        </w:rPr>
        <w:t>50</w:t>
      </w:r>
      <w:r>
        <w:rPr>
          <w:rFonts w:hint="eastAsia" w:ascii="仿宋_GB2312" w:hAnsi="仿宋_GB2312" w:eastAsia="仿宋_GB2312"/>
          <w:sz w:val="32"/>
          <w:szCs w:val="24"/>
        </w:rPr>
        <w:t>万元以上通用设备</w:t>
      </w:r>
      <w:r>
        <w:rPr>
          <w:rFonts w:ascii="仿宋_GB2312" w:hAnsi="仿宋_GB2312" w:eastAsia="仿宋_GB2312"/>
          <w:sz w:val="32"/>
          <w:szCs w:val="24"/>
        </w:rPr>
        <w:t>0</w:t>
      </w:r>
      <w:r>
        <w:rPr>
          <w:rFonts w:hint="eastAsia" w:ascii="仿宋_GB2312" w:hAnsi="仿宋_GB2312" w:eastAsia="仿宋_GB2312"/>
          <w:sz w:val="32"/>
          <w:szCs w:val="24"/>
        </w:rPr>
        <w:t>台（套）、单位价值</w:t>
      </w:r>
      <w:r>
        <w:rPr>
          <w:rFonts w:ascii="仿宋_GB2312" w:hAnsi="仿宋_GB2312" w:eastAsia="仿宋_GB2312"/>
          <w:sz w:val="32"/>
          <w:szCs w:val="24"/>
        </w:rPr>
        <w:t>100</w:t>
      </w:r>
      <w:r>
        <w:rPr>
          <w:rFonts w:hint="eastAsia" w:ascii="仿宋_GB2312" w:hAnsi="仿宋_GB2312" w:eastAsia="仿宋_GB2312"/>
          <w:sz w:val="32"/>
          <w:szCs w:val="24"/>
        </w:rPr>
        <w:t>万元以上专用设备</w:t>
      </w:r>
      <w:r>
        <w:rPr>
          <w:rFonts w:ascii="仿宋_GB2312" w:hAnsi="仿宋_GB2312" w:eastAsia="仿宋_GB2312"/>
          <w:sz w:val="32"/>
          <w:szCs w:val="24"/>
        </w:rPr>
        <w:t>0</w:t>
      </w:r>
      <w:r>
        <w:rPr>
          <w:rFonts w:hint="eastAsia" w:ascii="仿宋_GB2312" w:hAnsi="仿宋_GB2312" w:eastAsia="仿宋_GB2312"/>
          <w:sz w:val="32"/>
          <w:szCs w:val="24"/>
        </w:rPr>
        <w:t>台（套）。</w:t>
      </w:r>
    </w:p>
    <w:p>
      <w:pPr>
        <w:spacing w:line="600" w:lineRule="exact"/>
        <w:ind w:firstLine="640"/>
        <w:rPr>
          <w:rFonts w:ascii="仿宋_GB2312" w:hAnsi="仿宋_GB2312" w:eastAsia="仿宋_GB2312"/>
          <w:sz w:val="32"/>
          <w:szCs w:val="24"/>
        </w:rPr>
      </w:pPr>
    </w:p>
    <w:p>
      <w:pPr>
        <w:keepNext/>
        <w:keepLines/>
        <w:ind w:firstLine="640"/>
        <w:rPr>
          <w:rFonts w:ascii="黑体" w:hAnsi="黑体" w:eastAsia="黑体"/>
          <w:kern w:val="0"/>
          <w:sz w:val="32"/>
          <w:szCs w:val="24"/>
        </w:rPr>
      </w:pPr>
      <w:r>
        <w:rPr>
          <w:rFonts w:hint="eastAsia" w:ascii="黑体" w:hAnsi="黑体" w:eastAsia="黑体"/>
          <w:sz w:val="32"/>
          <w:szCs w:val="24"/>
        </w:rPr>
        <w:t>十一、预算绩效的情况说明</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根据预算绩效管理要求，我单位</w:t>
      </w:r>
      <w:r>
        <w:rPr>
          <w:rFonts w:ascii="仿宋_GB2312" w:hAnsi="仿宋_GB2312" w:eastAsia="仿宋_GB2312"/>
          <w:sz w:val="32"/>
          <w:szCs w:val="24"/>
        </w:rPr>
        <w:t>2020</w:t>
      </w:r>
      <w:r>
        <w:rPr>
          <w:rFonts w:hint="eastAsia" w:ascii="仿宋_GB2312" w:hAnsi="仿宋_GB2312" w:eastAsia="仿宋_GB2312"/>
          <w:sz w:val="32"/>
          <w:szCs w:val="24"/>
        </w:rPr>
        <w:t>年度开展预算绩效评价项目</w:t>
      </w:r>
      <w:r>
        <w:rPr>
          <w:rFonts w:ascii="仿宋_GB2312" w:hAnsi="仿宋_GB2312" w:eastAsia="仿宋_GB2312"/>
          <w:sz w:val="32"/>
          <w:szCs w:val="24"/>
        </w:rPr>
        <w:t>3</w:t>
      </w:r>
      <w:r>
        <w:rPr>
          <w:rFonts w:hint="eastAsia" w:ascii="仿宋_GB2312" w:hAnsi="仿宋_GB2312" w:eastAsia="仿宋_GB2312"/>
          <w:sz w:val="32"/>
          <w:szCs w:val="24"/>
        </w:rPr>
        <w:t>个，共涉及资金</w:t>
      </w:r>
      <w:r>
        <w:rPr>
          <w:rFonts w:ascii="仿宋_GB2312" w:hAnsi="仿宋_GB2312" w:eastAsia="仿宋_GB2312"/>
          <w:sz w:val="32"/>
          <w:szCs w:val="24"/>
        </w:rPr>
        <w:t>265</w:t>
      </w:r>
      <w:r>
        <w:rPr>
          <w:rFonts w:hint="eastAsia" w:ascii="仿宋_GB2312" w:hAnsi="仿宋_GB2312" w:eastAsia="仿宋_GB2312"/>
          <w:kern w:val="0"/>
          <w:sz w:val="32"/>
          <w:szCs w:val="24"/>
        </w:rPr>
        <w:t>.00</w:t>
      </w:r>
      <w:r>
        <w:rPr>
          <w:rFonts w:hint="eastAsia" w:ascii="仿宋_GB2312" w:hAnsi="仿宋_GB2312" w:eastAsia="仿宋_GB2312"/>
          <w:sz w:val="32"/>
          <w:szCs w:val="24"/>
        </w:rPr>
        <w:t>万元。预算绩效管理取得的成效：一是建成四小运动场、乒乓球场及篮球场等配套基础设施，推进学校标准化、均等化发展，解决了中小学办学条件的问题，实现教育均衡发展；二是保证客运站整体运行；牧区三乡灾后牧区居民生活、生产环境改善。发现的问题及原因：一是无；二是无。下一步改进措施：一是无；二是无。具体项目自评情况附项目支出绩效自评表。</w:t>
      </w:r>
    </w:p>
    <w:p/>
    <w:p>
      <w:r>
        <w:br w:type="page"/>
      </w:r>
    </w:p>
    <w:tbl>
      <w:tblPr>
        <w:tblStyle w:val="4"/>
        <w:tblW w:w="8740" w:type="dxa"/>
        <w:tblInd w:w="-269" w:type="dxa"/>
        <w:tblLayout w:type="fixed"/>
        <w:tblCellMar>
          <w:top w:w="0" w:type="dxa"/>
          <w:left w:w="0" w:type="dxa"/>
          <w:bottom w:w="0" w:type="dxa"/>
          <w:right w:w="0" w:type="dxa"/>
        </w:tblCellMar>
      </w:tblPr>
      <w:tblGrid>
        <w:gridCol w:w="601"/>
        <w:gridCol w:w="600"/>
        <w:gridCol w:w="901"/>
        <w:gridCol w:w="557"/>
        <w:gridCol w:w="1065"/>
        <w:gridCol w:w="1004"/>
        <w:gridCol w:w="1002"/>
        <w:gridCol w:w="716"/>
        <w:gridCol w:w="859"/>
        <w:gridCol w:w="1435"/>
      </w:tblGrid>
      <w:tr>
        <w:tblPrEx>
          <w:tblLayout w:type="fixed"/>
          <w:tblCellMar>
            <w:top w:w="0" w:type="dxa"/>
            <w:left w:w="0" w:type="dxa"/>
            <w:bottom w:w="0" w:type="dxa"/>
            <w:right w:w="0" w:type="dxa"/>
          </w:tblCellMar>
        </w:tblPrEx>
        <w:trPr>
          <w:trHeight w:val="466" w:hRule="atLeast"/>
        </w:trPr>
        <w:tc>
          <w:tcPr>
            <w:tcW w:w="8740" w:type="dxa"/>
            <w:gridSpan w:val="10"/>
            <w:tcBorders>
              <w:top w:val="nil"/>
              <w:left w:val="nil"/>
              <w:bottom w:val="nil"/>
              <w:right w:val="nil"/>
            </w:tcBorders>
            <w:tcMar>
              <w:top w:w="15" w:type="dxa"/>
              <w:left w:w="15" w:type="dxa"/>
              <w:right w:w="15" w:type="dxa"/>
            </w:tcMar>
            <w:vAlign w:val="center"/>
          </w:tcPr>
          <w:p>
            <w:pPr>
              <w:jc w:val="center"/>
              <w:textAlignment w:val="center"/>
            </w:pPr>
            <w:r>
              <w:br w:type="page"/>
            </w:r>
            <w:r>
              <w:rPr>
                <w:rFonts w:hint="eastAsia" w:ascii="宋体" w:hAnsi="宋体"/>
                <w:b/>
                <w:color w:val="000000"/>
                <w:kern w:val="0"/>
                <w:sz w:val="32"/>
                <w:szCs w:val="24"/>
              </w:rPr>
              <w:t>项目支出绩效自评表</w:t>
            </w:r>
          </w:p>
        </w:tc>
      </w:tr>
      <w:tr>
        <w:tblPrEx>
          <w:tblLayout w:type="fixed"/>
          <w:tblCellMar>
            <w:top w:w="0" w:type="dxa"/>
            <w:left w:w="0" w:type="dxa"/>
            <w:bottom w:w="0" w:type="dxa"/>
            <w:right w:w="0" w:type="dxa"/>
          </w:tblCellMar>
        </w:tblPrEx>
        <w:trPr>
          <w:trHeight w:val="425" w:hRule="atLeast"/>
        </w:trPr>
        <w:tc>
          <w:tcPr>
            <w:tcW w:w="8740" w:type="dxa"/>
            <w:gridSpan w:val="10"/>
            <w:tcBorders>
              <w:top w:val="nil"/>
              <w:left w:val="nil"/>
              <w:bottom w:val="nil"/>
              <w:right w:val="nil"/>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w:t>
            </w:r>
            <w:r>
              <w:rPr>
                <w:rFonts w:ascii="宋体" w:hAnsi="宋体"/>
                <w:color w:val="000000"/>
                <w:kern w:val="0"/>
                <w:sz w:val="20"/>
                <w:szCs w:val="24"/>
              </w:rPr>
              <w:t>2020</w:t>
            </w:r>
            <w:r>
              <w:rPr>
                <w:rFonts w:hint="eastAsia" w:ascii="宋体" w:hAnsi="宋体"/>
                <w:color w:val="000000"/>
                <w:kern w:val="0"/>
                <w:sz w:val="20"/>
                <w:szCs w:val="24"/>
              </w:rPr>
              <w:t>年度）</w:t>
            </w:r>
          </w:p>
        </w:tc>
      </w:tr>
      <w:tr>
        <w:tblPrEx>
          <w:tblLayout w:type="fixed"/>
          <w:tblCellMar>
            <w:top w:w="0" w:type="dxa"/>
            <w:left w:w="0" w:type="dxa"/>
            <w:bottom w:w="0" w:type="dxa"/>
            <w:right w:w="0" w:type="dxa"/>
          </w:tblCellMar>
        </w:tblPrEx>
        <w:trPr>
          <w:trHeight w:val="350" w:hRule="atLeast"/>
        </w:trPr>
        <w:tc>
          <w:tcPr>
            <w:tcW w:w="120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项目名称</w:t>
            </w:r>
          </w:p>
        </w:tc>
        <w:tc>
          <w:tcPr>
            <w:tcW w:w="7539" w:type="dxa"/>
            <w:gridSpan w:val="8"/>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玛纳斯县县城南区二级客运站建设项目</w:t>
            </w:r>
          </w:p>
        </w:tc>
      </w:tr>
      <w:tr>
        <w:tblPrEx>
          <w:tblLayout w:type="fixed"/>
          <w:tblCellMar>
            <w:top w:w="0" w:type="dxa"/>
            <w:left w:w="0" w:type="dxa"/>
            <w:bottom w:w="0" w:type="dxa"/>
            <w:right w:w="0" w:type="dxa"/>
          </w:tblCellMar>
        </w:tblPrEx>
        <w:trPr>
          <w:trHeight w:val="350" w:hRule="atLeast"/>
        </w:trPr>
        <w:tc>
          <w:tcPr>
            <w:tcW w:w="120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主管部门</w:t>
            </w:r>
          </w:p>
        </w:tc>
        <w:tc>
          <w:tcPr>
            <w:tcW w:w="3527"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代建处</w:t>
            </w:r>
          </w:p>
        </w:tc>
        <w:tc>
          <w:tcPr>
            <w:tcW w:w="10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实施单位</w:t>
            </w:r>
          </w:p>
        </w:tc>
        <w:tc>
          <w:tcPr>
            <w:tcW w:w="301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代建处</w:t>
            </w:r>
          </w:p>
        </w:tc>
      </w:tr>
      <w:tr>
        <w:tblPrEx>
          <w:tblLayout w:type="fixed"/>
          <w:tblCellMar>
            <w:top w:w="0" w:type="dxa"/>
            <w:left w:w="0" w:type="dxa"/>
            <w:bottom w:w="0" w:type="dxa"/>
            <w:right w:w="0" w:type="dxa"/>
          </w:tblCellMar>
        </w:tblPrEx>
        <w:trPr>
          <w:trHeight w:val="350" w:hRule="atLeast"/>
        </w:trPr>
        <w:tc>
          <w:tcPr>
            <w:tcW w:w="1201"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项目资金（万元）</w:t>
            </w:r>
          </w:p>
        </w:tc>
        <w:tc>
          <w:tcPr>
            <w:tcW w:w="145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0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年初预算数</w:t>
            </w:r>
          </w:p>
        </w:tc>
        <w:tc>
          <w:tcPr>
            <w:tcW w:w="10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全年预算数</w:t>
            </w:r>
          </w:p>
        </w:tc>
        <w:tc>
          <w:tcPr>
            <w:tcW w:w="10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全年执行数</w:t>
            </w:r>
          </w:p>
        </w:tc>
        <w:tc>
          <w:tcPr>
            <w:tcW w:w="7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分值</w:t>
            </w:r>
          </w:p>
        </w:tc>
        <w:tc>
          <w:tcPr>
            <w:tcW w:w="8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执行率</w:t>
            </w:r>
          </w:p>
        </w:tc>
        <w:tc>
          <w:tcPr>
            <w:tcW w:w="14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得分</w:t>
            </w:r>
          </w:p>
        </w:tc>
      </w:tr>
      <w:tr>
        <w:tblPrEx>
          <w:tblLayout w:type="fixed"/>
          <w:tblCellMar>
            <w:top w:w="0" w:type="dxa"/>
            <w:left w:w="0" w:type="dxa"/>
            <w:bottom w:w="0" w:type="dxa"/>
            <w:right w:w="0" w:type="dxa"/>
          </w:tblCellMar>
        </w:tblPrEx>
        <w:trPr>
          <w:trHeight w:val="350" w:hRule="atLeast"/>
        </w:trPr>
        <w:tc>
          <w:tcPr>
            <w:tcW w:w="1201"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45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ascii="宋体"/>
                <w:color w:val="000000"/>
                <w:sz w:val="16"/>
                <w:szCs w:val="16"/>
              </w:rPr>
            </w:pPr>
            <w:r>
              <w:rPr>
                <w:rFonts w:hint="eastAsia" w:ascii="宋体" w:hAnsi="宋体"/>
                <w:color w:val="000000"/>
                <w:kern w:val="0"/>
                <w:sz w:val="16"/>
                <w:szCs w:val="16"/>
              </w:rPr>
              <w:t>年度资金总额</w:t>
            </w:r>
          </w:p>
        </w:tc>
        <w:tc>
          <w:tcPr>
            <w:tcW w:w="10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right"/>
              <w:textAlignment w:val="center"/>
              <w:rPr>
                <w:rFonts w:ascii="宋体"/>
                <w:color w:val="000000"/>
                <w:sz w:val="16"/>
                <w:szCs w:val="16"/>
              </w:rPr>
            </w:pPr>
            <w:r>
              <w:rPr>
                <w:rFonts w:ascii="宋体" w:hAnsi="宋体"/>
                <w:color w:val="000000"/>
                <w:kern w:val="0"/>
                <w:sz w:val="16"/>
                <w:szCs w:val="16"/>
              </w:rPr>
              <w:t>200</w:t>
            </w:r>
          </w:p>
        </w:tc>
        <w:tc>
          <w:tcPr>
            <w:tcW w:w="10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200</w:t>
            </w:r>
          </w:p>
        </w:tc>
        <w:tc>
          <w:tcPr>
            <w:tcW w:w="10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200</w:t>
            </w:r>
          </w:p>
        </w:tc>
        <w:tc>
          <w:tcPr>
            <w:tcW w:w="7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8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w:t>
            </w:r>
          </w:p>
        </w:tc>
        <w:tc>
          <w:tcPr>
            <w:tcW w:w="14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r>
      <w:tr>
        <w:tblPrEx>
          <w:tblLayout w:type="fixed"/>
          <w:tblCellMar>
            <w:top w:w="0" w:type="dxa"/>
            <w:left w:w="0" w:type="dxa"/>
            <w:bottom w:w="0" w:type="dxa"/>
            <w:right w:w="0" w:type="dxa"/>
          </w:tblCellMar>
        </w:tblPrEx>
        <w:trPr>
          <w:trHeight w:val="350" w:hRule="atLeast"/>
        </w:trPr>
        <w:tc>
          <w:tcPr>
            <w:tcW w:w="1201"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45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其中：当年财政拨款</w:t>
            </w:r>
          </w:p>
        </w:tc>
        <w:tc>
          <w:tcPr>
            <w:tcW w:w="10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right"/>
              <w:textAlignment w:val="center"/>
              <w:rPr>
                <w:rFonts w:ascii="宋体"/>
                <w:color w:val="000000"/>
                <w:sz w:val="16"/>
                <w:szCs w:val="16"/>
              </w:rPr>
            </w:pPr>
            <w:r>
              <w:rPr>
                <w:rFonts w:ascii="宋体" w:hAnsi="宋体"/>
                <w:color w:val="000000"/>
                <w:kern w:val="0"/>
                <w:sz w:val="16"/>
                <w:szCs w:val="16"/>
              </w:rPr>
              <w:t>200</w:t>
            </w:r>
          </w:p>
        </w:tc>
        <w:tc>
          <w:tcPr>
            <w:tcW w:w="10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200</w:t>
            </w:r>
          </w:p>
        </w:tc>
        <w:tc>
          <w:tcPr>
            <w:tcW w:w="10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200</w:t>
            </w:r>
          </w:p>
        </w:tc>
        <w:tc>
          <w:tcPr>
            <w:tcW w:w="7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c>
          <w:tcPr>
            <w:tcW w:w="8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4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r>
      <w:tr>
        <w:tblPrEx>
          <w:tblLayout w:type="fixed"/>
          <w:tblCellMar>
            <w:top w:w="0" w:type="dxa"/>
            <w:left w:w="0" w:type="dxa"/>
            <w:bottom w:w="0" w:type="dxa"/>
            <w:right w:w="0" w:type="dxa"/>
          </w:tblCellMar>
        </w:tblPrEx>
        <w:trPr>
          <w:trHeight w:val="350" w:hRule="atLeast"/>
        </w:trPr>
        <w:tc>
          <w:tcPr>
            <w:tcW w:w="1201"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45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上年结转资金</w:t>
            </w:r>
          </w:p>
        </w:tc>
        <w:tc>
          <w:tcPr>
            <w:tcW w:w="10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0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0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c>
          <w:tcPr>
            <w:tcW w:w="8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4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r>
      <w:tr>
        <w:tblPrEx>
          <w:tblLayout w:type="fixed"/>
          <w:tblCellMar>
            <w:top w:w="0" w:type="dxa"/>
            <w:left w:w="0" w:type="dxa"/>
            <w:bottom w:w="0" w:type="dxa"/>
            <w:right w:w="0" w:type="dxa"/>
          </w:tblCellMar>
        </w:tblPrEx>
        <w:trPr>
          <w:trHeight w:val="350" w:hRule="atLeast"/>
        </w:trPr>
        <w:tc>
          <w:tcPr>
            <w:tcW w:w="1201"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45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其他资金</w:t>
            </w:r>
          </w:p>
        </w:tc>
        <w:tc>
          <w:tcPr>
            <w:tcW w:w="106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0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0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c>
          <w:tcPr>
            <w:tcW w:w="8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4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r>
      <w:tr>
        <w:tblPrEx>
          <w:tblLayout w:type="fixed"/>
          <w:tblCellMar>
            <w:top w:w="0" w:type="dxa"/>
            <w:left w:w="0" w:type="dxa"/>
            <w:bottom w:w="0" w:type="dxa"/>
            <w:right w:w="0" w:type="dxa"/>
          </w:tblCellMar>
        </w:tblPrEx>
        <w:trPr>
          <w:trHeight w:val="350" w:hRule="atLeast"/>
        </w:trPr>
        <w:tc>
          <w:tcPr>
            <w:tcW w:w="60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年度总体目标</w:t>
            </w:r>
          </w:p>
        </w:tc>
        <w:tc>
          <w:tcPr>
            <w:tcW w:w="4127"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预期目标</w:t>
            </w:r>
          </w:p>
        </w:tc>
        <w:tc>
          <w:tcPr>
            <w:tcW w:w="4012"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实际完成情况</w:t>
            </w:r>
          </w:p>
        </w:tc>
      </w:tr>
      <w:tr>
        <w:tblPrEx>
          <w:tblLayout w:type="fixed"/>
          <w:tblCellMar>
            <w:top w:w="0" w:type="dxa"/>
            <w:left w:w="0" w:type="dxa"/>
            <w:bottom w:w="0" w:type="dxa"/>
            <w:right w:w="0" w:type="dxa"/>
          </w:tblCellMar>
        </w:tblPrEx>
        <w:trPr>
          <w:trHeight w:val="470" w:hRule="atLeast"/>
        </w:trPr>
        <w:tc>
          <w:tcPr>
            <w:tcW w:w="60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4127"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保证客运站整体运行</w:t>
            </w:r>
          </w:p>
        </w:tc>
        <w:tc>
          <w:tcPr>
            <w:tcW w:w="4012"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客运站正常投入运行</w:t>
            </w:r>
          </w:p>
        </w:tc>
      </w:tr>
      <w:tr>
        <w:tblPrEx>
          <w:tblLayout w:type="fixed"/>
          <w:tblCellMar>
            <w:top w:w="0" w:type="dxa"/>
            <w:left w:w="0" w:type="dxa"/>
            <w:bottom w:w="0" w:type="dxa"/>
            <w:right w:w="0" w:type="dxa"/>
          </w:tblCellMar>
        </w:tblPrEx>
        <w:trPr>
          <w:trHeight w:val="350" w:hRule="atLeast"/>
        </w:trPr>
        <w:tc>
          <w:tcPr>
            <w:tcW w:w="601" w:type="dxa"/>
            <w:vMerge w:val="restart"/>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绩效指标</w:t>
            </w:r>
          </w:p>
        </w:tc>
        <w:tc>
          <w:tcPr>
            <w:tcW w:w="60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一级指标</w:t>
            </w:r>
          </w:p>
        </w:tc>
        <w:tc>
          <w:tcPr>
            <w:tcW w:w="90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二级指标</w:t>
            </w:r>
          </w:p>
        </w:tc>
        <w:tc>
          <w:tcPr>
            <w:tcW w:w="1622"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三级指标</w:t>
            </w:r>
          </w:p>
        </w:tc>
        <w:tc>
          <w:tcPr>
            <w:tcW w:w="10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年度</w:t>
            </w:r>
          </w:p>
        </w:tc>
        <w:tc>
          <w:tcPr>
            <w:tcW w:w="10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实际</w:t>
            </w:r>
          </w:p>
        </w:tc>
        <w:tc>
          <w:tcPr>
            <w:tcW w:w="716"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分值</w:t>
            </w:r>
          </w:p>
        </w:tc>
        <w:tc>
          <w:tcPr>
            <w:tcW w:w="859"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得分</w:t>
            </w:r>
          </w:p>
        </w:tc>
        <w:tc>
          <w:tcPr>
            <w:tcW w:w="143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偏差原因分析及改进措施</w:t>
            </w:r>
          </w:p>
        </w:tc>
      </w:tr>
      <w:tr>
        <w:tblPrEx>
          <w:tblLayout w:type="fixed"/>
          <w:tblCellMar>
            <w:top w:w="0" w:type="dxa"/>
            <w:left w:w="0" w:type="dxa"/>
            <w:bottom w:w="0" w:type="dxa"/>
            <w:right w:w="0" w:type="dxa"/>
          </w:tblCellMar>
        </w:tblPrEx>
        <w:trPr>
          <w:trHeight w:val="350" w:hRule="atLeast"/>
        </w:trPr>
        <w:tc>
          <w:tcPr>
            <w:tcW w:w="601"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0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0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622"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0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指标值</w:t>
            </w:r>
          </w:p>
        </w:tc>
        <w:tc>
          <w:tcPr>
            <w:tcW w:w="10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完成值</w:t>
            </w:r>
          </w:p>
        </w:tc>
        <w:tc>
          <w:tcPr>
            <w:tcW w:w="71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859"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43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574" w:hRule="atLeast"/>
        </w:trPr>
        <w:tc>
          <w:tcPr>
            <w:tcW w:w="601"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0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产出指标</w:t>
            </w:r>
            <w:r>
              <w:rPr>
                <w:rFonts w:ascii="宋体"/>
                <w:color w:val="000000"/>
                <w:kern w:val="0"/>
                <w:sz w:val="16"/>
                <w:szCs w:val="16"/>
              </w:rPr>
              <w:br w:type="textWrapping"/>
            </w:r>
            <w:r>
              <w:rPr>
                <w:rFonts w:hint="eastAsia" w:ascii="宋体" w:hAnsi="宋体"/>
                <w:color w:val="000000"/>
                <w:kern w:val="0"/>
                <w:sz w:val="16"/>
                <w:szCs w:val="16"/>
              </w:rPr>
              <w:t>（</w:t>
            </w:r>
            <w:r>
              <w:rPr>
                <w:rFonts w:ascii="宋体" w:hAnsi="宋体"/>
                <w:color w:val="000000"/>
                <w:kern w:val="0"/>
                <w:sz w:val="16"/>
                <w:szCs w:val="16"/>
              </w:rPr>
              <w:t>50</w:t>
            </w:r>
            <w:r>
              <w:rPr>
                <w:rFonts w:hint="eastAsia" w:ascii="宋体" w:hAnsi="宋体"/>
                <w:color w:val="000000"/>
                <w:kern w:val="0"/>
                <w:sz w:val="16"/>
                <w:szCs w:val="16"/>
              </w:rPr>
              <w:t>分）</w:t>
            </w:r>
          </w:p>
        </w:tc>
        <w:tc>
          <w:tcPr>
            <w:tcW w:w="9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数量指标</w:t>
            </w:r>
          </w:p>
        </w:tc>
        <w:tc>
          <w:tcPr>
            <w:tcW w:w="162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：交付施工设计图（套）</w:t>
            </w:r>
          </w:p>
        </w:tc>
        <w:tc>
          <w:tcPr>
            <w:tcW w:w="10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8</w:t>
            </w:r>
          </w:p>
        </w:tc>
        <w:tc>
          <w:tcPr>
            <w:tcW w:w="10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8</w:t>
            </w:r>
          </w:p>
        </w:tc>
        <w:tc>
          <w:tcPr>
            <w:tcW w:w="7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8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4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350" w:hRule="atLeast"/>
        </w:trPr>
        <w:tc>
          <w:tcPr>
            <w:tcW w:w="601"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0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质量指标</w:t>
            </w:r>
          </w:p>
        </w:tc>
        <w:tc>
          <w:tcPr>
            <w:tcW w:w="162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：审图合格率</w:t>
            </w:r>
          </w:p>
        </w:tc>
        <w:tc>
          <w:tcPr>
            <w:tcW w:w="10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w:t>
            </w:r>
            <w:r>
              <w:rPr>
                <w:rFonts w:ascii="宋体" w:hAnsi="宋体"/>
                <w:color w:val="000000"/>
                <w:kern w:val="0"/>
                <w:sz w:val="16"/>
                <w:szCs w:val="16"/>
              </w:rPr>
              <w:t>95%</w:t>
            </w:r>
          </w:p>
        </w:tc>
        <w:tc>
          <w:tcPr>
            <w:tcW w:w="10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7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8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4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614" w:hRule="atLeast"/>
        </w:trPr>
        <w:tc>
          <w:tcPr>
            <w:tcW w:w="601"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0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时效指标</w:t>
            </w:r>
          </w:p>
        </w:tc>
        <w:tc>
          <w:tcPr>
            <w:tcW w:w="162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：图纸设计完成时间</w:t>
            </w:r>
          </w:p>
        </w:tc>
        <w:tc>
          <w:tcPr>
            <w:tcW w:w="10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合同签订</w:t>
            </w:r>
            <w:r>
              <w:rPr>
                <w:rFonts w:ascii="宋体" w:hAnsi="宋体"/>
                <w:color w:val="000000"/>
                <w:kern w:val="0"/>
                <w:sz w:val="16"/>
                <w:szCs w:val="16"/>
              </w:rPr>
              <w:t>15</w:t>
            </w:r>
            <w:r>
              <w:rPr>
                <w:rFonts w:hint="eastAsia" w:ascii="宋体" w:hAnsi="宋体"/>
                <w:color w:val="000000"/>
                <w:kern w:val="0"/>
                <w:sz w:val="16"/>
                <w:szCs w:val="16"/>
              </w:rPr>
              <w:t>日之内</w:t>
            </w:r>
          </w:p>
        </w:tc>
        <w:tc>
          <w:tcPr>
            <w:tcW w:w="10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合同签订</w:t>
            </w:r>
            <w:r>
              <w:rPr>
                <w:rFonts w:ascii="宋体" w:hAnsi="宋体"/>
                <w:color w:val="000000"/>
                <w:kern w:val="0"/>
                <w:sz w:val="16"/>
                <w:szCs w:val="16"/>
              </w:rPr>
              <w:t>15</w:t>
            </w:r>
            <w:r>
              <w:rPr>
                <w:rFonts w:hint="eastAsia" w:ascii="宋体" w:hAnsi="宋体"/>
                <w:color w:val="000000"/>
                <w:kern w:val="0"/>
                <w:sz w:val="16"/>
                <w:szCs w:val="16"/>
              </w:rPr>
              <w:t>日之内</w:t>
            </w:r>
          </w:p>
        </w:tc>
        <w:tc>
          <w:tcPr>
            <w:tcW w:w="7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8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4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675" w:hRule="atLeast"/>
        </w:trPr>
        <w:tc>
          <w:tcPr>
            <w:tcW w:w="601"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0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01"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成本指标</w:t>
            </w:r>
          </w:p>
        </w:tc>
        <w:tc>
          <w:tcPr>
            <w:tcW w:w="162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：施工图设计费用（元</w:t>
            </w:r>
            <w:r>
              <w:rPr>
                <w:rFonts w:ascii="宋体" w:hAnsi="宋体"/>
                <w:color w:val="000000"/>
                <w:kern w:val="0"/>
                <w:sz w:val="16"/>
                <w:szCs w:val="16"/>
              </w:rPr>
              <w:t>/</w:t>
            </w:r>
            <w:r>
              <w:rPr>
                <w:rFonts w:hint="eastAsia" w:ascii="宋体" w:hAnsi="宋体"/>
                <w:color w:val="000000"/>
                <w:kern w:val="0"/>
                <w:sz w:val="16"/>
                <w:szCs w:val="16"/>
              </w:rPr>
              <w:t>平方米）</w:t>
            </w:r>
          </w:p>
        </w:tc>
        <w:tc>
          <w:tcPr>
            <w:tcW w:w="10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w:t>
            </w:r>
            <w:r>
              <w:rPr>
                <w:rFonts w:ascii="宋体" w:hAnsi="宋体"/>
                <w:color w:val="000000"/>
                <w:kern w:val="0"/>
                <w:sz w:val="16"/>
                <w:szCs w:val="16"/>
              </w:rPr>
              <w:t>16</w:t>
            </w:r>
          </w:p>
        </w:tc>
        <w:tc>
          <w:tcPr>
            <w:tcW w:w="10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16</w:t>
            </w:r>
          </w:p>
        </w:tc>
        <w:tc>
          <w:tcPr>
            <w:tcW w:w="7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8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4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512" w:hRule="atLeast"/>
        </w:trPr>
        <w:tc>
          <w:tcPr>
            <w:tcW w:w="601"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0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01"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62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2</w:t>
            </w:r>
            <w:r>
              <w:rPr>
                <w:rFonts w:hint="eastAsia" w:ascii="宋体" w:hAnsi="宋体"/>
                <w:color w:val="000000"/>
                <w:kern w:val="0"/>
                <w:sz w:val="16"/>
                <w:szCs w:val="16"/>
              </w:rPr>
              <w:t>：规划设计费用（元</w:t>
            </w:r>
            <w:r>
              <w:rPr>
                <w:rFonts w:ascii="宋体" w:hAnsi="宋体"/>
                <w:color w:val="000000"/>
                <w:kern w:val="0"/>
                <w:sz w:val="16"/>
                <w:szCs w:val="16"/>
              </w:rPr>
              <w:t>/</w:t>
            </w:r>
            <w:r>
              <w:rPr>
                <w:rFonts w:hint="eastAsia" w:ascii="宋体" w:hAnsi="宋体"/>
                <w:color w:val="000000"/>
                <w:kern w:val="0"/>
                <w:sz w:val="16"/>
                <w:szCs w:val="16"/>
              </w:rPr>
              <w:t>平方米）</w:t>
            </w:r>
          </w:p>
        </w:tc>
        <w:tc>
          <w:tcPr>
            <w:tcW w:w="10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w:t>
            </w:r>
            <w:r>
              <w:rPr>
                <w:rFonts w:ascii="宋体" w:hAnsi="宋体"/>
                <w:color w:val="000000"/>
                <w:kern w:val="0"/>
                <w:sz w:val="16"/>
                <w:szCs w:val="16"/>
              </w:rPr>
              <w:t>7</w:t>
            </w:r>
          </w:p>
        </w:tc>
        <w:tc>
          <w:tcPr>
            <w:tcW w:w="10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7</w:t>
            </w:r>
          </w:p>
        </w:tc>
        <w:tc>
          <w:tcPr>
            <w:tcW w:w="7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8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4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594" w:hRule="atLeast"/>
        </w:trPr>
        <w:tc>
          <w:tcPr>
            <w:tcW w:w="601"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0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效益指标</w:t>
            </w:r>
            <w:r>
              <w:rPr>
                <w:rFonts w:ascii="宋体"/>
                <w:color w:val="000000"/>
                <w:kern w:val="0"/>
                <w:sz w:val="16"/>
                <w:szCs w:val="16"/>
              </w:rPr>
              <w:br w:type="textWrapping"/>
            </w:r>
            <w:r>
              <w:rPr>
                <w:rFonts w:hint="eastAsia" w:ascii="宋体" w:hAnsi="宋体"/>
                <w:color w:val="000000"/>
                <w:kern w:val="0"/>
                <w:sz w:val="16"/>
                <w:szCs w:val="16"/>
              </w:rPr>
              <w:t>（</w:t>
            </w:r>
            <w:r>
              <w:rPr>
                <w:rFonts w:ascii="宋体" w:hAnsi="宋体"/>
                <w:color w:val="000000"/>
                <w:kern w:val="0"/>
                <w:sz w:val="16"/>
                <w:szCs w:val="16"/>
              </w:rPr>
              <w:t>30</w:t>
            </w:r>
            <w:r>
              <w:rPr>
                <w:rFonts w:hint="eastAsia" w:ascii="宋体" w:hAnsi="宋体"/>
                <w:color w:val="000000"/>
                <w:kern w:val="0"/>
                <w:sz w:val="16"/>
                <w:szCs w:val="16"/>
              </w:rPr>
              <w:t>分）</w:t>
            </w:r>
          </w:p>
        </w:tc>
        <w:tc>
          <w:tcPr>
            <w:tcW w:w="901"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经济效益指标</w:t>
            </w:r>
          </w:p>
        </w:tc>
        <w:tc>
          <w:tcPr>
            <w:tcW w:w="162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：完成公益运输天数</w:t>
            </w:r>
          </w:p>
        </w:tc>
        <w:tc>
          <w:tcPr>
            <w:tcW w:w="10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w:t>
            </w:r>
            <w:r>
              <w:rPr>
                <w:rFonts w:ascii="宋体" w:hAnsi="宋体"/>
                <w:color w:val="000000"/>
                <w:kern w:val="0"/>
                <w:sz w:val="16"/>
                <w:szCs w:val="16"/>
              </w:rPr>
              <w:t>365</w:t>
            </w:r>
          </w:p>
        </w:tc>
        <w:tc>
          <w:tcPr>
            <w:tcW w:w="10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365</w:t>
            </w:r>
          </w:p>
        </w:tc>
        <w:tc>
          <w:tcPr>
            <w:tcW w:w="7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8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4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635" w:hRule="atLeast"/>
        </w:trPr>
        <w:tc>
          <w:tcPr>
            <w:tcW w:w="601"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0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01"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社会效益指标</w:t>
            </w:r>
          </w:p>
        </w:tc>
        <w:tc>
          <w:tcPr>
            <w:tcW w:w="162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：居民生活出现乘车安全保障</w:t>
            </w:r>
          </w:p>
        </w:tc>
        <w:tc>
          <w:tcPr>
            <w:tcW w:w="10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明显改善</w:t>
            </w:r>
          </w:p>
        </w:tc>
        <w:tc>
          <w:tcPr>
            <w:tcW w:w="10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7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8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4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614" w:hRule="atLeast"/>
        </w:trPr>
        <w:tc>
          <w:tcPr>
            <w:tcW w:w="601"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0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01"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生态效益指标</w:t>
            </w:r>
          </w:p>
        </w:tc>
        <w:tc>
          <w:tcPr>
            <w:tcW w:w="162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：降排放，碳中和。</w:t>
            </w:r>
          </w:p>
        </w:tc>
        <w:tc>
          <w:tcPr>
            <w:tcW w:w="10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空气质量明显改善</w:t>
            </w:r>
          </w:p>
        </w:tc>
        <w:tc>
          <w:tcPr>
            <w:tcW w:w="10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7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8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4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574" w:hRule="atLeast"/>
        </w:trPr>
        <w:tc>
          <w:tcPr>
            <w:tcW w:w="601"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0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9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可持续影响指标</w:t>
            </w:r>
          </w:p>
        </w:tc>
        <w:tc>
          <w:tcPr>
            <w:tcW w:w="162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：设计合理使用年限（年）</w:t>
            </w:r>
          </w:p>
        </w:tc>
        <w:tc>
          <w:tcPr>
            <w:tcW w:w="10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50</w:t>
            </w:r>
          </w:p>
        </w:tc>
        <w:tc>
          <w:tcPr>
            <w:tcW w:w="10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50</w:t>
            </w:r>
          </w:p>
        </w:tc>
        <w:tc>
          <w:tcPr>
            <w:tcW w:w="7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8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4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702" w:hRule="atLeast"/>
        </w:trPr>
        <w:tc>
          <w:tcPr>
            <w:tcW w:w="601"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600"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满意度指标（</w:t>
            </w:r>
            <w:r>
              <w:rPr>
                <w:rFonts w:ascii="宋体" w:hAnsi="宋体"/>
                <w:color w:val="000000"/>
                <w:kern w:val="0"/>
                <w:sz w:val="16"/>
                <w:szCs w:val="16"/>
              </w:rPr>
              <w:t>10</w:t>
            </w:r>
            <w:r>
              <w:rPr>
                <w:rFonts w:hint="eastAsia" w:ascii="宋体" w:hAnsi="宋体"/>
                <w:color w:val="000000"/>
                <w:kern w:val="0"/>
                <w:sz w:val="16"/>
                <w:szCs w:val="16"/>
              </w:rPr>
              <w:t>分）</w:t>
            </w:r>
          </w:p>
        </w:tc>
        <w:tc>
          <w:tcPr>
            <w:tcW w:w="90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服务对象满意度指标</w:t>
            </w:r>
          </w:p>
        </w:tc>
        <w:tc>
          <w:tcPr>
            <w:tcW w:w="1622"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：服务对象满意度</w:t>
            </w:r>
          </w:p>
        </w:tc>
        <w:tc>
          <w:tcPr>
            <w:tcW w:w="100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w:t>
            </w:r>
            <w:r>
              <w:rPr>
                <w:rFonts w:ascii="宋体" w:hAnsi="宋体"/>
                <w:color w:val="000000"/>
                <w:kern w:val="0"/>
                <w:sz w:val="16"/>
                <w:szCs w:val="16"/>
              </w:rPr>
              <w:t>95%</w:t>
            </w:r>
          </w:p>
        </w:tc>
        <w:tc>
          <w:tcPr>
            <w:tcW w:w="100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7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8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4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262" w:hRule="atLeast"/>
        </w:trPr>
        <w:tc>
          <w:tcPr>
            <w:tcW w:w="5730" w:type="dxa"/>
            <w:gridSpan w:val="7"/>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总分</w:t>
            </w:r>
          </w:p>
        </w:tc>
        <w:tc>
          <w:tcPr>
            <w:tcW w:w="7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8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143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bl>
    <w:p>
      <w:r>
        <w:br w:type="page"/>
      </w:r>
    </w:p>
    <w:tbl>
      <w:tblPr>
        <w:tblStyle w:val="4"/>
        <w:tblW w:w="9180" w:type="dxa"/>
        <w:tblInd w:w="-269" w:type="dxa"/>
        <w:tblLayout w:type="fixed"/>
        <w:tblCellMar>
          <w:top w:w="0" w:type="dxa"/>
          <w:left w:w="0" w:type="dxa"/>
          <w:bottom w:w="0" w:type="dxa"/>
          <w:right w:w="0" w:type="dxa"/>
        </w:tblCellMar>
      </w:tblPr>
      <w:tblGrid>
        <w:gridCol w:w="696"/>
        <w:gridCol w:w="815"/>
        <w:gridCol w:w="827"/>
        <w:gridCol w:w="831"/>
        <w:gridCol w:w="1143"/>
        <w:gridCol w:w="66"/>
        <w:gridCol w:w="718"/>
        <w:gridCol w:w="1048"/>
        <w:gridCol w:w="809"/>
        <w:gridCol w:w="556"/>
        <w:gridCol w:w="455"/>
        <w:gridCol w:w="101"/>
        <w:gridCol w:w="1115"/>
      </w:tblGrid>
      <w:tr>
        <w:tblPrEx>
          <w:tblLayout w:type="fixed"/>
          <w:tblCellMar>
            <w:top w:w="0" w:type="dxa"/>
            <w:left w:w="0" w:type="dxa"/>
            <w:bottom w:w="0" w:type="dxa"/>
            <w:right w:w="0" w:type="dxa"/>
          </w:tblCellMar>
        </w:tblPrEx>
        <w:trPr>
          <w:trHeight w:val="462" w:hRule="atLeast"/>
        </w:trPr>
        <w:tc>
          <w:tcPr>
            <w:tcW w:w="9180" w:type="dxa"/>
            <w:gridSpan w:val="13"/>
            <w:tcBorders>
              <w:top w:val="nil"/>
              <w:left w:val="nil"/>
              <w:bottom w:val="nil"/>
              <w:right w:val="nil"/>
            </w:tcBorders>
            <w:tcMar>
              <w:top w:w="15" w:type="dxa"/>
              <w:left w:w="15" w:type="dxa"/>
              <w:right w:w="15" w:type="dxa"/>
            </w:tcMar>
            <w:vAlign w:val="center"/>
          </w:tcPr>
          <w:p>
            <w:pPr>
              <w:jc w:val="center"/>
              <w:textAlignment w:val="center"/>
              <w:rPr>
                <w:rFonts w:ascii="宋体"/>
                <w:b/>
                <w:color w:val="000000"/>
                <w:sz w:val="32"/>
                <w:szCs w:val="24"/>
              </w:rPr>
            </w:pPr>
            <w:r>
              <w:br w:type="page"/>
            </w:r>
            <w:r>
              <w:rPr>
                <w:rFonts w:hint="eastAsia" w:ascii="宋体" w:hAnsi="宋体"/>
                <w:b/>
                <w:color w:val="000000"/>
                <w:kern w:val="0"/>
                <w:sz w:val="32"/>
                <w:szCs w:val="24"/>
              </w:rPr>
              <w:t>项目支出绩效自评表</w:t>
            </w:r>
          </w:p>
        </w:tc>
      </w:tr>
      <w:tr>
        <w:tblPrEx>
          <w:tblLayout w:type="fixed"/>
          <w:tblCellMar>
            <w:top w:w="0" w:type="dxa"/>
            <w:left w:w="0" w:type="dxa"/>
            <w:bottom w:w="0" w:type="dxa"/>
            <w:right w:w="0" w:type="dxa"/>
          </w:tblCellMar>
        </w:tblPrEx>
        <w:trPr>
          <w:trHeight w:val="421" w:hRule="atLeast"/>
        </w:trPr>
        <w:tc>
          <w:tcPr>
            <w:tcW w:w="9180" w:type="dxa"/>
            <w:gridSpan w:val="13"/>
            <w:tcBorders>
              <w:top w:val="nil"/>
              <w:left w:val="nil"/>
              <w:bottom w:val="nil"/>
              <w:right w:val="nil"/>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w:t>
            </w:r>
            <w:r>
              <w:rPr>
                <w:rFonts w:ascii="宋体" w:hAnsi="宋体"/>
                <w:color w:val="000000"/>
                <w:kern w:val="0"/>
                <w:sz w:val="20"/>
                <w:szCs w:val="24"/>
              </w:rPr>
              <w:t>2019</w:t>
            </w:r>
            <w:r>
              <w:rPr>
                <w:rFonts w:hint="eastAsia" w:ascii="宋体" w:hAnsi="宋体"/>
                <w:color w:val="000000"/>
                <w:kern w:val="0"/>
                <w:sz w:val="20"/>
                <w:szCs w:val="24"/>
              </w:rPr>
              <w:t>年度）</w:t>
            </w:r>
          </w:p>
        </w:tc>
      </w:tr>
      <w:tr>
        <w:tblPrEx>
          <w:tblLayout w:type="fixed"/>
          <w:tblCellMar>
            <w:top w:w="0" w:type="dxa"/>
            <w:left w:w="0" w:type="dxa"/>
            <w:bottom w:w="0" w:type="dxa"/>
            <w:right w:w="0" w:type="dxa"/>
          </w:tblCellMar>
        </w:tblPrEx>
        <w:trPr>
          <w:trHeight w:val="347" w:hRule="atLeast"/>
        </w:trPr>
        <w:tc>
          <w:tcPr>
            <w:tcW w:w="151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项目名称</w:t>
            </w:r>
          </w:p>
        </w:tc>
        <w:tc>
          <w:tcPr>
            <w:tcW w:w="7669" w:type="dxa"/>
            <w:gridSpan w:val="11"/>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玛纳斯县第二中学综合楼及运动场建设项目</w:t>
            </w:r>
          </w:p>
        </w:tc>
      </w:tr>
      <w:tr>
        <w:tblPrEx>
          <w:tblLayout w:type="fixed"/>
          <w:tblCellMar>
            <w:top w:w="0" w:type="dxa"/>
            <w:left w:w="0" w:type="dxa"/>
            <w:bottom w:w="0" w:type="dxa"/>
            <w:right w:w="0" w:type="dxa"/>
          </w:tblCellMar>
        </w:tblPrEx>
        <w:trPr>
          <w:trHeight w:val="347" w:hRule="atLeast"/>
        </w:trPr>
        <w:tc>
          <w:tcPr>
            <w:tcW w:w="151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主管部门</w:t>
            </w:r>
          </w:p>
        </w:tc>
        <w:tc>
          <w:tcPr>
            <w:tcW w:w="3585"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玛纳斯县项目代建管理处</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实施单位</w:t>
            </w:r>
          </w:p>
        </w:tc>
        <w:tc>
          <w:tcPr>
            <w:tcW w:w="3036"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玛纳斯县项目代建管理处</w:t>
            </w:r>
          </w:p>
        </w:tc>
      </w:tr>
      <w:tr>
        <w:tblPrEx>
          <w:tblLayout w:type="fixed"/>
          <w:tblCellMar>
            <w:top w:w="0" w:type="dxa"/>
            <w:left w:w="0" w:type="dxa"/>
            <w:bottom w:w="0" w:type="dxa"/>
            <w:right w:w="0" w:type="dxa"/>
          </w:tblCellMar>
        </w:tblPrEx>
        <w:trPr>
          <w:trHeight w:val="473" w:hRule="atLeast"/>
        </w:trPr>
        <w:tc>
          <w:tcPr>
            <w:tcW w:w="1511"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项目资金（万元）</w:t>
            </w:r>
          </w:p>
        </w:tc>
        <w:tc>
          <w:tcPr>
            <w:tcW w:w="165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1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年初预算数</w:t>
            </w:r>
          </w:p>
        </w:tc>
        <w:tc>
          <w:tcPr>
            <w:tcW w:w="78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全年预算数</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全年执行数</w:t>
            </w:r>
          </w:p>
        </w:tc>
        <w:tc>
          <w:tcPr>
            <w:tcW w:w="8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分值</w:t>
            </w:r>
          </w:p>
        </w:tc>
        <w:tc>
          <w:tcPr>
            <w:tcW w:w="101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执行率</w:t>
            </w:r>
          </w:p>
        </w:tc>
        <w:tc>
          <w:tcPr>
            <w:tcW w:w="121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得分</w:t>
            </w:r>
          </w:p>
        </w:tc>
      </w:tr>
      <w:tr>
        <w:tblPrEx>
          <w:tblLayout w:type="fixed"/>
          <w:tblCellMar>
            <w:top w:w="0" w:type="dxa"/>
            <w:left w:w="0" w:type="dxa"/>
            <w:bottom w:w="0" w:type="dxa"/>
            <w:right w:w="0" w:type="dxa"/>
          </w:tblCellMar>
        </w:tblPrEx>
        <w:trPr>
          <w:trHeight w:val="347" w:hRule="atLeast"/>
        </w:trPr>
        <w:tc>
          <w:tcPr>
            <w:tcW w:w="1511"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65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ascii="宋体"/>
                <w:color w:val="000000"/>
                <w:sz w:val="16"/>
                <w:szCs w:val="16"/>
              </w:rPr>
            </w:pPr>
            <w:r>
              <w:rPr>
                <w:rFonts w:hint="eastAsia" w:ascii="宋体" w:hAnsi="宋体"/>
                <w:color w:val="000000"/>
                <w:kern w:val="0"/>
                <w:sz w:val="16"/>
                <w:szCs w:val="16"/>
              </w:rPr>
              <w:t>年度资金总额</w:t>
            </w:r>
          </w:p>
        </w:tc>
        <w:tc>
          <w:tcPr>
            <w:tcW w:w="11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20</w:t>
            </w:r>
          </w:p>
        </w:tc>
        <w:tc>
          <w:tcPr>
            <w:tcW w:w="78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20</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20</w:t>
            </w:r>
          </w:p>
        </w:tc>
        <w:tc>
          <w:tcPr>
            <w:tcW w:w="8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01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121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r>
      <w:tr>
        <w:tblPrEx>
          <w:tblLayout w:type="fixed"/>
          <w:tblCellMar>
            <w:top w:w="0" w:type="dxa"/>
            <w:left w:w="0" w:type="dxa"/>
            <w:bottom w:w="0" w:type="dxa"/>
            <w:right w:w="0" w:type="dxa"/>
          </w:tblCellMar>
        </w:tblPrEx>
        <w:trPr>
          <w:trHeight w:val="347" w:hRule="atLeast"/>
        </w:trPr>
        <w:tc>
          <w:tcPr>
            <w:tcW w:w="1511"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65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其中：当年财政拨款</w:t>
            </w:r>
          </w:p>
        </w:tc>
        <w:tc>
          <w:tcPr>
            <w:tcW w:w="11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20</w:t>
            </w:r>
          </w:p>
        </w:tc>
        <w:tc>
          <w:tcPr>
            <w:tcW w:w="78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20</w:t>
            </w: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20</w:t>
            </w:r>
          </w:p>
        </w:tc>
        <w:tc>
          <w:tcPr>
            <w:tcW w:w="8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c>
          <w:tcPr>
            <w:tcW w:w="101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121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r>
      <w:tr>
        <w:tblPrEx>
          <w:tblLayout w:type="fixed"/>
          <w:tblCellMar>
            <w:top w:w="0" w:type="dxa"/>
            <w:left w:w="0" w:type="dxa"/>
            <w:bottom w:w="0" w:type="dxa"/>
            <w:right w:w="0" w:type="dxa"/>
          </w:tblCellMar>
        </w:tblPrEx>
        <w:trPr>
          <w:trHeight w:val="347" w:hRule="atLeast"/>
        </w:trPr>
        <w:tc>
          <w:tcPr>
            <w:tcW w:w="1511"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65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上年结转资金</w:t>
            </w:r>
          </w:p>
        </w:tc>
        <w:tc>
          <w:tcPr>
            <w:tcW w:w="11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8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8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c>
          <w:tcPr>
            <w:tcW w:w="101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21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r>
      <w:tr>
        <w:tblPrEx>
          <w:tblLayout w:type="fixed"/>
          <w:tblCellMar>
            <w:top w:w="0" w:type="dxa"/>
            <w:left w:w="0" w:type="dxa"/>
            <w:bottom w:w="0" w:type="dxa"/>
            <w:right w:w="0" w:type="dxa"/>
          </w:tblCellMar>
        </w:tblPrEx>
        <w:trPr>
          <w:trHeight w:val="347" w:hRule="atLeast"/>
        </w:trPr>
        <w:tc>
          <w:tcPr>
            <w:tcW w:w="1511"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65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其他资金</w:t>
            </w:r>
          </w:p>
        </w:tc>
        <w:tc>
          <w:tcPr>
            <w:tcW w:w="11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84"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04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80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c>
          <w:tcPr>
            <w:tcW w:w="101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21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w:t>
            </w:r>
          </w:p>
        </w:tc>
      </w:tr>
      <w:tr>
        <w:tblPrEx>
          <w:tblLayout w:type="fixed"/>
          <w:tblCellMar>
            <w:top w:w="0" w:type="dxa"/>
            <w:left w:w="0" w:type="dxa"/>
            <w:bottom w:w="0" w:type="dxa"/>
            <w:right w:w="0" w:type="dxa"/>
          </w:tblCellMar>
        </w:tblPrEx>
        <w:trPr>
          <w:trHeight w:val="347" w:hRule="atLeast"/>
        </w:trPr>
        <w:tc>
          <w:tcPr>
            <w:tcW w:w="696"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年度总体目标</w:t>
            </w:r>
          </w:p>
        </w:tc>
        <w:tc>
          <w:tcPr>
            <w:tcW w:w="4400"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预期目标</w:t>
            </w:r>
          </w:p>
        </w:tc>
        <w:tc>
          <w:tcPr>
            <w:tcW w:w="4084"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实际完成情况</w:t>
            </w:r>
          </w:p>
        </w:tc>
      </w:tr>
      <w:tr>
        <w:tblPrEx>
          <w:tblLayout w:type="fixed"/>
          <w:tblCellMar>
            <w:top w:w="0" w:type="dxa"/>
            <w:left w:w="0" w:type="dxa"/>
            <w:bottom w:w="0" w:type="dxa"/>
            <w:right w:w="0" w:type="dxa"/>
          </w:tblCellMar>
        </w:tblPrEx>
        <w:trPr>
          <w:trHeight w:val="725" w:hRule="atLeast"/>
        </w:trPr>
        <w:tc>
          <w:tcPr>
            <w:tcW w:w="69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4400"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完成玛纳斯县第二中学综合教学楼及运动场建设项目的设计</w:t>
            </w:r>
          </w:p>
        </w:tc>
        <w:tc>
          <w:tcPr>
            <w:tcW w:w="4084"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完成玛纳斯县第二中学综合教学楼及运动场建设项目的设计</w:t>
            </w:r>
          </w:p>
        </w:tc>
      </w:tr>
      <w:tr>
        <w:tblPrEx>
          <w:tblLayout w:type="fixed"/>
          <w:tblCellMar>
            <w:top w:w="0" w:type="dxa"/>
            <w:left w:w="0" w:type="dxa"/>
            <w:bottom w:w="0" w:type="dxa"/>
            <w:right w:w="0" w:type="dxa"/>
          </w:tblCellMar>
        </w:tblPrEx>
        <w:trPr>
          <w:trHeight w:val="347" w:hRule="atLeast"/>
        </w:trPr>
        <w:tc>
          <w:tcPr>
            <w:tcW w:w="696" w:type="dxa"/>
            <w:vMerge w:val="restart"/>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绩效指标</w:t>
            </w:r>
          </w:p>
        </w:tc>
        <w:tc>
          <w:tcPr>
            <w:tcW w:w="81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一级指标</w:t>
            </w:r>
          </w:p>
        </w:tc>
        <w:tc>
          <w:tcPr>
            <w:tcW w:w="827"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二级指标</w:t>
            </w:r>
          </w:p>
        </w:tc>
        <w:tc>
          <w:tcPr>
            <w:tcW w:w="2040" w:type="dxa"/>
            <w:gridSpan w:val="3"/>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三级指标</w:t>
            </w:r>
          </w:p>
        </w:tc>
        <w:tc>
          <w:tcPr>
            <w:tcW w:w="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年度</w:t>
            </w:r>
          </w:p>
        </w:tc>
        <w:tc>
          <w:tcPr>
            <w:tcW w:w="18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实际</w:t>
            </w:r>
          </w:p>
        </w:tc>
        <w:tc>
          <w:tcPr>
            <w:tcW w:w="556"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分值</w:t>
            </w:r>
          </w:p>
        </w:tc>
        <w:tc>
          <w:tcPr>
            <w:tcW w:w="556"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得分</w:t>
            </w:r>
          </w:p>
        </w:tc>
        <w:tc>
          <w:tcPr>
            <w:tcW w:w="111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偏差原因分析及改进措施</w:t>
            </w:r>
          </w:p>
        </w:tc>
      </w:tr>
      <w:tr>
        <w:tblPrEx>
          <w:tblLayout w:type="fixed"/>
          <w:tblCellMar>
            <w:top w:w="0" w:type="dxa"/>
            <w:left w:w="0" w:type="dxa"/>
            <w:bottom w:w="0" w:type="dxa"/>
            <w:right w:w="0" w:type="dxa"/>
          </w:tblCellMar>
        </w:tblPrEx>
        <w:trPr>
          <w:trHeight w:val="347" w:hRule="atLeast"/>
        </w:trPr>
        <w:tc>
          <w:tcPr>
            <w:tcW w:w="696"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81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827"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040" w:type="dxa"/>
            <w:gridSpan w:val="3"/>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指标值</w:t>
            </w:r>
          </w:p>
        </w:tc>
        <w:tc>
          <w:tcPr>
            <w:tcW w:w="18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完成值</w:t>
            </w:r>
          </w:p>
        </w:tc>
        <w:tc>
          <w:tcPr>
            <w:tcW w:w="556"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56"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11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550" w:hRule="atLeast"/>
        </w:trPr>
        <w:tc>
          <w:tcPr>
            <w:tcW w:w="696"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81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产出指标</w:t>
            </w:r>
            <w:r>
              <w:rPr>
                <w:rFonts w:ascii="宋体"/>
                <w:color w:val="000000"/>
                <w:kern w:val="0"/>
                <w:sz w:val="16"/>
                <w:szCs w:val="16"/>
              </w:rPr>
              <w:br w:type="textWrapping"/>
            </w:r>
            <w:r>
              <w:rPr>
                <w:rFonts w:hint="eastAsia" w:ascii="宋体" w:hAnsi="宋体"/>
                <w:color w:val="000000"/>
                <w:kern w:val="0"/>
                <w:sz w:val="16"/>
                <w:szCs w:val="16"/>
              </w:rPr>
              <w:t>（</w:t>
            </w:r>
            <w:r>
              <w:rPr>
                <w:rFonts w:ascii="宋体" w:hAnsi="宋体"/>
                <w:color w:val="000000"/>
                <w:kern w:val="0"/>
                <w:sz w:val="16"/>
                <w:szCs w:val="16"/>
              </w:rPr>
              <w:t>50</w:t>
            </w:r>
            <w:r>
              <w:rPr>
                <w:rFonts w:hint="eastAsia" w:ascii="宋体" w:hAnsi="宋体"/>
                <w:color w:val="000000"/>
                <w:kern w:val="0"/>
                <w:sz w:val="16"/>
                <w:szCs w:val="16"/>
              </w:rPr>
              <w:t>分）</w:t>
            </w:r>
          </w:p>
        </w:tc>
        <w:tc>
          <w:tcPr>
            <w:tcW w:w="8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数量指标</w:t>
            </w:r>
          </w:p>
        </w:tc>
        <w:tc>
          <w:tcPr>
            <w:tcW w:w="204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：交付施工设计图（套）</w:t>
            </w:r>
          </w:p>
        </w:tc>
        <w:tc>
          <w:tcPr>
            <w:tcW w:w="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8</w:t>
            </w:r>
            <w:r>
              <w:rPr>
                <w:rFonts w:hint="eastAsia" w:ascii="宋体" w:hAnsi="宋体"/>
                <w:color w:val="000000"/>
                <w:kern w:val="0"/>
                <w:sz w:val="16"/>
                <w:szCs w:val="16"/>
              </w:rPr>
              <w:t>套</w:t>
            </w:r>
          </w:p>
        </w:tc>
        <w:tc>
          <w:tcPr>
            <w:tcW w:w="18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8</w:t>
            </w:r>
            <w:r>
              <w:rPr>
                <w:rFonts w:hint="eastAsia" w:ascii="宋体" w:hAnsi="宋体"/>
                <w:color w:val="000000"/>
                <w:kern w:val="0"/>
                <w:sz w:val="16"/>
                <w:szCs w:val="16"/>
              </w:rPr>
              <w:t>套</w:t>
            </w:r>
          </w:p>
        </w:tc>
        <w:tc>
          <w:tcPr>
            <w:tcW w:w="5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20</w:t>
            </w:r>
          </w:p>
        </w:tc>
        <w:tc>
          <w:tcPr>
            <w:tcW w:w="55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20</w:t>
            </w:r>
          </w:p>
        </w:tc>
        <w:tc>
          <w:tcPr>
            <w:tcW w:w="1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528" w:hRule="atLeast"/>
        </w:trPr>
        <w:tc>
          <w:tcPr>
            <w:tcW w:w="696"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81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8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04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：审图合格率</w:t>
            </w:r>
          </w:p>
        </w:tc>
        <w:tc>
          <w:tcPr>
            <w:tcW w:w="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w:t>
            </w:r>
            <w:r>
              <w:rPr>
                <w:rFonts w:ascii="宋体" w:hAnsi="宋体"/>
                <w:color w:val="000000"/>
                <w:kern w:val="0"/>
                <w:sz w:val="16"/>
                <w:szCs w:val="16"/>
              </w:rPr>
              <w:t>95%</w:t>
            </w:r>
          </w:p>
        </w:tc>
        <w:tc>
          <w:tcPr>
            <w:tcW w:w="18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5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55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488" w:hRule="atLeast"/>
        </w:trPr>
        <w:tc>
          <w:tcPr>
            <w:tcW w:w="696"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81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8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时效指标</w:t>
            </w:r>
          </w:p>
        </w:tc>
        <w:tc>
          <w:tcPr>
            <w:tcW w:w="204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：图纸设计完成时间</w:t>
            </w:r>
          </w:p>
        </w:tc>
        <w:tc>
          <w:tcPr>
            <w:tcW w:w="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2019</w:t>
            </w:r>
            <w:r>
              <w:rPr>
                <w:rFonts w:hint="eastAsia" w:ascii="宋体" w:hAnsi="宋体"/>
                <w:color w:val="000000"/>
                <w:kern w:val="0"/>
                <w:sz w:val="16"/>
                <w:szCs w:val="16"/>
              </w:rPr>
              <w:t>年</w:t>
            </w:r>
            <w:r>
              <w:rPr>
                <w:rFonts w:ascii="宋体" w:hAnsi="宋体"/>
                <w:color w:val="000000"/>
                <w:kern w:val="0"/>
                <w:sz w:val="16"/>
                <w:szCs w:val="16"/>
              </w:rPr>
              <w:t>9</w:t>
            </w:r>
            <w:r>
              <w:rPr>
                <w:rFonts w:hint="eastAsia" w:ascii="宋体" w:hAnsi="宋体"/>
                <w:color w:val="000000"/>
                <w:kern w:val="0"/>
                <w:sz w:val="16"/>
                <w:szCs w:val="16"/>
              </w:rPr>
              <w:t>月前交付</w:t>
            </w:r>
          </w:p>
        </w:tc>
        <w:tc>
          <w:tcPr>
            <w:tcW w:w="18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2019</w:t>
            </w:r>
            <w:r>
              <w:rPr>
                <w:rFonts w:hint="eastAsia" w:ascii="宋体" w:hAnsi="宋体"/>
                <w:color w:val="000000"/>
                <w:kern w:val="0"/>
                <w:sz w:val="16"/>
                <w:szCs w:val="16"/>
              </w:rPr>
              <w:t>年</w:t>
            </w:r>
            <w:r>
              <w:rPr>
                <w:rFonts w:ascii="宋体" w:hAnsi="宋体"/>
                <w:color w:val="000000"/>
                <w:kern w:val="0"/>
                <w:sz w:val="16"/>
                <w:szCs w:val="16"/>
              </w:rPr>
              <w:t>8</w:t>
            </w:r>
            <w:r>
              <w:rPr>
                <w:rFonts w:hint="eastAsia" w:ascii="宋体" w:hAnsi="宋体"/>
                <w:color w:val="000000"/>
                <w:kern w:val="0"/>
                <w:sz w:val="16"/>
                <w:szCs w:val="16"/>
              </w:rPr>
              <w:t>月交付</w:t>
            </w:r>
          </w:p>
        </w:tc>
        <w:tc>
          <w:tcPr>
            <w:tcW w:w="5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55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407" w:hRule="atLeast"/>
        </w:trPr>
        <w:tc>
          <w:tcPr>
            <w:tcW w:w="696"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81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8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成本指标</w:t>
            </w:r>
          </w:p>
        </w:tc>
        <w:tc>
          <w:tcPr>
            <w:tcW w:w="204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：设计费用</w:t>
            </w:r>
            <w:r>
              <w:rPr>
                <w:rFonts w:ascii="宋体" w:hAnsi="宋体"/>
                <w:color w:val="000000"/>
                <w:kern w:val="0"/>
                <w:sz w:val="16"/>
                <w:szCs w:val="16"/>
              </w:rPr>
              <w:t>(</w:t>
            </w:r>
            <w:r>
              <w:rPr>
                <w:rFonts w:hint="eastAsia" w:ascii="宋体" w:hAnsi="宋体"/>
                <w:color w:val="000000"/>
                <w:kern w:val="0"/>
                <w:sz w:val="16"/>
                <w:szCs w:val="16"/>
              </w:rPr>
              <w:t>元</w:t>
            </w:r>
            <w:r>
              <w:rPr>
                <w:rFonts w:ascii="宋体" w:hAnsi="宋体"/>
                <w:color w:val="000000"/>
                <w:kern w:val="0"/>
                <w:sz w:val="16"/>
                <w:szCs w:val="16"/>
              </w:rPr>
              <w:t>/</w:t>
            </w:r>
            <w:r>
              <w:rPr>
                <w:rFonts w:hint="eastAsia" w:ascii="宋体" w:hAnsi="宋体"/>
                <w:color w:val="000000"/>
                <w:kern w:val="0"/>
                <w:sz w:val="16"/>
                <w:szCs w:val="16"/>
              </w:rPr>
              <w:t>平方米</w:t>
            </w:r>
            <w:r>
              <w:rPr>
                <w:rFonts w:ascii="宋体" w:hAnsi="宋体"/>
                <w:color w:val="000000"/>
                <w:kern w:val="0"/>
                <w:sz w:val="16"/>
                <w:szCs w:val="16"/>
              </w:rPr>
              <w:t>)</w:t>
            </w:r>
          </w:p>
        </w:tc>
        <w:tc>
          <w:tcPr>
            <w:tcW w:w="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w:t>
            </w:r>
            <w:r>
              <w:rPr>
                <w:rFonts w:ascii="宋体" w:hAnsi="宋体"/>
                <w:color w:val="000000"/>
                <w:kern w:val="0"/>
                <w:sz w:val="16"/>
                <w:szCs w:val="16"/>
              </w:rPr>
              <w:t>25</w:t>
            </w:r>
          </w:p>
        </w:tc>
        <w:tc>
          <w:tcPr>
            <w:tcW w:w="18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25</w:t>
            </w:r>
          </w:p>
        </w:tc>
        <w:tc>
          <w:tcPr>
            <w:tcW w:w="5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55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528" w:hRule="atLeast"/>
        </w:trPr>
        <w:tc>
          <w:tcPr>
            <w:tcW w:w="696"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815"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效益指标</w:t>
            </w:r>
            <w:r>
              <w:rPr>
                <w:rFonts w:ascii="宋体"/>
                <w:color w:val="000000"/>
                <w:kern w:val="0"/>
                <w:sz w:val="16"/>
                <w:szCs w:val="16"/>
              </w:rPr>
              <w:br w:type="textWrapping"/>
            </w:r>
            <w:r>
              <w:rPr>
                <w:rFonts w:hint="eastAsia" w:ascii="宋体" w:hAnsi="宋体"/>
                <w:color w:val="000000"/>
                <w:kern w:val="0"/>
                <w:sz w:val="16"/>
                <w:szCs w:val="16"/>
              </w:rPr>
              <w:t>（</w:t>
            </w:r>
            <w:r>
              <w:rPr>
                <w:rFonts w:ascii="宋体" w:hAnsi="宋体"/>
                <w:color w:val="000000"/>
                <w:kern w:val="0"/>
                <w:sz w:val="16"/>
                <w:szCs w:val="16"/>
              </w:rPr>
              <w:t>30</w:t>
            </w:r>
            <w:r>
              <w:rPr>
                <w:rFonts w:hint="eastAsia" w:ascii="宋体" w:hAnsi="宋体"/>
                <w:color w:val="000000"/>
                <w:kern w:val="0"/>
                <w:sz w:val="16"/>
                <w:szCs w:val="16"/>
              </w:rPr>
              <w:t>分）</w:t>
            </w:r>
          </w:p>
        </w:tc>
        <w:tc>
          <w:tcPr>
            <w:tcW w:w="827"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经济效益指标</w:t>
            </w:r>
          </w:p>
        </w:tc>
        <w:tc>
          <w:tcPr>
            <w:tcW w:w="204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w:t>
            </w:r>
          </w:p>
        </w:tc>
        <w:tc>
          <w:tcPr>
            <w:tcW w:w="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8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5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528" w:hRule="atLeast"/>
        </w:trPr>
        <w:tc>
          <w:tcPr>
            <w:tcW w:w="696"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81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827" w:type="dxa"/>
            <w:vMerge w:val="restart"/>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社会效益指标</w:t>
            </w:r>
          </w:p>
        </w:tc>
        <w:tc>
          <w:tcPr>
            <w:tcW w:w="204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：学生学习、运动环境</w:t>
            </w:r>
          </w:p>
        </w:tc>
        <w:tc>
          <w:tcPr>
            <w:tcW w:w="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明显改善</w:t>
            </w:r>
          </w:p>
        </w:tc>
        <w:tc>
          <w:tcPr>
            <w:tcW w:w="18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明显改善</w:t>
            </w:r>
          </w:p>
        </w:tc>
        <w:tc>
          <w:tcPr>
            <w:tcW w:w="5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20</w:t>
            </w:r>
          </w:p>
        </w:tc>
        <w:tc>
          <w:tcPr>
            <w:tcW w:w="55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20</w:t>
            </w:r>
          </w:p>
        </w:tc>
        <w:tc>
          <w:tcPr>
            <w:tcW w:w="1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528" w:hRule="atLeast"/>
        </w:trPr>
        <w:tc>
          <w:tcPr>
            <w:tcW w:w="696"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81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827"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204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2</w:t>
            </w:r>
            <w:r>
              <w:rPr>
                <w:rFonts w:hint="eastAsia" w:ascii="宋体" w:hAnsi="宋体"/>
                <w:color w:val="000000"/>
                <w:kern w:val="0"/>
                <w:sz w:val="16"/>
                <w:szCs w:val="16"/>
              </w:rPr>
              <w:t>：受益学生人数</w:t>
            </w:r>
            <w:r>
              <w:rPr>
                <w:rFonts w:ascii="宋体" w:hAnsi="宋体"/>
                <w:color w:val="000000"/>
                <w:kern w:val="0"/>
                <w:sz w:val="16"/>
                <w:szCs w:val="16"/>
              </w:rPr>
              <w:t>(</w:t>
            </w:r>
            <w:r>
              <w:rPr>
                <w:rFonts w:hint="eastAsia" w:ascii="宋体" w:hAnsi="宋体"/>
                <w:color w:val="000000"/>
                <w:kern w:val="0"/>
                <w:sz w:val="16"/>
                <w:szCs w:val="16"/>
              </w:rPr>
              <w:t>人）</w:t>
            </w:r>
          </w:p>
        </w:tc>
        <w:tc>
          <w:tcPr>
            <w:tcW w:w="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w:t>
            </w:r>
            <w:r>
              <w:rPr>
                <w:rFonts w:ascii="宋体" w:hAnsi="宋体"/>
                <w:color w:val="000000"/>
                <w:kern w:val="0"/>
                <w:sz w:val="16"/>
                <w:szCs w:val="16"/>
              </w:rPr>
              <w:t>1400</w:t>
            </w:r>
          </w:p>
        </w:tc>
        <w:tc>
          <w:tcPr>
            <w:tcW w:w="18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1443</w:t>
            </w:r>
          </w:p>
        </w:tc>
        <w:tc>
          <w:tcPr>
            <w:tcW w:w="5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20</w:t>
            </w:r>
          </w:p>
        </w:tc>
        <w:tc>
          <w:tcPr>
            <w:tcW w:w="55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20</w:t>
            </w:r>
          </w:p>
        </w:tc>
        <w:tc>
          <w:tcPr>
            <w:tcW w:w="1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708" w:hRule="atLeast"/>
        </w:trPr>
        <w:tc>
          <w:tcPr>
            <w:tcW w:w="696"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81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827"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生态效益指标</w:t>
            </w:r>
          </w:p>
        </w:tc>
        <w:tc>
          <w:tcPr>
            <w:tcW w:w="204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w:t>
            </w:r>
          </w:p>
        </w:tc>
        <w:tc>
          <w:tcPr>
            <w:tcW w:w="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8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5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569" w:hRule="atLeast"/>
        </w:trPr>
        <w:tc>
          <w:tcPr>
            <w:tcW w:w="696"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815"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8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可持续影响指标</w:t>
            </w:r>
          </w:p>
        </w:tc>
        <w:tc>
          <w:tcPr>
            <w:tcW w:w="204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：使用年限（年）</w:t>
            </w:r>
          </w:p>
        </w:tc>
        <w:tc>
          <w:tcPr>
            <w:tcW w:w="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8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55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1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870" w:hRule="atLeast"/>
        </w:trPr>
        <w:tc>
          <w:tcPr>
            <w:tcW w:w="696"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6"/>
                <w:szCs w:val="16"/>
              </w:rPr>
            </w:pPr>
          </w:p>
        </w:tc>
        <w:tc>
          <w:tcPr>
            <w:tcW w:w="815"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满意度指标（</w:t>
            </w:r>
            <w:r>
              <w:rPr>
                <w:rFonts w:ascii="宋体" w:hAnsi="宋体"/>
                <w:color w:val="000000"/>
                <w:kern w:val="0"/>
                <w:sz w:val="16"/>
                <w:szCs w:val="16"/>
              </w:rPr>
              <w:t>10</w:t>
            </w:r>
            <w:r>
              <w:rPr>
                <w:rFonts w:hint="eastAsia" w:ascii="宋体" w:hAnsi="宋体"/>
                <w:color w:val="000000"/>
                <w:kern w:val="0"/>
                <w:sz w:val="16"/>
                <w:szCs w:val="16"/>
              </w:rPr>
              <w:t>分）</w:t>
            </w:r>
          </w:p>
        </w:tc>
        <w:tc>
          <w:tcPr>
            <w:tcW w:w="82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服务对象满意度指标</w:t>
            </w:r>
          </w:p>
        </w:tc>
        <w:tc>
          <w:tcPr>
            <w:tcW w:w="2040"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6"/>
                <w:szCs w:val="16"/>
              </w:rPr>
            </w:pPr>
            <w:r>
              <w:rPr>
                <w:rFonts w:hint="eastAsia" w:ascii="宋体" w:hAnsi="宋体"/>
                <w:color w:val="000000"/>
                <w:kern w:val="0"/>
                <w:sz w:val="16"/>
                <w:szCs w:val="16"/>
              </w:rPr>
              <w:t>指标</w:t>
            </w:r>
            <w:r>
              <w:rPr>
                <w:rFonts w:ascii="宋体" w:hAnsi="宋体"/>
                <w:color w:val="000000"/>
                <w:kern w:val="0"/>
                <w:sz w:val="16"/>
                <w:szCs w:val="16"/>
              </w:rPr>
              <w:t>1</w:t>
            </w:r>
            <w:r>
              <w:rPr>
                <w:rFonts w:hint="eastAsia" w:ascii="宋体" w:hAnsi="宋体"/>
                <w:color w:val="000000"/>
                <w:kern w:val="0"/>
                <w:sz w:val="16"/>
                <w:szCs w:val="16"/>
              </w:rPr>
              <w:t>：服务对象满意度</w:t>
            </w:r>
          </w:p>
        </w:tc>
        <w:tc>
          <w:tcPr>
            <w:tcW w:w="71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w:t>
            </w:r>
            <w:r>
              <w:rPr>
                <w:rFonts w:ascii="宋体" w:hAnsi="宋体"/>
                <w:color w:val="000000"/>
                <w:kern w:val="0"/>
                <w:sz w:val="16"/>
                <w:szCs w:val="16"/>
              </w:rPr>
              <w:t>95%</w:t>
            </w:r>
          </w:p>
        </w:tc>
        <w:tc>
          <w:tcPr>
            <w:tcW w:w="1857"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95%</w:t>
            </w:r>
          </w:p>
        </w:tc>
        <w:tc>
          <w:tcPr>
            <w:tcW w:w="5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55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w:t>
            </w:r>
          </w:p>
        </w:tc>
        <w:tc>
          <w:tcPr>
            <w:tcW w:w="1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r>
        <w:tblPrEx>
          <w:tblLayout w:type="fixed"/>
          <w:tblCellMar>
            <w:top w:w="0" w:type="dxa"/>
            <w:left w:w="0" w:type="dxa"/>
            <w:bottom w:w="0" w:type="dxa"/>
            <w:right w:w="0" w:type="dxa"/>
          </w:tblCellMar>
        </w:tblPrEx>
        <w:trPr>
          <w:trHeight w:val="358" w:hRule="atLeast"/>
        </w:trPr>
        <w:tc>
          <w:tcPr>
            <w:tcW w:w="6953" w:type="dxa"/>
            <w:gridSpan w:val="9"/>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hint="eastAsia" w:ascii="宋体" w:hAnsi="宋体"/>
                <w:color w:val="000000"/>
                <w:kern w:val="0"/>
                <w:sz w:val="16"/>
                <w:szCs w:val="16"/>
              </w:rPr>
              <w:t>总分</w:t>
            </w:r>
          </w:p>
        </w:tc>
        <w:tc>
          <w:tcPr>
            <w:tcW w:w="5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55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6"/>
                <w:szCs w:val="16"/>
              </w:rPr>
            </w:pPr>
            <w:r>
              <w:rPr>
                <w:rFonts w:ascii="宋体" w:hAnsi="宋体"/>
                <w:color w:val="000000"/>
                <w:kern w:val="0"/>
                <w:sz w:val="16"/>
                <w:szCs w:val="16"/>
              </w:rPr>
              <w:t>100</w:t>
            </w:r>
          </w:p>
        </w:tc>
        <w:tc>
          <w:tcPr>
            <w:tcW w:w="111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6"/>
                <w:szCs w:val="16"/>
              </w:rPr>
            </w:pPr>
          </w:p>
        </w:tc>
      </w:tr>
    </w:tbl>
    <w:p>
      <w:r>
        <w:br w:type="page"/>
      </w:r>
    </w:p>
    <w:tbl>
      <w:tblPr>
        <w:tblStyle w:val="4"/>
        <w:tblW w:w="9135" w:type="dxa"/>
        <w:tblInd w:w="-269" w:type="dxa"/>
        <w:tblLayout w:type="fixed"/>
        <w:tblCellMar>
          <w:top w:w="0" w:type="dxa"/>
          <w:left w:w="0" w:type="dxa"/>
          <w:bottom w:w="0" w:type="dxa"/>
          <w:right w:w="0" w:type="dxa"/>
        </w:tblCellMar>
      </w:tblPr>
      <w:tblGrid>
        <w:gridCol w:w="693"/>
        <w:gridCol w:w="810"/>
        <w:gridCol w:w="823"/>
        <w:gridCol w:w="827"/>
        <w:gridCol w:w="1137"/>
        <w:gridCol w:w="67"/>
        <w:gridCol w:w="714"/>
        <w:gridCol w:w="1043"/>
        <w:gridCol w:w="805"/>
        <w:gridCol w:w="553"/>
        <w:gridCol w:w="453"/>
        <w:gridCol w:w="100"/>
        <w:gridCol w:w="1110"/>
      </w:tblGrid>
      <w:tr>
        <w:tblPrEx>
          <w:tblLayout w:type="fixed"/>
          <w:tblCellMar>
            <w:top w:w="0" w:type="dxa"/>
            <w:left w:w="0" w:type="dxa"/>
            <w:bottom w:w="0" w:type="dxa"/>
            <w:right w:w="0" w:type="dxa"/>
          </w:tblCellMar>
        </w:tblPrEx>
        <w:trPr>
          <w:trHeight w:val="441" w:hRule="atLeast"/>
        </w:trPr>
        <w:tc>
          <w:tcPr>
            <w:tcW w:w="9135" w:type="dxa"/>
            <w:gridSpan w:val="13"/>
            <w:tcBorders>
              <w:top w:val="nil"/>
              <w:left w:val="nil"/>
              <w:bottom w:val="nil"/>
              <w:right w:val="nil"/>
            </w:tcBorders>
            <w:tcMar>
              <w:top w:w="15" w:type="dxa"/>
              <w:left w:w="15" w:type="dxa"/>
              <w:right w:w="15" w:type="dxa"/>
            </w:tcMar>
            <w:vAlign w:val="center"/>
          </w:tcPr>
          <w:p>
            <w:pPr>
              <w:jc w:val="center"/>
              <w:textAlignment w:val="center"/>
              <w:rPr>
                <w:rFonts w:ascii="宋体"/>
                <w:b/>
                <w:color w:val="000000"/>
                <w:sz w:val="32"/>
                <w:szCs w:val="24"/>
              </w:rPr>
            </w:pPr>
            <w:r>
              <w:rPr>
                <w:rFonts w:hint="eastAsia" w:ascii="宋体" w:hAnsi="宋体"/>
                <w:b/>
                <w:color w:val="000000"/>
                <w:kern w:val="0"/>
                <w:sz w:val="32"/>
                <w:szCs w:val="24"/>
              </w:rPr>
              <w:t>项目支出绩效自评表</w:t>
            </w:r>
          </w:p>
        </w:tc>
      </w:tr>
      <w:tr>
        <w:tblPrEx>
          <w:tblLayout w:type="fixed"/>
          <w:tblCellMar>
            <w:top w:w="0" w:type="dxa"/>
            <w:left w:w="0" w:type="dxa"/>
            <w:bottom w:w="0" w:type="dxa"/>
            <w:right w:w="0" w:type="dxa"/>
          </w:tblCellMar>
        </w:tblPrEx>
        <w:trPr>
          <w:trHeight w:val="402" w:hRule="atLeast"/>
        </w:trPr>
        <w:tc>
          <w:tcPr>
            <w:tcW w:w="9135" w:type="dxa"/>
            <w:gridSpan w:val="13"/>
            <w:tcBorders>
              <w:top w:val="nil"/>
              <w:left w:val="nil"/>
              <w:bottom w:val="nil"/>
              <w:right w:val="nil"/>
            </w:tcBorders>
            <w:tcMar>
              <w:top w:w="15" w:type="dxa"/>
              <w:left w:w="15" w:type="dxa"/>
              <w:right w:w="15" w:type="dxa"/>
            </w:tcMar>
            <w:vAlign w:val="center"/>
          </w:tcPr>
          <w:p>
            <w:pPr>
              <w:jc w:val="center"/>
              <w:textAlignment w:val="center"/>
              <w:rPr>
                <w:rFonts w:ascii="宋体"/>
                <w:color w:val="000000"/>
                <w:sz w:val="20"/>
                <w:szCs w:val="24"/>
              </w:rPr>
            </w:pPr>
            <w:r>
              <w:rPr>
                <w:rFonts w:hint="eastAsia" w:ascii="宋体" w:hAnsi="宋体"/>
                <w:color w:val="000000"/>
                <w:kern w:val="0"/>
                <w:sz w:val="20"/>
                <w:szCs w:val="24"/>
              </w:rPr>
              <w:t>（</w:t>
            </w:r>
            <w:r>
              <w:rPr>
                <w:rFonts w:ascii="宋体" w:hAnsi="宋体"/>
                <w:color w:val="000000"/>
                <w:kern w:val="0"/>
                <w:sz w:val="20"/>
                <w:szCs w:val="24"/>
              </w:rPr>
              <w:t>2019</w:t>
            </w:r>
            <w:r>
              <w:rPr>
                <w:rFonts w:hint="eastAsia" w:ascii="宋体" w:hAnsi="宋体"/>
                <w:color w:val="000000"/>
                <w:kern w:val="0"/>
                <w:sz w:val="20"/>
                <w:szCs w:val="24"/>
              </w:rPr>
              <w:t>年度）</w:t>
            </w:r>
          </w:p>
        </w:tc>
      </w:tr>
      <w:tr>
        <w:tblPrEx>
          <w:tblLayout w:type="fixed"/>
          <w:tblCellMar>
            <w:top w:w="0" w:type="dxa"/>
            <w:left w:w="0" w:type="dxa"/>
            <w:bottom w:w="0" w:type="dxa"/>
            <w:right w:w="0" w:type="dxa"/>
          </w:tblCellMar>
        </w:tblPrEx>
        <w:trPr>
          <w:trHeight w:val="331" w:hRule="atLeast"/>
        </w:trPr>
        <w:tc>
          <w:tcPr>
            <w:tcW w:w="150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项目名称</w:t>
            </w:r>
          </w:p>
        </w:tc>
        <w:tc>
          <w:tcPr>
            <w:tcW w:w="7632" w:type="dxa"/>
            <w:gridSpan w:val="11"/>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玛纳斯县牧区三乡灾后房屋重建项目（旱卡子滩乡十户窑子村）附属配套设施配电设施</w:t>
            </w:r>
          </w:p>
        </w:tc>
      </w:tr>
      <w:tr>
        <w:tblPrEx>
          <w:tblLayout w:type="fixed"/>
          <w:tblCellMar>
            <w:top w:w="0" w:type="dxa"/>
            <w:left w:w="0" w:type="dxa"/>
            <w:bottom w:w="0" w:type="dxa"/>
            <w:right w:w="0" w:type="dxa"/>
          </w:tblCellMar>
        </w:tblPrEx>
        <w:trPr>
          <w:trHeight w:val="331" w:hRule="atLeast"/>
        </w:trPr>
        <w:tc>
          <w:tcPr>
            <w:tcW w:w="150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主管部门</w:t>
            </w:r>
          </w:p>
        </w:tc>
        <w:tc>
          <w:tcPr>
            <w:tcW w:w="3568"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玛纳斯县项目代建管理处</w:t>
            </w:r>
          </w:p>
        </w:tc>
        <w:tc>
          <w:tcPr>
            <w:tcW w:w="10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实施单位</w:t>
            </w:r>
          </w:p>
        </w:tc>
        <w:tc>
          <w:tcPr>
            <w:tcW w:w="3021"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玛纳斯县项目代建管理处</w:t>
            </w:r>
          </w:p>
        </w:tc>
      </w:tr>
      <w:tr>
        <w:tblPrEx>
          <w:tblLayout w:type="fixed"/>
          <w:tblCellMar>
            <w:top w:w="0" w:type="dxa"/>
            <w:left w:w="0" w:type="dxa"/>
            <w:bottom w:w="0" w:type="dxa"/>
            <w:right w:w="0" w:type="dxa"/>
          </w:tblCellMar>
        </w:tblPrEx>
        <w:trPr>
          <w:trHeight w:val="504" w:hRule="atLeast"/>
        </w:trPr>
        <w:tc>
          <w:tcPr>
            <w:tcW w:w="1503"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项目资金（万元）</w:t>
            </w:r>
          </w:p>
        </w:tc>
        <w:tc>
          <w:tcPr>
            <w:tcW w:w="165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年初预算数</w:t>
            </w:r>
          </w:p>
        </w:tc>
        <w:tc>
          <w:tcPr>
            <w:tcW w:w="78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全年预算数</w:t>
            </w:r>
          </w:p>
        </w:tc>
        <w:tc>
          <w:tcPr>
            <w:tcW w:w="10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全年执行数</w:t>
            </w:r>
          </w:p>
        </w:tc>
        <w:tc>
          <w:tcPr>
            <w:tcW w:w="8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分值</w:t>
            </w:r>
          </w:p>
        </w:tc>
        <w:tc>
          <w:tcPr>
            <w:tcW w:w="100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执行率</w:t>
            </w:r>
          </w:p>
        </w:tc>
        <w:tc>
          <w:tcPr>
            <w:tcW w:w="121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得分</w:t>
            </w:r>
          </w:p>
        </w:tc>
      </w:tr>
      <w:tr>
        <w:tblPrEx>
          <w:tblLayout w:type="fixed"/>
          <w:tblCellMar>
            <w:top w:w="0" w:type="dxa"/>
            <w:left w:w="0" w:type="dxa"/>
            <w:bottom w:w="0" w:type="dxa"/>
            <w:right w:w="0" w:type="dxa"/>
          </w:tblCellMar>
        </w:tblPrEx>
        <w:trPr>
          <w:trHeight w:val="331" w:hRule="atLeast"/>
        </w:trPr>
        <w:tc>
          <w:tcPr>
            <w:tcW w:w="1503"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65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textAlignment w:val="center"/>
              <w:rPr>
                <w:rFonts w:ascii="宋体"/>
                <w:color w:val="000000"/>
                <w:sz w:val="18"/>
                <w:szCs w:val="18"/>
              </w:rPr>
            </w:pPr>
            <w:r>
              <w:rPr>
                <w:rFonts w:hint="eastAsia" w:ascii="宋体" w:hAnsi="宋体"/>
                <w:color w:val="000000"/>
                <w:kern w:val="0"/>
                <w:sz w:val="18"/>
                <w:szCs w:val="18"/>
              </w:rPr>
              <w:t>年度资金总额</w:t>
            </w:r>
          </w:p>
        </w:tc>
        <w:tc>
          <w:tcPr>
            <w:tcW w:w="1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45</w:t>
            </w:r>
          </w:p>
        </w:tc>
        <w:tc>
          <w:tcPr>
            <w:tcW w:w="78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45</w:t>
            </w:r>
          </w:p>
        </w:tc>
        <w:tc>
          <w:tcPr>
            <w:tcW w:w="10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45</w:t>
            </w:r>
          </w:p>
        </w:tc>
        <w:tc>
          <w:tcPr>
            <w:tcW w:w="8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100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100%</w:t>
            </w:r>
          </w:p>
        </w:tc>
        <w:tc>
          <w:tcPr>
            <w:tcW w:w="121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r>
      <w:tr>
        <w:tblPrEx>
          <w:tblLayout w:type="fixed"/>
          <w:tblCellMar>
            <w:top w:w="0" w:type="dxa"/>
            <w:left w:w="0" w:type="dxa"/>
            <w:bottom w:w="0" w:type="dxa"/>
            <w:right w:w="0" w:type="dxa"/>
          </w:tblCellMar>
        </w:tblPrEx>
        <w:trPr>
          <w:trHeight w:val="331" w:hRule="atLeast"/>
        </w:trPr>
        <w:tc>
          <w:tcPr>
            <w:tcW w:w="1503"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65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其中：当年财政拨款</w:t>
            </w:r>
          </w:p>
        </w:tc>
        <w:tc>
          <w:tcPr>
            <w:tcW w:w="1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45</w:t>
            </w:r>
          </w:p>
        </w:tc>
        <w:tc>
          <w:tcPr>
            <w:tcW w:w="78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45</w:t>
            </w:r>
          </w:p>
        </w:tc>
        <w:tc>
          <w:tcPr>
            <w:tcW w:w="10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45</w:t>
            </w:r>
          </w:p>
        </w:tc>
        <w:tc>
          <w:tcPr>
            <w:tcW w:w="8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w:t>
            </w:r>
          </w:p>
        </w:tc>
        <w:tc>
          <w:tcPr>
            <w:tcW w:w="100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100%</w:t>
            </w:r>
          </w:p>
        </w:tc>
        <w:tc>
          <w:tcPr>
            <w:tcW w:w="121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w:t>
            </w:r>
          </w:p>
        </w:tc>
      </w:tr>
      <w:tr>
        <w:tblPrEx>
          <w:tblLayout w:type="fixed"/>
          <w:tblCellMar>
            <w:top w:w="0" w:type="dxa"/>
            <w:left w:w="0" w:type="dxa"/>
            <w:bottom w:w="0" w:type="dxa"/>
            <w:right w:w="0" w:type="dxa"/>
          </w:tblCellMar>
        </w:tblPrEx>
        <w:trPr>
          <w:trHeight w:val="331" w:hRule="atLeast"/>
        </w:trPr>
        <w:tc>
          <w:tcPr>
            <w:tcW w:w="1503"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65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上年结转资金</w:t>
            </w:r>
          </w:p>
        </w:tc>
        <w:tc>
          <w:tcPr>
            <w:tcW w:w="1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78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0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w:t>
            </w:r>
          </w:p>
        </w:tc>
        <w:tc>
          <w:tcPr>
            <w:tcW w:w="100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21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w:t>
            </w:r>
          </w:p>
        </w:tc>
      </w:tr>
      <w:tr>
        <w:tblPrEx>
          <w:tblLayout w:type="fixed"/>
          <w:tblCellMar>
            <w:top w:w="0" w:type="dxa"/>
            <w:left w:w="0" w:type="dxa"/>
            <w:bottom w:w="0" w:type="dxa"/>
            <w:right w:w="0" w:type="dxa"/>
          </w:tblCellMar>
        </w:tblPrEx>
        <w:trPr>
          <w:trHeight w:val="331" w:hRule="atLeast"/>
        </w:trPr>
        <w:tc>
          <w:tcPr>
            <w:tcW w:w="1503"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65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其他资金</w:t>
            </w:r>
          </w:p>
        </w:tc>
        <w:tc>
          <w:tcPr>
            <w:tcW w:w="1137"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781"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04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80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w:t>
            </w:r>
          </w:p>
        </w:tc>
        <w:tc>
          <w:tcPr>
            <w:tcW w:w="100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210"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w:t>
            </w:r>
          </w:p>
        </w:tc>
      </w:tr>
      <w:tr>
        <w:tblPrEx>
          <w:tblLayout w:type="fixed"/>
          <w:tblCellMar>
            <w:top w:w="0" w:type="dxa"/>
            <w:left w:w="0" w:type="dxa"/>
            <w:bottom w:w="0" w:type="dxa"/>
            <w:right w:w="0" w:type="dxa"/>
          </w:tblCellMar>
        </w:tblPrEx>
        <w:trPr>
          <w:trHeight w:val="331" w:hRule="atLeast"/>
        </w:trPr>
        <w:tc>
          <w:tcPr>
            <w:tcW w:w="69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年度总体目标</w:t>
            </w:r>
          </w:p>
        </w:tc>
        <w:tc>
          <w:tcPr>
            <w:tcW w:w="4378"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预期目标</w:t>
            </w:r>
          </w:p>
        </w:tc>
        <w:tc>
          <w:tcPr>
            <w:tcW w:w="4064"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实际完成情况</w:t>
            </w:r>
          </w:p>
        </w:tc>
      </w:tr>
      <w:tr>
        <w:tblPrEx>
          <w:tblLayout w:type="fixed"/>
          <w:tblCellMar>
            <w:top w:w="0" w:type="dxa"/>
            <w:left w:w="0" w:type="dxa"/>
            <w:bottom w:w="0" w:type="dxa"/>
            <w:right w:w="0" w:type="dxa"/>
          </w:tblCellMar>
        </w:tblPrEx>
        <w:trPr>
          <w:trHeight w:val="983" w:hRule="atLeast"/>
        </w:trPr>
        <w:tc>
          <w:tcPr>
            <w:tcW w:w="69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4378"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建设完成</w:t>
            </w:r>
            <w:r>
              <w:rPr>
                <w:rFonts w:ascii="宋体" w:hAnsi="宋体"/>
                <w:color w:val="000000"/>
                <w:kern w:val="0"/>
                <w:sz w:val="18"/>
                <w:szCs w:val="18"/>
              </w:rPr>
              <w:t>400KVA</w:t>
            </w:r>
            <w:r>
              <w:rPr>
                <w:rFonts w:hint="eastAsia" w:ascii="宋体" w:hAnsi="宋体"/>
                <w:color w:val="000000"/>
                <w:kern w:val="0"/>
                <w:sz w:val="18"/>
                <w:szCs w:val="18"/>
              </w:rPr>
              <w:t>变压器一台，</w:t>
            </w:r>
            <w:r>
              <w:rPr>
                <w:rFonts w:ascii="宋体" w:hAnsi="宋体"/>
                <w:color w:val="000000"/>
                <w:kern w:val="0"/>
                <w:sz w:val="18"/>
                <w:szCs w:val="18"/>
              </w:rPr>
              <w:t>1000KVA</w:t>
            </w:r>
            <w:r>
              <w:rPr>
                <w:rFonts w:hint="eastAsia" w:ascii="宋体" w:hAnsi="宋体"/>
                <w:color w:val="000000"/>
                <w:kern w:val="0"/>
                <w:sz w:val="18"/>
                <w:szCs w:val="18"/>
              </w:rPr>
              <w:t>变压器一台，配套室外电缆</w:t>
            </w:r>
          </w:p>
        </w:tc>
        <w:tc>
          <w:tcPr>
            <w:tcW w:w="4064" w:type="dxa"/>
            <w:gridSpan w:val="6"/>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建设完成</w:t>
            </w:r>
            <w:r>
              <w:rPr>
                <w:rFonts w:ascii="宋体" w:hAnsi="宋体"/>
                <w:color w:val="000000"/>
                <w:kern w:val="0"/>
                <w:sz w:val="18"/>
                <w:szCs w:val="18"/>
              </w:rPr>
              <w:t>400KVA</w:t>
            </w:r>
            <w:r>
              <w:rPr>
                <w:rFonts w:hint="eastAsia" w:ascii="宋体" w:hAnsi="宋体"/>
                <w:color w:val="000000"/>
                <w:kern w:val="0"/>
                <w:sz w:val="18"/>
                <w:szCs w:val="18"/>
              </w:rPr>
              <w:t>变压器一台，</w:t>
            </w:r>
            <w:r>
              <w:rPr>
                <w:rFonts w:ascii="宋体" w:hAnsi="宋体"/>
                <w:color w:val="000000"/>
                <w:kern w:val="0"/>
                <w:sz w:val="18"/>
                <w:szCs w:val="18"/>
              </w:rPr>
              <w:t>1000KVA</w:t>
            </w:r>
            <w:r>
              <w:rPr>
                <w:rFonts w:hint="eastAsia" w:ascii="宋体" w:hAnsi="宋体"/>
                <w:color w:val="000000"/>
                <w:kern w:val="0"/>
                <w:sz w:val="18"/>
                <w:szCs w:val="18"/>
              </w:rPr>
              <w:t>变压器一台，配套室外电缆</w:t>
            </w:r>
          </w:p>
        </w:tc>
      </w:tr>
      <w:tr>
        <w:tblPrEx>
          <w:tblLayout w:type="fixed"/>
          <w:tblCellMar>
            <w:top w:w="0" w:type="dxa"/>
            <w:left w:w="0" w:type="dxa"/>
            <w:bottom w:w="0" w:type="dxa"/>
            <w:right w:w="0" w:type="dxa"/>
          </w:tblCellMar>
        </w:tblPrEx>
        <w:trPr>
          <w:trHeight w:val="331" w:hRule="atLeast"/>
        </w:trPr>
        <w:tc>
          <w:tcPr>
            <w:tcW w:w="693" w:type="dxa"/>
            <w:vMerge w:val="restart"/>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绩效指标</w:t>
            </w:r>
          </w:p>
        </w:tc>
        <w:tc>
          <w:tcPr>
            <w:tcW w:w="81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一级指标</w:t>
            </w:r>
          </w:p>
        </w:tc>
        <w:tc>
          <w:tcPr>
            <w:tcW w:w="82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二级指标</w:t>
            </w:r>
          </w:p>
        </w:tc>
        <w:tc>
          <w:tcPr>
            <w:tcW w:w="2031" w:type="dxa"/>
            <w:gridSpan w:val="3"/>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三级指标</w:t>
            </w:r>
          </w:p>
        </w:tc>
        <w:tc>
          <w:tcPr>
            <w:tcW w:w="7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年度</w:t>
            </w:r>
          </w:p>
        </w:tc>
        <w:tc>
          <w:tcPr>
            <w:tcW w:w="184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实际</w:t>
            </w:r>
          </w:p>
        </w:tc>
        <w:tc>
          <w:tcPr>
            <w:tcW w:w="55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分值</w:t>
            </w:r>
          </w:p>
        </w:tc>
        <w:tc>
          <w:tcPr>
            <w:tcW w:w="553" w:type="dxa"/>
            <w:gridSpan w:val="2"/>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得分</w:t>
            </w:r>
          </w:p>
        </w:tc>
        <w:tc>
          <w:tcPr>
            <w:tcW w:w="111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偏差原因分析及改进措施</w:t>
            </w:r>
          </w:p>
        </w:tc>
      </w:tr>
      <w:tr>
        <w:tblPrEx>
          <w:tblLayout w:type="fixed"/>
          <w:tblCellMar>
            <w:top w:w="0" w:type="dxa"/>
            <w:left w:w="0" w:type="dxa"/>
            <w:bottom w:w="0" w:type="dxa"/>
            <w:right w:w="0" w:type="dxa"/>
          </w:tblCellMar>
        </w:tblPrEx>
        <w:trPr>
          <w:trHeight w:val="331" w:hRule="atLeast"/>
        </w:trPr>
        <w:tc>
          <w:tcPr>
            <w:tcW w:w="693"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81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8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2031" w:type="dxa"/>
            <w:gridSpan w:val="3"/>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7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指标值</w:t>
            </w:r>
          </w:p>
        </w:tc>
        <w:tc>
          <w:tcPr>
            <w:tcW w:w="184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完成值</w:t>
            </w:r>
          </w:p>
        </w:tc>
        <w:tc>
          <w:tcPr>
            <w:tcW w:w="55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553" w:type="dxa"/>
            <w:gridSpan w:val="2"/>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11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r>
      <w:tr>
        <w:tblPrEx>
          <w:tblLayout w:type="fixed"/>
          <w:tblCellMar>
            <w:top w:w="0" w:type="dxa"/>
            <w:left w:w="0" w:type="dxa"/>
            <w:bottom w:w="0" w:type="dxa"/>
            <w:right w:w="0" w:type="dxa"/>
          </w:tblCellMar>
        </w:tblPrEx>
        <w:trPr>
          <w:trHeight w:val="526" w:hRule="atLeast"/>
        </w:trPr>
        <w:tc>
          <w:tcPr>
            <w:tcW w:w="693"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81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产出指标</w:t>
            </w:r>
            <w:r>
              <w:rPr>
                <w:rFonts w:ascii="宋体"/>
                <w:color w:val="000000"/>
                <w:kern w:val="0"/>
                <w:sz w:val="18"/>
                <w:szCs w:val="18"/>
              </w:rPr>
              <w:br w:type="textWrapping"/>
            </w:r>
            <w:r>
              <w:rPr>
                <w:rFonts w:hint="eastAsia" w:ascii="宋体" w:hAnsi="宋体"/>
                <w:color w:val="000000"/>
                <w:kern w:val="0"/>
                <w:sz w:val="18"/>
                <w:szCs w:val="18"/>
              </w:rPr>
              <w:t>（</w:t>
            </w:r>
            <w:r>
              <w:rPr>
                <w:rFonts w:ascii="宋体" w:hAnsi="宋体"/>
                <w:color w:val="000000"/>
                <w:kern w:val="0"/>
                <w:sz w:val="18"/>
                <w:szCs w:val="18"/>
              </w:rPr>
              <w:t>50</w:t>
            </w:r>
            <w:r>
              <w:rPr>
                <w:rFonts w:hint="eastAsia" w:ascii="宋体" w:hAnsi="宋体"/>
                <w:color w:val="000000"/>
                <w:kern w:val="0"/>
                <w:sz w:val="18"/>
                <w:szCs w:val="18"/>
              </w:rPr>
              <w:t>分）</w:t>
            </w:r>
          </w:p>
        </w:tc>
        <w:tc>
          <w:tcPr>
            <w:tcW w:w="8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数量指标</w:t>
            </w:r>
          </w:p>
        </w:tc>
        <w:tc>
          <w:tcPr>
            <w:tcW w:w="203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8"/>
                <w:szCs w:val="18"/>
              </w:rPr>
            </w:pPr>
            <w:r>
              <w:rPr>
                <w:rFonts w:hint="eastAsia" w:ascii="宋体" w:hAnsi="宋体"/>
                <w:color w:val="000000"/>
                <w:kern w:val="0"/>
                <w:sz w:val="18"/>
                <w:szCs w:val="18"/>
              </w:rPr>
              <w:t>指标</w:t>
            </w:r>
            <w:r>
              <w:rPr>
                <w:rFonts w:ascii="宋体" w:hAnsi="宋体"/>
                <w:color w:val="000000"/>
                <w:kern w:val="0"/>
                <w:sz w:val="18"/>
                <w:szCs w:val="18"/>
              </w:rPr>
              <w:t>1</w:t>
            </w:r>
            <w:r>
              <w:rPr>
                <w:rFonts w:hint="eastAsia" w:ascii="宋体" w:hAnsi="宋体"/>
                <w:color w:val="000000"/>
                <w:kern w:val="0"/>
                <w:sz w:val="18"/>
                <w:szCs w:val="18"/>
              </w:rPr>
              <w:t>：完成采购安装变压器</w:t>
            </w:r>
          </w:p>
        </w:tc>
        <w:tc>
          <w:tcPr>
            <w:tcW w:w="7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2</w:t>
            </w:r>
            <w:r>
              <w:rPr>
                <w:rFonts w:hint="eastAsia" w:ascii="宋体" w:hAnsi="宋体"/>
                <w:color w:val="000000"/>
                <w:kern w:val="0"/>
                <w:sz w:val="18"/>
                <w:szCs w:val="18"/>
              </w:rPr>
              <w:t>台</w:t>
            </w:r>
          </w:p>
        </w:tc>
        <w:tc>
          <w:tcPr>
            <w:tcW w:w="184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2</w:t>
            </w:r>
            <w:r>
              <w:rPr>
                <w:rFonts w:hint="eastAsia" w:ascii="宋体" w:hAnsi="宋体"/>
                <w:color w:val="000000"/>
                <w:kern w:val="0"/>
                <w:sz w:val="18"/>
                <w:szCs w:val="18"/>
              </w:rPr>
              <w:t>台</w:t>
            </w:r>
          </w:p>
        </w:tc>
        <w:tc>
          <w:tcPr>
            <w:tcW w:w="5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20</w:t>
            </w:r>
          </w:p>
        </w:tc>
        <w:tc>
          <w:tcPr>
            <w:tcW w:w="55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20</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r>
      <w:tr>
        <w:tblPrEx>
          <w:tblLayout w:type="fixed"/>
          <w:tblCellMar>
            <w:top w:w="0" w:type="dxa"/>
            <w:left w:w="0" w:type="dxa"/>
            <w:bottom w:w="0" w:type="dxa"/>
            <w:right w:w="0" w:type="dxa"/>
          </w:tblCellMar>
        </w:tblPrEx>
        <w:trPr>
          <w:trHeight w:val="543" w:hRule="atLeast"/>
        </w:trPr>
        <w:tc>
          <w:tcPr>
            <w:tcW w:w="693"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81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823"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质量指标</w:t>
            </w:r>
          </w:p>
        </w:tc>
        <w:tc>
          <w:tcPr>
            <w:tcW w:w="203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8"/>
                <w:szCs w:val="18"/>
              </w:rPr>
            </w:pPr>
            <w:r>
              <w:rPr>
                <w:rFonts w:hint="eastAsia" w:ascii="宋体" w:hAnsi="宋体"/>
                <w:color w:val="000000"/>
                <w:kern w:val="0"/>
                <w:sz w:val="18"/>
                <w:szCs w:val="18"/>
              </w:rPr>
              <w:t>指标</w:t>
            </w:r>
            <w:r>
              <w:rPr>
                <w:rFonts w:ascii="宋体" w:hAnsi="宋体"/>
                <w:color w:val="000000"/>
                <w:kern w:val="0"/>
                <w:sz w:val="18"/>
                <w:szCs w:val="18"/>
              </w:rPr>
              <w:t>1</w:t>
            </w:r>
            <w:r>
              <w:rPr>
                <w:rFonts w:hint="eastAsia" w:ascii="宋体" w:hAnsi="宋体"/>
                <w:color w:val="000000"/>
                <w:kern w:val="0"/>
                <w:sz w:val="18"/>
                <w:szCs w:val="18"/>
              </w:rPr>
              <w:t>：年供电稳定天数</w:t>
            </w:r>
          </w:p>
        </w:tc>
        <w:tc>
          <w:tcPr>
            <w:tcW w:w="7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w:t>
            </w:r>
            <w:r>
              <w:rPr>
                <w:rFonts w:ascii="宋体" w:hAnsi="宋体"/>
                <w:color w:val="000000"/>
                <w:kern w:val="0"/>
                <w:sz w:val="18"/>
                <w:szCs w:val="18"/>
              </w:rPr>
              <w:t>360</w:t>
            </w:r>
          </w:p>
        </w:tc>
        <w:tc>
          <w:tcPr>
            <w:tcW w:w="184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365</w:t>
            </w:r>
          </w:p>
        </w:tc>
        <w:tc>
          <w:tcPr>
            <w:tcW w:w="5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55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r>
      <w:tr>
        <w:tblPrEx>
          <w:tblLayout w:type="fixed"/>
          <w:tblCellMar>
            <w:top w:w="0" w:type="dxa"/>
            <w:left w:w="0" w:type="dxa"/>
            <w:bottom w:w="0" w:type="dxa"/>
            <w:right w:w="0" w:type="dxa"/>
          </w:tblCellMar>
        </w:tblPrEx>
        <w:trPr>
          <w:trHeight w:val="504" w:hRule="atLeast"/>
        </w:trPr>
        <w:tc>
          <w:tcPr>
            <w:tcW w:w="693"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81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823"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203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8"/>
                <w:szCs w:val="18"/>
              </w:rPr>
            </w:pPr>
            <w:r>
              <w:rPr>
                <w:rFonts w:hint="eastAsia" w:ascii="宋体" w:hAnsi="宋体"/>
                <w:color w:val="000000"/>
                <w:kern w:val="0"/>
                <w:sz w:val="18"/>
                <w:szCs w:val="18"/>
              </w:rPr>
              <w:t>指标</w:t>
            </w:r>
            <w:r>
              <w:rPr>
                <w:rFonts w:ascii="宋体" w:hAnsi="宋体"/>
                <w:color w:val="000000"/>
                <w:kern w:val="0"/>
                <w:sz w:val="18"/>
                <w:szCs w:val="18"/>
              </w:rPr>
              <w:t>2</w:t>
            </w:r>
            <w:r>
              <w:rPr>
                <w:rFonts w:hint="eastAsia" w:ascii="宋体" w:hAnsi="宋体"/>
                <w:color w:val="000000"/>
                <w:kern w:val="0"/>
                <w:sz w:val="18"/>
                <w:szCs w:val="18"/>
              </w:rPr>
              <w:t>：工程质量合格率</w:t>
            </w:r>
          </w:p>
        </w:tc>
        <w:tc>
          <w:tcPr>
            <w:tcW w:w="7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100%</w:t>
            </w:r>
          </w:p>
        </w:tc>
        <w:tc>
          <w:tcPr>
            <w:tcW w:w="184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100%</w:t>
            </w:r>
          </w:p>
        </w:tc>
        <w:tc>
          <w:tcPr>
            <w:tcW w:w="5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55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r>
      <w:tr>
        <w:tblPrEx>
          <w:tblLayout w:type="fixed"/>
          <w:tblCellMar>
            <w:top w:w="0" w:type="dxa"/>
            <w:left w:w="0" w:type="dxa"/>
            <w:bottom w:w="0" w:type="dxa"/>
            <w:right w:w="0" w:type="dxa"/>
          </w:tblCellMar>
        </w:tblPrEx>
        <w:trPr>
          <w:trHeight w:val="504" w:hRule="atLeast"/>
        </w:trPr>
        <w:tc>
          <w:tcPr>
            <w:tcW w:w="693"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81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8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时效指标</w:t>
            </w:r>
          </w:p>
        </w:tc>
        <w:tc>
          <w:tcPr>
            <w:tcW w:w="203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8"/>
                <w:szCs w:val="18"/>
              </w:rPr>
            </w:pPr>
            <w:r>
              <w:rPr>
                <w:rFonts w:hint="eastAsia" w:ascii="宋体" w:hAnsi="宋体"/>
                <w:color w:val="000000"/>
                <w:kern w:val="0"/>
                <w:sz w:val="18"/>
                <w:szCs w:val="18"/>
              </w:rPr>
              <w:t>指标</w:t>
            </w:r>
            <w:r>
              <w:rPr>
                <w:rFonts w:ascii="宋体" w:hAnsi="宋体"/>
                <w:color w:val="000000"/>
                <w:kern w:val="0"/>
                <w:sz w:val="18"/>
                <w:szCs w:val="18"/>
              </w:rPr>
              <w:t>1</w:t>
            </w:r>
            <w:r>
              <w:rPr>
                <w:rFonts w:hint="eastAsia" w:ascii="宋体" w:hAnsi="宋体"/>
                <w:color w:val="000000"/>
                <w:kern w:val="0"/>
                <w:sz w:val="18"/>
                <w:szCs w:val="18"/>
              </w:rPr>
              <w:t>：工程进度按时完成率</w:t>
            </w:r>
          </w:p>
        </w:tc>
        <w:tc>
          <w:tcPr>
            <w:tcW w:w="7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w:t>
            </w:r>
            <w:r>
              <w:rPr>
                <w:rFonts w:ascii="宋体" w:hAnsi="宋体"/>
                <w:color w:val="000000"/>
                <w:kern w:val="0"/>
                <w:sz w:val="18"/>
                <w:szCs w:val="18"/>
              </w:rPr>
              <w:t>95%</w:t>
            </w:r>
          </w:p>
        </w:tc>
        <w:tc>
          <w:tcPr>
            <w:tcW w:w="184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100%</w:t>
            </w:r>
          </w:p>
        </w:tc>
        <w:tc>
          <w:tcPr>
            <w:tcW w:w="5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55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r>
      <w:tr>
        <w:tblPrEx>
          <w:tblLayout w:type="fixed"/>
          <w:tblCellMar>
            <w:top w:w="0" w:type="dxa"/>
            <w:left w:w="0" w:type="dxa"/>
            <w:bottom w:w="0" w:type="dxa"/>
            <w:right w:w="0" w:type="dxa"/>
          </w:tblCellMar>
        </w:tblPrEx>
        <w:trPr>
          <w:trHeight w:val="331" w:hRule="atLeast"/>
        </w:trPr>
        <w:tc>
          <w:tcPr>
            <w:tcW w:w="693"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81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8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成本指标</w:t>
            </w:r>
          </w:p>
        </w:tc>
        <w:tc>
          <w:tcPr>
            <w:tcW w:w="203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8"/>
                <w:szCs w:val="18"/>
              </w:rPr>
            </w:pPr>
            <w:r>
              <w:rPr>
                <w:rFonts w:hint="eastAsia" w:ascii="宋体" w:hAnsi="宋体"/>
                <w:color w:val="000000"/>
                <w:kern w:val="0"/>
                <w:sz w:val="18"/>
                <w:szCs w:val="18"/>
              </w:rPr>
              <w:t>指标</w:t>
            </w:r>
            <w:r>
              <w:rPr>
                <w:rFonts w:ascii="宋体" w:hAnsi="宋体"/>
                <w:color w:val="000000"/>
                <w:kern w:val="0"/>
                <w:sz w:val="18"/>
                <w:szCs w:val="18"/>
              </w:rPr>
              <w:t>1</w:t>
            </w:r>
            <w:r>
              <w:rPr>
                <w:rFonts w:hint="eastAsia" w:ascii="宋体" w:hAnsi="宋体"/>
                <w:color w:val="000000"/>
                <w:kern w:val="0"/>
                <w:sz w:val="18"/>
                <w:szCs w:val="18"/>
              </w:rPr>
              <w:t>：年度付款额</w:t>
            </w:r>
          </w:p>
        </w:tc>
        <w:tc>
          <w:tcPr>
            <w:tcW w:w="7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45</w:t>
            </w:r>
          </w:p>
        </w:tc>
        <w:tc>
          <w:tcPr>
            <w:tcW w:w="184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45</w:t>
            </w:r>
          </w:p>
        </w:tc>
        <w:tc>
          <w:tcPr>
            <w:tcW w:w="5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55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r>
      <w:tr>
        <w:tblPrEx>
          <w:tblLayout w:type="fixed"/>
          <w:tblCellMar>
            <w:top w:w="0" w:type="dxa"/>
            <w:left w:w="0" w:type="dxa"/>
            <w:bottom w:w="0" w:type="dxa"/>
            <w:right w:w="0" w:type="dxa"/>
          </w:tblCellMar>
        </w:tblPrEx>
        <w:trPr>
          <w:trHeight w:val="504" w:hRule="atLeast"/>
        </w:trPr>
        <w:tc>
          <w:tcPr>
            <w:tcW w:w="693"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810" w:type="dxa"/>
            <w:vMerge w:val="restart"/>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效益指标</w:t>
            </w:r>
            <w:r>
              <w:rPr>
                <w:rFonts w:ascii="宋体"/>
                <w:color w:val="000000"/>
                <w:kern w:val="0"/>
                <w:sz w:val="18"/>
                <w:szCs w:val="18"/>
              </w:rPr>
              <w:br w:type="textWrapping"/>
            </w:r>
            <w:r>
              <w:rPr>
                <w:rFonts w:hint="eastAsia" w:ascii="宋体" w:hAnsi="宋体"/>
                <w:color w:val="000000"/>
                <w:kern w:val="0"/>
                <w:sz w:val="18"/>
                <w:szCs w:val="18"/>
              </w:rPr>
              <w:t>（</w:t>
            </w:r>
            <w:r>
              <w:rPr>
                <w:rFonts w:ascii="宋体" w:hAnsi="宋体"/>
                <w:color w:val="000000"/>
                <w:kern w:val="0"/>
                <w:sz w:val="18"/>
                <w:szCs w:val="18"/>
              </w:rPr>
              <w:t>30</w:t>
            </w:r>
            <w:r>
              <w:rPr>
                <w:rFonts w:hint="eastAsia" w:ascii="宋体" w:hAnsi="宋体"/>
                <w:color w:val="000000"/>
                <w:kern w:val="0"/>
                <w:sz w:val="18"/>
                <w:szCs w:val="18"/>
              </w:rPr>
              <w:t>分）</w:t>
            </w:r>
          </w:p>
        </w:tc>
        <w:tc>
          <w:tcPr>
            <w:tcW w:w="823"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经济效益指标</w:t>
            </w:r>
          </w:p>
        </w:tc>
        <w:tc>
          <w:tcPr>
            <w:tcW w:w="203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8"/>
                <w:szCs w:val="18"/>
              </w:rPr>
            </w:pPr>
            <w:r>
              <w:rPr>
                <w:rFonts w:hint="eastAsia" w:ascii="宋体" w:hAnsi="宋体"/>
                <w:color w:val="000000"/>
                <w:kern w:val="0"/>
                <w:sz w:val="18"/>
                <w:szCs w:val="18"/>
              </w:rPr>
              <w:t>指标</w:t>
            </w:r>
            <w:r>
              <w:rPr>
                <w:rFonts w:ascii="宋体" w:hAnsi="宋体"/>
                <w:color w:val="000000"/>
                <w:kern w:val="0"/>
                <w:sz w:val="18"/>
                <w:szCs w:val="18"/>
              </w:rPr>
              <w:t>1</w:t>
            </w:r>
            <w:r>
              <w:rPr>
                <w:rFonts w:hint="eastAsia" w:ascii="宋体" w:hAnsi="宋体"/>
                <w:color w:val="000000"/>
                <w:kern w:val="0"/>
                <w:sz w:val="18"/>
                <w:szCs w:val="18"/>
              </w:rPr>
              <w:t>：</w:t>
            </w:r>
          </w:p>
        </w:tc>
        <w:tc>
          <w:tcPr>
            <w:tcW w:w="7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84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5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55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r>
      <w:tr>
        <w:tblPrEx>
          <w:tblLayout w:type="fixed"/>
          <w:tblCellMar>
            <w:top w:w="0" w:type="dxa"/>
            <w:left w:w="0" w:type="dxa"/>
            <w:bottom w:w="0" w:type="dxa"/>
            <w:right w:w="0" w:type="dxa"/>
          </w:tblCellMar>
        </w:tblPrEx>
        <w:trPr>
          <w:trHeight w:val="504" w:hRule="atLeast"/>
        </w:trPr>
        <w:tc>
          <w:tcPr>
            <w:tcW w:w="693"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81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823"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社会效益指标</w:t>
            </w:r>
          </w:p>
        </w:tc>
        <w:tc>
          <w:tcPr>
            <w:tcW w:w="203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8"/>
                <w:szCs w:val="18"/>
              </w:rPr>
            </w:pPr>
            <w:r>
              <w:rPr>
                <w:rFonts w:hint="eastAsia" w:ascii="宋体" w:hAnsi="宋体"/>
                <w:color w:val="000000"/>
                <w:kern w:val="0"/>
                <w:sz w:val="18"/>
                <w:szCs w:val="18"/>
              </w:rPr>
              <w:t>指标</w:t>
            </w:r>
            <w:r>
              <w:rPr>
                <w:rFonts w:ascii="宋体" w:hAnsi="宋体"/>
                <w:color w:val="000000"/>
                <w:kern w:val="0"/>
                <w:sz w:val="18"/>
                <w:szCs w:val="18"/>
              </w:rPr>
              <w:t>1</w:t>
            </w:r>
            <w:r>
              <w:rPr>
                <w:rFonts w:hint="eastAsia" w:ascii="宋体" w:hAnsi="宋体"/>
                <w:color w:val="000000"/>
                <w:kern w:val="0"/>
                <w:sz w:val="18"/>
                <w:szCs w:val="18"/>
              </w:rPr>
              <w:t>：牧区居民生活、生产环境</w:t>
            </w:r>
          </w:p>
        </w:tc>
        <w:tc>
          <w:tcPr>
            <w:tcW w:w="7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明显改善</w:t>
            </w:r>
          </w:p>
        </w:tc>
        <w:tc>
          <w:tcPr>
            <w:tcW w:w="184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明显改善</w:t>
            </w:r>
          </w:p>
        </w:tc>
        <w:tc>
          <w:tcPr>
            <w:tcW w:w="5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20</w:t>
            </w:r>
          </w:p>
        </w:tc>
        <w:tc>
          <w:tcPr>
            <w:tcW w:w="55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20</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r>
      <w:tr>
        <w:tblPrEx>
          <w:tblLayout w:type="fixed"/>
          <w:tblCellMar>
            <w:top w:w="0" w:type="dxa"/>
            <w:left w:w="0" w:type="dxa"/>
            <w:bottom w:w="0" w:type="dxa"/>
            <w:right w:w="0" w:type="dxa"/>
          </w:tblCellMar>
        </w:tblPrEx>
        <w:trPr>
          <w:trHeight w:val="677" w:hRule="atLeast"/>
        </w:trPr>
        <w:tc>
          <w:tcPr>
            <w:tcW w:w="693"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81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823"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生态效益指标</w:t>
            </w:r>
          </w:p>
        </w:tc>
        <w:tc>
          <w:tcPr>
            <w:tcW w:w="203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8"/>
                <w:szCs w:val="18"/>
              </w:rPr>
            </w:pPr>
            <w:r>
              <w:rPr>
                <w:rFonts w:hint="eastAsia" w:ascii="宋体" w:hAnsi="宋体"/>
                <w:color w:val="000000"/>
                <w:kern w:val="0"/>
                <w:sz w:val="18"/>
                <w:szCs w:val="18"/>
              </w:rPr>
              <w:t>指标</w:t>
            </w:r>
            <w:r>
              <w:rPr>
                <w:rFonts w:ascii="宋体" w:hAnsi="宋体"/>
                <w:color w:val="000000"/>
                <w:kern w:val="0"/>
                <w:sz w:val="18"/>
                <w:szCs w:val="18"/>
              </w:rPr>
              <w:t>1</w:t>
            </w:r>
            <w:r>
              <w:rPr>
                <w:rFonts w:hint="eastAsia" w:ascii="宋体" w:hAnsi="宋体"/>
                <w:color w:val="000000"/>
                <w:kern w:val="0"/>
                <w:sz w:val="18"/>
                <w:szCs w:val="18"/>
              </w:rPr>
              <w:t>：</w:t>
            </w:r>
          </w:p>
        </w:tc>
        <w:tc>
          <w:tcPr>
            <w:tcW w:w="7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84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5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55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r>
      <w:tr>
        <w:tblPrEx>
          <w:tblLayout w:type="fixed"/>
          <w:tblCellMar>
            <w:top w:w="0" w:type="dxa"/>
            <w:left w:w="0" w:type="dxa"/>
            <w:bottom w:w="0" w:type="dxa"/>
            <w:right w:w="0" w:type="dxa"/>
          </w:tblCellMar>
        </w:tblPrEx>
        <w:trPr>
          <w:trHeight w:val="543" w:hRule="atLeast"/>
        </w:trPr>
        <w:tc>
          <w:tcPr>
            <w:tcW w:w="693"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810" w:type="dxa"/>
            <w:vMerge w:val="continue"/>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8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可持续影响指标</w:t>
            </w:r>
          </w:p>
        </w:tc>
        <w:tc>
          <w:tcPr>
            <w:tcW w:w="203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8"/>
                <w:szCs w:val="18"/>
              </w:rPr>
            </w:pPr>
            <w:r>
              <w:rPr>
                <w:rFonts w:hint="eastAsia" w:ascii="宋体" w:hAnsi="宋体"/>
                <w:color w:val="000000"/>
                <w:kern w:val="0"/>
                <w:sz w:val="18"/>
                <w:szCs w:val="18"/>
              </w:rPr>
              <w:t>指标</w:t>
            </w:r>
            <w:r>
              <w:rPr>
                <w:rFonts w:ascii="宋体" w:hAnsi="宋体"/>
                <w:color w:val="000000"/>
                <w:kern w:val="0"/>
                <w:sz w:val="18"/>
                <w:szCs w:val="18"/>
              </w:rPr>
              <w:t>1</w:t>
            </w:r>
            <w:r>
              <w:rPr>
                <w:rFonts w:hint="eastAsia" w:ascii="宋体" w:hAnsi="宋体"/>
                <w:color w:val="000000"/>
                <w:kern w:val="0"/>
                <w:sz w:val="18"/>
                <w:szCs w:val="18"/>
              </w:rPr>
              <w:t>：使用年限（年）</w:t>
            </w:r>
          </w:p>
        </w:tc>
        <w:tc>
          <w:tcPr>
            <w:tcW w:w="7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15</w:t>
            </w:r>
          </w:p>
        </w:tc>
        <w:tc>
          <w:tcPr>
            <w:tcW w:w="184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15</w:t>
            </w:r>
          </w:p>
        </w:tc>
        <w:tc>
          <w:tcPr>
            <w:tcW w:w="5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55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r>
      <w:tr>
        <w:tblPrEx>
          <w:tblLayout w:type="fixed"/>
          <w:tblCellMar>
            <w:top w:w="0" w:type="dxa"/>
            <w:left w:w="0" w:type="dxa"/>
            <w:bottom w:w="0" w:type="dxa"/>
            <w:right w:w="0" w:type="dxa"/>
          </w:tblCellMar>
        </w:tblPrEx>
        <w:trPr>
          <w:trHeight w:val="831" w:hRule="atLeast"/>
        </w:trPr>
        <w:tc>
          <w:tcPr>
            <w:tcW w:w="693" w:type="dxa"/>
            <w:vMerge w:val="continue"/>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rPr>
                <w:rFonts w:ascii="宋体"/>
                <w:color w:val="000000"/>
                <w:sz w:val="18"/>
                <w:szCs w:val="18"/>
              </w:rPr>
            </w:pPr>
          </w:p>
        </w:tc>
        <w:tc>
          <w:tcPr>
            <w:tcW w:w="810" w:type="dxa"/>
            <w:tcBorders>
              <w:top w:val="single" w:color="000000" w:sz="4" w:space="0"/>
              <w:left w:val="single" w:color="000000" w:sz="4" w:space="0"/>
              <w:bottom w:val="nil"/>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满意度指标（</w:t>
            </w:r>
            <w:r>
              <w:rPr>
                <w:rFonts w:ascii="宋体" w:hAnsi="宋体"/>
                <w:color w:val="000000"/>
                <w:kern w:val="0"/>
                <w:sz w:val="18"/>
                <w:szCs w:val="18"/>
              </w:rPr>
              <w:t>10</w:t>
            </w:r>
            <w:r>
              <w:rPr>
                <w:rFonts w:hint="eastAsia" w:ascii="宋体" w:hAnsi="宋体"/>
                <w:color w:val="000000"/>
                <w:kern w:val="0"/>
                <w:sz w:val="18"/>
                <w:szCs w:val="18"/>
              </w:rPr>
              <w:t>分）</w:t>
            </w:r>
          </w:p>
        </w:tc>
        <w:tc>
          <w:tcPr>
            <w:tcW w:w="82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服务对象满意度指标</w:t>
            </w:r>
          </w:p>
        </w:tc>
        <w:tc>
          <w:tcPr>
            <w:tcW w:w="2031" w:type="dxa"/>
            <w:gridSpan w:val="3"/>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left"/>
              <w:textAlignment w:val="center"/>
              <w:rPr>
                <w:rFonts w:ascii="宋体"/>
                <w:color w:val="000000"/>
                <w:sz w:val="18"/>
                <w:szCs w:val="18"/>
              </w:rPr>
            </w:pPr>
            <w:r>
              <w:rPr>
                <w:rFonts w:hint="eastAsia" w:ascii="宋体" w:hAnsi="宋体"/>
                <w:color w:val="000000"/>
                <w:kern w:val="0"/>
                <w:sz w:val="18"/>
                <w:szCs w:val="18"/>
              </w:rPr>
              <w:t>指标</w:t>
            </w:r>
            <w:r>
              <w:rPr>
                <w:rFonts w:ascii="宋体" w:hAnsi="宋体"/>
                <w:color w:val="000000"/>
                <w:kern w:val="0"/>
                <w:sz w:val="18"/>
                <w:szCs w:val="18"/>
              </w:rPr>
              <w:t>1</w:t>
            </w:r>
            <w:r>
              <w:rPr>
                <w:rFonts w:hint="eastAsia" w:ascii="宋体" w:hAnsi="宋体"/>
                <w:color w:val="000000"/>
                <w:kern w:val="0"/>
                <w:sz w:val="18"/>
                <w:szCs w:val="18"/>
              </w:rPr>
              <w:t>：服务对象满意度</w:t>
            </w:r>
          </w:p>
        </w:tc>
        <w:tc>
          <w:tcPr>
            <w:tcW w:w="71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w:t>
            </w:r>
            <w:r>
              <w:rPr>
                <w:rFonts w:ascii="宋体" w:hAnsi="宋体"/>
                <w:color w:val="000000"/>
                <w:kern w:val="0"/>
                <w:sz w:val="18"/>
                <w:szCs w:val="18"/>
              </w:rPr>
              <w:t>95%</w:t>
            </w:r>
          </w:p>
        </w:tc>
        <w:tc>
          <w:tcPr>
            <w:tcW w:w="1848"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95%</w:t>
            </w:r>
          </w:p>
        </w:tc>
        <w:tc>
          <w:tcPr>
            <w:tcW w:w="5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55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r>
      <w:tr>
        <w:tblPrEx>
          <w:tblLayout w:type="fixed"/>
          <w:tblCellMar>
            <w:top w:w="0" w:type="dxa"/>
            <w:left w:w="0" w:type="dxa"/>
            <w:bottom w:w="0" w:type="dxa"/>
            <w:right w:w="0" w:type="dxa"/>
          </w:tblCellMar>
        </w:tblPrEx>
        <w:trPr>
          <w:trHeight w:val="342" w:hRule="atLeast"/>
        </w:trPr>
        <w:tc>
          <w:tcPr>
            <w:tcW w:w="6919" w:type="dxa"/>
            <w:gridSpan w:val="9"/>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hint="eastAsia" w:ascii="宋体" w:hAnsi="宋体"/>
                <w:color w:val="000000"/>
                <w:kern w:val="0"/>
                <w:sz w:val="18"/>
                <w:szCs w:val="18"/>
              </w:rPr>
              <w:t>总分</w:t>
            </w:r>
          </w:p>
        </w:tc>
        <w:tc>
          <w:tcPr>
            <w:tcW w:w="55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100</w:t>
            </w:r>
          </w:p>
        </w:tc>
        <w:tc>
          <w:tcPr>
            <w:tcW w:w="553"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textAlignment w:val="center"/>
              <w:rPr>
                <w:rFonts w:ascii="宋体"/>
                <w:color w:val="000000"/>
                <w:sz w:val="18"/>
                <w:szCs w:val="18"/>
              </w:rPr>
            </w:pPr>
            <w:r>
              <w:rPr>
                <w:rFonts w:ascii="宋体" w:hAnsi="宋体"/>
                <w:color w:val="000000"/>
                <w:kern w:val="0"/>
                <w:sz w:val="18"/>
                <w:szCs w:val="18"/>
              </w:rPr>
              <w:t>100</w:t>
            </w:r>
          </w:p>
        </w:tc>
        <w:tc>
          <w:tcPr>
            <w:tcW w:w="111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ascii="宋体"/>
                <w:color w:val="000000"/>
                <w:sz w:val="18"/>
                <w:szCs w:val="18"/>
              </w:rPr>
            </w:pPr>
          </w:p>
        </w:tc>
      </w:tr>
    </w:tbl>
    <w:p>
      <w:pPr>
        <w:spacing w:line="600" w:lineRule="exact"/>
        <w:ind w:firstLine="640"/>
        <w:rPr>
          <w:rFonts w:ascii="仿宋_GB2312" w:hAnsi="仿宋_GB2312" w:eastAsia="仿宋_GB2312"/>
          <w:sz w:val="32"/>
          <w:szCs w:val="24"/>
        </w:rPr>
      </w:pPr>
    </w:p>
    <w:p>
      <w:pPr>
        <w:keepNext/>
        <w:keepLines/>
        <w:ind w:firstLine="640"/>
        <w:rPr>
          <w:rFonts w:ascii="仿宋_GB2312" w:hAnsi="仿宋_GB2312" w:eastAsia="仿宋_GB2312"/>
          <w:sz w:val="32"/>
          <w:szCs w:val="24"/>
        </w:rPr>
      </w:pPr>
    </w:p>
    <w:p>
      <w:pPr>
        <w:keepNext/>
        <w:keepLines/>
        <w:ind w:firstLine="640"/>
        <w:jc w:val="center"/>
        <w:rPr>
          <w:rFonts w:ascii="黑体" w:hAnsi="黑体" w:eastAsia="黑体"/>
          <w:sz w:val="32"/>
          <w:szCs w:val="24"/>
        </w:rPr>
      </w:pPr>
      <w:r>
        <w:rPr>
          <w:rFonts w:hint="eastAsia" w:ascii="黑体" w:hAnsi="黑体" w:eastAsia="黑体"/>
          <w:sz w:val="32"/>
          <w:szCs w:val="24"/>
        </w:rPr>
        <w:t>第三部分专业名词解释</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财政拨款收入：指同级财政当年拨付的资金。</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上级补助收入：指事业单位从主管部门和上级单位取得的非财政补助收入。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事业收入：指事业单位开展专业业务活动及其辅助活动所取得的收入。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经营收入：指事业单位在专业业务活动及其辅助活动之外开展非独立核算经营活动取得的收入。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附属单位上缴收入：指事业单位附属的独立核算单位按有关规定上缴的收入。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其他收入：指除上述“财政拨款收入”、“事业收入”、“经营收入”、“附属单位上缴收入”等之外取得的收入。</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年初结转和结余：指以前年度支出预算因客观条件变化未执行完毕、结转到本年度按有关规定继续使用的资金，既包括财政拨款结转和结余，也包括事业收入、经营收入、其他收入的结转和结余。</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基本支出：指为保障机构正常运转、完成日常工作任务而发生的人员支出和公用支出。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项目支出：指在基本支出之外为完成特定行政任务和事业发展目标所发生的支出。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经营支出：指事业单位在专业业务活动及其辅助活动之外开展非独立核算经营活动发生的支出。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对附属单位补助支出：指事业单位发生的用非财政预算资金对附属单位的补助支出。</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600" w:lineRule="exact"/>
        <w:ind w:firstLine="640"/>
        <w:rPr>
          <w:rFonts w:ascii="仿宋_GB2312" w:hAnsi="仿宋_GB2312" w:eastAsia="仿宋_GB2312"/>
          <w:sz w:val="32"/>
          <w:szCs w:val="24"/>
        </w:rPr>
      </w:pPr>
      <w:r>
        <w:rPr>
          <w:rFonts w:hint="eastAsia" w:ascii="仿宋_GB2312" w:hAnsi="仿宋_GB2312" w:eastAsia="仿宋_GB2312"/>
          <w:sz w:val="32"/>
          <w:szCs w:val="24"/>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600" w:lineRule="exact"/>
        <w:ind w:firstLine="640"/>
        <w:rPr>
          <w:rFonts w:ascii="仿宋_GB2312" w:hAnsi="仿宋_GB2312" w:eastAsia="仿宋_GB2312"/>
          <w:sz w:val="32"/>
          <w:szCs w:val="24"/>
        </w:rPr>
      </w:pPr>
    </w:p>
    <w:p>
      <w:pPr>
        <w:spacing w:line="600" w:lineRule="exact"/>
        <w:ind w:firstLine="640"/>
        <w:jc w:val="center"/>
        <w:rPr>
          <w:rFonts w:ascii="黑体" w:hAnsi="黑体" w:eastAsia="黑体"/>
          <w:sz w:val="32"/>
          <w:szCs w:val="24"/>
        </w:rPr>
      </w:pPr>
      <w:r>
        <w:rPr>
          <w:rFonts w:hint="eastAsia" w:ascii="黑体" w:hAnsi="黑体" w:eastAsia="黑体"/>
          <w:sz w:val="32"/>
          <w:szCs w:val="24"/>
        </w:rPr>
        <w:t>第四部分部门决算报表（见附表）</w:t>
      </w:r>
    </w:p>
    <w:p>
      <w:pPr>
        <w:spacing w:line="600" w:lineRule="exact"/>
        <w:ind w:firstLine="640"/>
        <w:rPr>
          <w:rFonts w:ascii="黑体" w:hAnsi="黑体" w:eastAsia="黑体"/>
          <w:sz w:val="32"/>
          <w:szCs w:val="24"/>
        </w:rPr>
      </w:pPr>
      <w:r>
        <w:rPr>
          <w:rFonts w:hint="eastAsia" w:ascii="黑体" w:hAnsi="黑体" w:eastAsia="黑体"/>
          <w:sz w:val="32"/>
          <w:szCs w:val="24"/>
        </w:rPr>
        <w:t>一、《收入支出决算总表》</w:t>
      </w:r>
    </w:p>
    <w:p>
      <w:pPr>
        <w:spacing w:line="600" w:lineRule="exact"/>
        <w:ind w:firstLine="640"/>
        <w:rPr>
          <w:rFonts w:ascii="黑体" w:hAnsi="黑体" w:eastAsia="黑体"/>
          <w:sz w:val="32"/>
          <w:szCs w:val="24"/>
        </w:rPr>
      </w:pPr>
      <w:r>
        <w:rPr>
          <w:rFonts w:hint="eastAsia" w:ascii="黑体" w:hAnsi="黑体" w:eastAsia="黑体"/>
          <w:sz w:val="32"/>
          <w:szCs w:val="24"/>
        </w:rPr>
        <w:t>二、《收入决算表》</w:t>
      </w:r>
    </w:p>
    <w:p>
      <w:pPr>
        <w:spacing w:line="600" w:lineRule="exact"/>
        <w:ind w:firstLine="640"/>
        <w:rPr>
          <w:rFonts w:ascii="黑体" w:hAnsi="黑体" w:eastAsia="黑体"/>
          <w:sz w:val="32"/>
          <w:szCs w:val="24"/>
        </w:rPr>
      </w:pPr>
      <w:r>
        <w:rPr>
          <w:rFonts w:hint="eastAsia" w:ascii="黑体" w:hAnsi="黑体" w:eastAsia="黑体"/>
          <w:sz w:val="32"/>
          <w:szCs w:val="24"/>
        </w:rPr>
        <w:t>三、《支出决算表》</w:t>
      </w:r>
    </w:p>
    <w:p>
      <w:pPr>
        <w:spacing w:line="600" w:lineRule="exact"/>
        <w:ind w:firstLine="640"/>
        <w:rPr>
          <w:rFonts w:ascii="黑体" w:hAnsi="黑体" w:eastAsia="黑体"/>
          <w:sz w:val="32"/>
          <w:szCs w:val="24"/>
        </w:rPr>
      </w:pPr>
      <w:r>
        <w:rPr>
          <w:rFonts w:hint="eastAsia" w:ascii="黑体" w:hAnsi="黑体" w:eastAsia="黑体"/>
          <w:sz w:val="32"/>
          <w:szCs w:val="24"/>
        </w:rPr>
        <w:t>四、《财政拨款收入支出决算总表》</w:t>
      </w:r>
    </w:p>
    <w:p>
      <w:pPr>
        <w:spacing w:line="600" w:lineRule="exact"/>
        <w:ind w:firstLine="640"/>
        <w:rPr>
          <w:rFonts w:ascii="黑体" w:hAnsi="黑体" w:eastAsia="黑体"/>
          <w:sz w:val="32"/>
          <w:szCs w:val="24"/>
        </w:rPr>
      </w:pPr>
      <w:r>
        <w:rPr>
          <w:rFonts w:hint="eastAsia" w:ascii="黑体" w:hAnsi="黑体" w:eastAsia="黑体"/>
          <w:sz w:val="32"/>
          <w:szCs w:val="24"/>
        </w:rPr>
        <w:t>五、《一般公共预算财政拨款支出决算表》</w:t>
      </w:r>
    </w:p>
    <w:p>
      <w:pPr>
        <w:spacing w:line="600" w:lineRule="exact"/>
        <w:ind w:firstLine="640"/>
        <w:rPr>
          <w:rFonts w:ascii="黑体" w:hAnsi="黑体" w:eastAsia="黑体"/>
          <w:sz w:val="32"/>
          <w:szCs w:val="24"/>
        </w:rPr>
      </w:pPr>
      <w:r>
        <w:rPr>
          <w:rFonts w:hint="eastAsia" w:ascii="黑体" w:hAnsi="黑体" w:eastAsia="黑体"/>
          <w:sz w:val="32"/>
          <w:szCs w:val="24"/>
        </w:rPr>
        <w:t>六、《一般公共预算财政拨款基本支出决算表》</w:t>
      </w:r>
    </w:p>
    <w:p>
      <w:pPr>
        <w:spacing w:line="600" w:lineRule="exact"/>
        <w:ind w:firstLine="640"/>
        <w:rPr>
          <w:rFonts w:ascii="黑体" w:hAnsi="黑体" w:eastAsia="黑体"/>
          <w:sz w:val="32"/>
          <w:szCs w:val="24"/>
        </w:rPr>
      </w:pPr>
      <w:r>
        <w:rPr>
          <w:rFonts w:hint="eastAsia" w:ascii="黑体" w:hAnsi="黑体" w:eastAsia="黑体"/>
          <w:sz w:val="32"/>
          <w:szCs w:val="24"/>
        </w:rPr>
        <w:t>七、《一般公共预算财政拨款“三公”经费支出决算表》</w:t>
      </w:r>
    </w:p>
    <w:p>
      <w:pPr>
        <w:spacing w:line="600" w:lineRule="exact"/>
        <w:ind w:firstLine="640"/>
        <w:rPr>
          <w:rFonts w:ascii="黑体" w:hAnsi="黑体" w:eastAsia="黑体"/>
          <w:sz w:val="32"/>
          <w:szCs w:val="24"/>
        </w:rPr>
      </w:pPr>
      <w:r>
        <w:rPr>
          <w:rFonts w:hint="eastAsia" w:ascii="黑体" w:hAnsi="黑体" w:eastAsia="黑体"/>
          <w:sz w:val="32"/>
          <w:szCs w:val="24"/>
        </w:rPr>
        <w:t>八、《政府性基金预算财政拨款收入支出决算表》</w:t>
      </w:r>
    </w:p>
    <w:p>
      <w:pPr>
        <w:spacing w:line="600" w:lineRule="exact"/>
        <w:ind w:firstLine="640"/>
        <w:rPr>
          <w:rFonts w:ascii="黑体" w:hAnsi="黑体" w:eastAsia="黑体"/>
          <w:sz w:val="32"/>
          <w:szCs w:val="24"/>
        </w:rPr>
      </w:pPr>
      <w:r>
        <w:rPr>
          <w:rFonts w:hint="eastAsia" w:ascii="黑体" w:hAnsi="黑体" w:eastAsia="黑体"/>
          <w:sz w:val="32"/>
          <w:szCs w:val="24"/>
        </w:rPr>
        <w:t>九、《国有资本经营预算财政拨款收入支出决算表》</w:t>
      </w:r>
      <w:r>
        <w:rPr>
          <w:rFonts w:hint="eastAsia" w:ascii="黑体" w:hAnsi="黑体" w:eastAsia="黑体"/>
          <w:kern w:val="0"/>
          <w:sz w:val="32"/>
          <w:szCs w:val="24"/>
        </w:rPr>
        <w:t>此表为空表</w:t>
      </w:r>
    </w:p>
    <w:p>
      <w:pPr>
        <w:keepNext/>
        <w:keepLines/>
        <w:ind w:firstLine="640"/>
        <w:rPr>
          <w:rFonts w:ascii="黑体" w:hAnsi="黑体" w:eastAsia="黑体"/>
          <w:kern w:val="0"/>
          <w:sz w:val="32"/>
          <w:szCs w:val="24"/>
        </w:rPr>
      </w:pPr>
    </w:p>
    <w:p>
      <w:pPr>
        <w:jc w:val="left"/>
        <w:rPr>
          <w:rFonts w:ascii="黑体" w:hAnsi="黑体" w:eastAsia="黑体"/>
          <w:sz w:val="32"/>
          <w:szCs w:val="24"/>
        </w:rPr>
      </w:pP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noLineBreaksAfter w:lang="zh-CN" w:val="([{·‘“〈《「『【〔〖（．［｛￡￥"/>
  <w:noLineBreaksBefore w:lang="zh-CN" w:val="!),.:;?]}¨·ˇˉ―‖’”…∶、。〃々〉》」』】〕〗！＂＇），．：；？］｀｜｝～￠"/>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2"/>
  </w:compat>
  <w:rsids>
    <w:rsidRoot w:val="000603C0"/>
    <w:rsid w:val="000603C0"/>
    <w:rsid w:val="000D677F"/>
    <w:rsid w:val="000E426B"/>
    <w:rsid w:val="000F70CC"/>
    <w:rsid w:val="002D1F7E"/>
    <w:rsid w:val="004D709A"/>
    <w:rsid w:val="00671B22"/>
    <w:rsid w:val="0070217F"/>
    <w:rsid w:val="00784875"/>
    <w:rsid w:val="007A6380"/>
    <w:rsid w:val="00856005"/>
    <w:rsid w:val="00954354"/>
    <w:rsid w:val="00A926DE"/>
    <w:rsid w:val="00AA4541"/>
    <w:rsid w:val="00AC085A"/>
    <w:rsid w:val="00BE680C"/>
    <w:rsid w:val="00C34C6A"/>
    <w:rsid w:val="00C80D51"/>
    <w:rsid w:val="00D707B8"/>
    <w:rsid w:val="00D753FD"/>
    <w:rsid w:val="00DD6D00"/>
    <w:rsid w:val="00DF28ED"/>
    <w:rsid w:val="00E918C1"/>
    <w:rsid w:val="295F0D0C"/>
    <w:rsid w:val="38DF1559"/>
    <w:rsid w:val="3A4346B4"/>
    <w:rsid w:val="7A8A63EE"/>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9" w:name="heading 2"/>
    <w:lsdException w:qFormat="1" w:uiPriority="99" w:name="heading 3"/>
    <w:lsdException w:qFormat="1" w:uiPriority="99" w:name="heading 4"/>
    <w:lsdException w:qFormat="1" w:uiPriority="99" w:name="heading 5"/>
    <w:lsdException w:qFormat="1" w:uiPriority="99" w:name="heading 6"/>
    <w:lsdException w:qFormat="1" w:uiPriority="99" w:name="heading 7"/>
    <w:lsdException w:qFormat="1" w:uiPriority="99" w:name="heading 8"/>
    <w:lsdException w:qFormat="1" w:uiPriority="99" w:name="heading 9"/>
    <w:lsdException w:qFormat="1" w:unhideWhenUsed="0" w:uiPriority="99" w:semiHidden="0" w:name="index 1"/>
    <w:lsdException w:qFormat="1" w:unhideWhenUsed="0" w:uiPriority="99" w:semiHidden="0" w:name="index 2"/>
    <w:lsdException w:qFormat="1" w:unhideWhenUsed="0" w:uiPriority="99" w:semiHidden="0" w:name="index 3"/>
    <w:lsdException w:qFormat="1" w:unhideWhenUsed="0" w:uiPriority="99" w:semiHidden="0" w:name="index 4"/>
    <w:lsdException w:qFormat="1" w:unhideWhenUsed="0" w:uiPriority="99" w:semiHidden="0" w:name="index 5"/>
    <w:lsdException w:qFormat="1" w:unhideWhenUsed="0" w:uiPriority="99" w:semiHidden="0" w:name="index 6"/>
    <w:lsdException w:qFormat="1" w:unhideWhenUsed="0" w:uiPriority="99" w:semiHidden="0" w:name="index 7"/>
    <w:lsdException w:qFormat="1" w:unhideWhenUsed="0" w:uiPriority="99" w:semiHidden="0" w:name="index 8"/>
    <w:lsdException w:qFormat="1" w:unhideWhenUsed="0" w:uiPriority="99"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qFormat="1" w:unhideWhenUsed="0" w:uiPriority="99" w:semiHidden="0" w:name="Normal Indent"/>
    <w:lsdException w:qFormat="1" w:unhideWhenUsed="0" w:uiPriority="99"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99" w:semiHidden="0" w:name="index heading"/>
    <w:lsdException w:qFormat="1" w:uiPriority="99" w:name="caption"/>
    <w:lsdException w:qFormat="1" w:unhideWhenUsed="0" w:uiPriority="99" w:semiHidden="0" w:name="table of figures"/>
    <w:lsdException w:qFormat="1" w:unhideWhenUsed="0" w:uiPriority="99" w:semiHidden="0" w:name="envelope address"/>
    <w:lsdException w:qFormat="1" w:unhideWhenUsed="0" w:uiPriority="99" w:semiHidden="0" w:name="envelope return"/>
    <w:lsdException w:qFormat="1" w:unhideWhenUsed="0" w:uiPriority="99" w:semiHidden="0" w:name="footnote reference"/>
    <w:lsdException w:qFormat="1" w:unhideWhenUsed="0" w:uiPriority="99" w:semiHidden="0" w:name="annotation reference"/>
    <w:lsdException w:qFormat="1" w:unhideWhenUsed="0" w:uiPriority="99" w:semiHidden="0" w:name="line number"/>
    <w:lsdException w:qFormat="1" w:unhideWhenUsed="0" w:uiPriority="99" w:semiHidden="0" w:name="page number"/>
    <w:lsdException w:qFormat="1" w:unhideWhenUsed="0" w:uiPriority="99" w:semiHidden="0" w:name="endnote reference"/>
    <w:lsdException w:qFormat="1" w:unhideWhenUsed="0" w:uiPriority="99" w:semiHidden="0" w:name="endnote text"/>
    <w:lsdException w:qFormat="1" w:unhideWhenUsed="0" w:uiPriority="99" w:semiHidden="0" w:name="table of authorities"/>
    <w:lsdException w:qFormat="1" w:unhideWhenUsed="0" w:uiPriority="99" w:semiHidden="0" w:name="macro"/>
    <w:lsdException w:qFormat="1" w:unhideWhenUsed="0" w:uiPriority="99" w:semiHidden="0" w:name="toa heading"/>
    <w:lsdException w:qFormat="1" w:unhideWhenUsed="0" w:uiPriority="99" w:semiHidden="0" w:name="List"/>
    <w:lsdException w:qFormat="1" w:unhideWhenUsed="0" w:uiPriority="99" w:semiHidden="0" w:name="List Bullet"/>
    <w:lsdException w:qFormat="1" w:unhideWhenUsed="0" w:uiPriority="99" w:semiHidden="0" w:name="List Number"/>
    <w:lsdException w:qFormat="1" w:unhideWhenUsed="0" w:uiPriority="99" w:semiHidden="0" w:name="List 2"/>
    <w:lsdException w:qFormat="1" w:unhideWhenUsed="0" w:uiPriority="99" w:semiHidden="0" w:name="List 3"/>
    <w:lsdException w:qFormat="1" w:unhideWhenUsed="0" w:uiPriority="99" w:semiHidden="0" w:name="List 4"/>
    <w:lsdException w:qFormat="1" w:unhideWhenUsed="0" w:uiPriority="99" w:semiHidden="0" w:name="List 5"/>
    <w:lsdException w:qFormat="1" w:unhideWhenUsed="0" w:uiPriority="99" w:semiHidden="0" w:name="List Bullet 2"/>
    <w:lsdException w:qFormat="1" w:unhideWhenUsed="0" w:uiPriority="99" w:semiHidden="0" w:name="List Bullet 3"/>
    <w:lsdException w:qFormat="1" w:unhideWhenUsed="0" w:uiPriority="99" w:semiHidden="0" w:name="List Bullet 4"/>
    <w:lsdException w:qFormat="1" w:unhideWhenUsed="0" w:uiPriority="99" w:semiHidden="0" w:name="List Bullet 5"/>
    <w:lsdException w:qFormat="1" w:unhideWhenUsed="0" w:uiPriority="99" w:semiHidden="0" w:name="List Number 2"/>
    <w:lsdException w:qFormat="1" w:unhideWhenUsed="0" w:uiPriority="99" w:semiHidden="0" w:name="List Number 3"/>
    <w:lsdException w:qFormat="1" w:unhideWhenUsed="0" w:uiPriority="99" w:semiHidden="0" w:name="List Number 4"/>
    <w:lsdException w:qFormat="1" w:unhideWhenUsed="0" w:uiPriority="99" w:semiHidden="0" w:name="List Number 5"/>
    <w:lsdException w:qFormat="1" w:unhideWhenUsed="0" w:uiPriority="99" w:semiHidden="0" w:name="Title"/>
    <w:lsdException w:qFormat="1" w:unhideWhenUsed="0" w:uiPriority="99" w:semiHidden="0" w:name="Closing"/>
    <w:lsdException w:qFormat="1" w:unhideWhenUsed="0" w:uiPriority="99" w:semiHidden="0" w:name="Signature"/>
    <w:lsdException w:uiPriority="1" w:name="Default Paragraph Font"/>
    <w:lsdException w:qFormat="1" w:unhideWhenUsed="0" w:uiPriority="99" w:semiHidden="0" w:name="Body Text"/>
    <w:lsdException w:qFormat="1" w:unhideWhenUsed="0" w:uiPriority="99" w:semiHidden="0" w:name="Body Text Indent"/>
    <w:lsdException w:qFormat="1" w:unhideWhenUsed="0" w:uiPriority="99" w:semiHidden="0" w:name="List Continue"/>
    <w:lsdException w:qFormat="1" w:unhideWhenUsed="0" w:uiPriority="99" w:semiHidden="0" w:name="List Continue 2"/>
    <w:lsdException w:qFormat="1" w:unhideWhenUsed="0" w:uiPriority="99" w:semiHidden="0" w:name="List Continue 3"/>
    <w:lsdException w:qFormat="1" w:unhideWhenUsed="0" w:uiPriority="99" w:semiHidden="0" w:name="List Continue 4"/>
    <w:lsdException w:qFormat="1" w:unhideWhenUsed="0" w:uiPriority="99" w:semiHidden="0" w:name="List Continue 5"/>
    <w:lsdException w:qFormat="1" w:unhideWhenUsed="0" w:uiPriority="99" w:semiHidden="0" w:name="Message Header"/>
    <w:lsdException w:qFormat="1" w:unhideWhenUsed="0" w:uiPriority="99" w:semiHidden="0" w:name="Subtitle"/>
    <w:lsdException w:qFormat="1" w:unhideWhenUsed="0" w:uiPriority="99" w:semiHidden="0" w:name="Salutation"/>
    <w:lsdException w:qFormat="1" w:unhideWhenUsed="0" w:uiPriority="99" w:semiHidden="0" w:name="Date"/>
    <w:lsdException w:qFormat="1" w:unhideWhenUsed="0" w:uiPriority="99" w:semiHidden="0" w:name="Body Text First Indent"/>
    <w:lsdException w:qFormat="1" w:unhideWhenUsed="0" w:uiPriority="99" w:semiHidden="0" w:name="Body Text First Indent 2"/>
    <w:lsdException w:qFormat="1" w:unhideWhenUsed="0" w:uiPriority="99" w:semiHidden="0" w:name="Note Heading"/>
    <w:lsdException w:qFormat="1" w:unhideWhenUsed="0" w:uiPriority="99" w:semiHidden="0" w:name="Body Text 2"/>
    <w:lsdException w:qFormat="1" w:unhideWhenUsed="0" w:uiPriority="99" w:semiHidden="0" w:name="Body Text 3"/>
    <w:lsdException w:qFormat="1" w:unhideWhenUsed="0" w:uiPriority="99" w:semiHidden="0" w:name="Body Text Indent 2"/>
    <w:lsdException w:qFormat="1" w:unhideWhenUsed="0" w:uiPriority="99" w:semiHidden="0" w:name="Body Text Indent 3"/>
    <w:lsdException w:qFormat="1" w:unhideWhenUsed="0" w:uiPriority="99" w:semiHidden="0" w:name="Block Text"/>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99" w:semiHidden="0" w:name="Emphasis"/>
    <w:lsdException w:qFormat="1" w:unhideWhenUsed="0" w:uiPriority="99" w:semiHidden="0" w:name="Document Map"/>
    <w:lsdException w:qFormat="1" w:unhideWhenUsed="0" w:uiPriority="99" w:semiHidden="0" w:name="Plain Text"/>
    <w:lsdException w:qFormat="1" w:unhideWhenUsed="0" w:uiPriority="99" w:semiHidden="0" w:name="E-mail Signature"/>
    <w:lsdException w:qFormat="1" w:unhideWhenUsed="0" w:uiPriority="99" w:semiHidden="0" w:name="Normal (Web)"/>
    <w:lsdException w:qFormat="1" w:unhideWhenUsed="0" w:uiPriority="99" w:semiHidden="0" w:name="HTML Acronym"/>
    <w:lsdException w:qFormat="1" w:unhideWhenUsed="0" w:uiPriority="99" w:semiHidden="0"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qFormat="1" w:unhideWhenUsed="0" w:uiPriority="99" w:semiHidden="0" w:name="HTML Keyboard"/>
    <w:lsdException w:qFormat="1" w:unhideWhenUsed="0" w:uiPriority="99" w:semiHidden="0" w:name="HTML Preformatted"/>
    <w:lsdException w:qFormat="1" w:unhideWhenUsed="0" w:uiPriority="99" w:semiHidden="0" w:name="HTML Sample"/>
    <w:lsdException w:qFormat="1" w:unhideWhenUsed="0" w:uiPriority="99" w:semiHidden="0" w:name="HTML Typewriter"/>
    <w:lsdException w:qFormat="1" w:unhideWhenUsed="0" w:uiPriority="99" w:semiHidden="0" w:name="HTML Variable"/>
    <w:lsdException w:qFormat="1" w:uiPriority="99" w:name="Normal Table"/>
    <w:lsdException w:qFormat="1" w:unhideWhenUsed="0" w:uiPriority="99" w:semiHidden="0" w:name="annotation subject"/>
    <w:lsdException w:qFormat="1" w:uiPriority="99" w:name="Table Simple 1"/>
    <w:lsdException w:qFormat="1" w:uiPriority="99" w:name="Table Simple 2"/>
    <w:lsdException w:qFormat="1" w:uiPriority="99" w:name="Table Simple 3"/>
    <w:lsdException w:qFormat="1" w:uiPriority="99" w:name="Table Classic 1"/>
    <w:lsdException w:qFormat="1" w:uiPriority="99" w:name="Table Classic 2"/>
    <w:lsdException w:qFormat="1" w:uiPriority="99" w:name="Table Classic 3"/>
    <w:lsdException w:qFormat="1" w:uiPriority="99" w:name="Table Classic 4"/>
    <w:lsdException w:qFormat="1" w:uiPriority="99" w:name="Table Colorful 1"/>
    <w:lsdException w:qFormat="1" w:uiPriority="99" w:name="Table Colorful 2"/>
    <w:lsdException w:qFormat="1" w:uiPriority="99" w:name="Table Colorful 3"/>
    <w:lsdException w:qFormat="1" w:uiPriority="99" w:name="Table Columns 1"/>
    <w:lsdException w:qFormat="1" w:uiPriority="99" w:name="Table Columns 2"/>
    <w:lsdException w:qFormat="1" w:uiPriority="99" w:name="Table Columns 3"/>
    <w:lsdException w:qFormat="1" w:uiPriority="99" w:name="Table Columns 4"/>
    <w:lsdException w:qFormat="1" w:uiPriority="99" w:name="Table Columns 5"/>
    <w:lsdException w:qFormat="1" w:uiPriority="99" w:name="Table Grid 1"/>
    <w:lsdException w:qFormat="1" w:uiPriority="99" w:name="Table Grid 2"/>
    <w:lsdException w:qFormat="1" w:uiPriority="99" w:name="Table Grid 3"/>
    <w:lsdException w:qFormat="1" w:uiPriority="99" w:name="Table Grid 4"/>
    <w:lsdException w:qFormat="1" w:uiPriority="99" w:name="Table Grid 5"/>
    <w:lsdException w:qFormat="1" w:uiPriority="99" w:name="Table Grid 6"/>
    <w:lsdException w:qFormat="1" w:uiPriority="99" w:name="Table Grid 7"/>
    <w:lsdException w:qFormat="1" w:uiPriority="99" w:name="Table Grid 8"/>
    <w:lsdException w:qFormat="1" w:uiPriority="99" w:name="Table List 1"/>
    <w:lsdException w:qFormat="1" w:uiPriority="99" w:name="Table List 2"/>
    <w:lsdException w:qFormat="1" w:uiPriority="99" w:name="Table List 3"/>
    <w:lsdException w:qFormat="1" w:uiPriority="99" w:name="Table List 4"/>
    <w:lsdException w:qFormat="1" w:uiPriority="99" w:name="Table List 5"/>
    <w:lsdException w:qFormat="1" w:uiPriority="99" w:name="Table List 6"/>
    <w:lsdException w:qFormat="1" w:uiPriority="99" w:name="Table List 7"/>
    <w:lsdException w:qFormat="1" w:uiPriority="99" w:name="Table List 8"/>
    <w:lsdException w:qFormat="1" w:uiPriority="99" w:name="Table 3D effects 1"/>
    <w:lsdException w:qFormat="1" w:uiPriority="99" w:name="Table 3D effects 2"/>
    <w:lsdException w:qFormat="1" w:uiPriority="99" w:name="Table 3D effects 3"/>
    <w:lsdException w:qFormat="1" w:uiPriority="99" w:name="Table Contemporary"/>
    <w:lsdException w:qFormat="1" w:uiPriority="99" w:name="Table Elegant"/>
    <w:lsdException w:qFormat="1" w:uiPriority="99" w:name="Table Professional"/>
    <w:lsdException w:qFormat="1" w:uiPriority="99" w:name="Table Subtle 1"/>
    <w:lsdException w:qFormat="1" w:uiPriority="99" w:name="Table Subtle 2"/>
    <w:lsdException w:qFormat="1" w:uiPriority="99" w:name="Table Web 1"/>
    <w:lsdException w:qFormat="1" w:uiPriority="99" w:name="Table Web 2"/>
    <w:lsdException w:qFormat="1" w:uiPriority="99" w:name="Table Web 3"/>
    <w:lsdException w:qFormat="1" w:unhideWhenUsed="0" w:uiPriority="99" w:semiHidden="0" w:name="Balloon Text"/>
    <w:lsdException w:qFormat="1" w:unhideWhenUsed="0" w:uiPriority="99" w:semiHidden="0" w:name="Table Grid"/>
    <w:lsdException w:qFormat="1"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locked/>
    <w:uiPriority w:val="99"/>
    <w:rPr>
      <w:rFonts w:cs="Times New Roman"/>
      <w:sz w:val="18"/>
      <w:szCs w:val="18"/>
    </w:rPr>
  </w:style>
  <w:style w:type="character" w:customStyle="1" w:styleId="7">
    <w:name w:val="页脚 Char"/>
    <w:basedOn w:val="5"/>
    <w:link w:val="2"/>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1122</Words>
  <Characters>6401</Characters>
  <Lines>53</Lines>
  <Paragraphs>15</Paragraphs>
  <TotalTime>37</TotalTime>
  <ScaleCrop>false</ScaleCrop>
  <LinksUpToDate>false</LinksUpToDate>
  <CharactersWithSpaces>7508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2021-07-29T05:56:00Z</dcterms:created>
  <dc:creator>Windows 10</dc:creator>
  <cp:lastModifiedBy>Administrator</cp:lastModifiedBy>
  <dcterms:modified xsi:type="dcterms:W3CDTF">2025-02-08T09:16:40Z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A0AD899AE9A641E7AA96000D0D6D2898</vt:lpwstr>
  </property>
</Properties>
</file>