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0" w:name="_GoBack"/>
      <w:bookmarkEnd w:id="0"/>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新疆昌吉玛纳斯县卫生健康委员会</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w:t>
      </w:r>
      <w:r>
        <w:rPr>
          <w:rFonts w:hint="eastAsia" w:ascii="仿宋_GB2312" w:hAnsi="仿宋_GB2312" w:eastAsia="仿宋_GB2312"/>
          <w:sz w:val="32"/>
          <w:szCs w:val="24"/>
        </w:rPr>
        <w:t>、贯彻执行国家卫生计生工作方针、政策和法律法规；研究拟定卫生计生工作地方性规章、管理办法；研究提出全县卫生计生事业发展规划和战略目标，研究制定县有关卫生计生的配套措施及实施细则。</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w:t>
      </w:r>
      <w:r>
        <w:rPr>
          <w:rFonts w:hint="eastAsia" w:ascii="仿宋_GB2312" w:hAnsi="仿宋_GB2312" w:eastAsia="仿宋_GB2312"/>
          <w:sz w:val="32"/>
          <w:szCs w:val="24"/>
        </w:rPr>
        <w:t>、制定社区卫生计生服务发展规划和服务标准，指导社区卫生计生规划的实施。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3</w:t>
      </w:r>
      <w:r>
        <w:rPr>
          <w:rFonts w:hint="eastAsia" w:ascii="仿宋_GB2312" w:hAnsi="仿宋_GB2312" w:eastAsia="仿宋_GB2312"/>
          <w:sz w:val="32"/>
          <w:szCs w:val="24"/>
        </w:rPr>
        <w:t>、研究拟定全县农村卫生计生、妇幼卫生工作规划和政策措施，指导初级卫生保健规划和母婴保健专项技术实施。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4</w:t>
      </w:r>
      <w:r>
        <w:rPr>
          <w:rFonts w:hint="eastAsia" w:ascii="仿宋_GB2312" w:hAnsi="仿宋_GB2312" w:eastAsia="仿宋_GB2312"/>
          <w:sz w:val="32"/>
          <w:szCs w:val="24"/>
        </w:rPr>
        <w:t>、贯彻预防为主方针，开展全民健康教育，制定对人群健康危害严重疾病的防治规划，组织对重大疾病的综合防治。</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5</w:t>
      </w:r>
      <w:r>
        <w:rPr>
          <w:rFonts w:hint="eastAsia" w:ascii="仿宋_GB2312" w:hAnsi="仿宋_GB2312" w:eastAsia="仿宋_GB2312"/>
          <w:sz w:val="32"/>
          <w:szCs w:val="24"/>
        </w:rPr>
        <w:t>、研究指导医疗机构改革，制定县医疗质量标准和服务规范并监督实施。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6</w:t>
      </w:r>
      <w:r>
        <w:rPr>
          <w:rFonts w:hint="eastAsia" w:ascii="仿宋_GB2312" w:hAnsi="仿宋_GB2312" w:eastAsia="仿宋_GB2312"/>
          <w:sz w:val="32"/>
          <w:szCs w:val="24"/>
        </w:rPr>
        <w:t>、依法监督管理采供血及临床用血质量。</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7</w:t>
      </w:r>
      <w:r>
        <w:rPr>
          <w:rFonts w:hint="eastAsia" w:ascii="仿宋_GB2312" w:hAnsi="仿宋_GB2312" w:eastAsia="仿宋_GB2312"/>
          <w:sz w:val="32"/>
          <w:szCs w:val="24"/>
        </w:rPr>
        <w:t>、拟定实施全县重点医学科技、教育发展规划，组织重点医药卫生攻关，指导医学科技成果的普及应用工作。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8</w:t>
      </w:r>
      <w:r>
        <w:rPr>
          <w:rFonts w:hint="eastAsia" w:ascii="仿宋_GB2312" w:hAnsi="仿宋_GB2312" w:eastAsia="仿宋_GB2312"/>
          <w:sz w:val="32"/>
          <w:szCs w:val="24"/>
        </w:rPr>
        <w:t>、制定卫生执法监督工作规划并组织实施。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9</w:t>
      </w:r>
      <w:r>
        <w:rPr>
          <w:rFonts w:hint="eastAsia" w:ascii="仿宋_GB2312" w:hAnsi="仿宋_GB2312" w:eastAsia="仿宋_GB2312"/>
          <w:sz w:val="32"/>
          <w:szCs w:val="24"/>
        </w:rPr>
        <w:t>、制定卫生计生人才发展规划和卫生计生人员职业道德规范，组织实施卫生计生技术人员资格认定标准。</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10</w:t>
      </w:r>
      <w:r>
        <w:rPr>
          <w:rFonts w:hint="eastAsia" w:ascii="仿宋_GB2312" w:hAnsi="仿宋_GB2312" w:eastAsia="仿宋_GB2312"/>
          <w:sz w:val="32"/>
          <w:szCs w:val="24"/>
        </w:rPr>
        <w:t>、组织调度全县卫生计生技术力量，协助县政府和有关部门，对重大病情实施紧急处置，防止和控制疫情、疾病的发生、蔓延。</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11</w:t>
      </w:r>
      <w:r>
        <w:rPr>
          <w:rFonts w:hint="eastAsia" w:ascii="仿宋_GB2312" w:hAnsi="仿宋_GB2312" w:eastAsia="仿宋_GB2312"/>
          <w:sz w:val="32"/>
          <w:szCs w:val="24"/>
        </w:rPr>
        <w:t>、负责全县中医药工作的管理，继承发扬中医药学，促进中医药事业发展。</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12</w:t>
      </w:r>
      <w:r>
        <w:rPr>
          <w:rFonts w:hint="eastAsia" w:ascii="仿宋_GB2312" w:hAnsi="仿宋_GB2312" w:eastAsia="仿宋_GB2312"/>
          <w:sz w:val="32"/>
          <w:szCs w:val="24"/>
        </w:rPr>
        <w:t>、协调有关部门研究制定地区人口和计划生育办法；做好生育宣传教育、普法、行政复议、信访和特批生育指标审批工作；指导生育证的审批发放；汇总人口统计报表并对数据进行分析。</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13</w:t>
      </w:r>
      <w:r>
        <w:rPr>
          <w:rFonts w:hint="eastAsia" w:ascii="仿宋_GB2312" w:hAnsi="仿宋_GB2312" w:eastAsia="仿宋_GB2312"/>
          <w:sz w:val="32"/>
          <w:szCs w:val="24"/>
        </w:rPr>
        <w:t>、推动卫生和计生工作的综合治理，促进卫生计生与经济社会协调和可持续发展，推动完善卫生计生利益导向机制。指导基层开展计划生育家庭奖励扶助和优先优惠政策的落实工作；指导计划生育群团的工作。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14</w:t>
      </w:r>
      <w:r>
        <w:rPr>
          <w:rFonts w:hint="eastAsia" w:ascii="仿宋_GB2312" w:hAnsi="仿宋_GB2312" w:eastAsia="仿宋_GB2312"/>
          <w:sz w:val="32"/>
          <w:szCs w:val="24"/>
        </w:rPr>
        <w:t>、制定县卫生和计划生育宣传教育工作规划，组织力量开展地区性卫生和计划生育宣传教育；承担协调出生人口性别比治理工作；组织信息撰写，组织新闻发布会；承担卫生和计划生育对外宣传工作。指导基层开展卫生和计划生育宣传教育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15</w:t>
      </w:r>
      <w:r>
        <w:rPr>
          <w:rFonts w:hint="eastAsia" w:ascii="仿宋_GB2312" w:hAnsi="仿宋_GB2312" w:eastAsia="仿宋_GB2312"/>
          <w:sz w:val="32"/>
          <w:szCs w:val="24"/>
        </w:rPr>
        <w:t>、协同有关部门制定卫生和计划生育科研总体规划；组织卫生和计划生育重大科研成果和节育新技术的评审、鉴定、转化和推广应用。</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16</w:t>
      </w:r>
      <w:r>
        <w:rPr>
          <w:rFonts w:hint="eastAsia" w:ascii="仿宋_GB2312" w:hAnsi="仿宋_GB2312" w:eastAsia="仿宋_GB2312"/>
          <w:sz w:val="32"/>
          <w:szCs w:val="24"/>
        </w:rPr>
        <w:t>、开展综合管理计划生育技术服务工作，对计划生育和药具发放进行指导和监督；协同有关部门做好优生优育和生殖健康工作，依法负责计划生育、生殖健康技术服务的综合管理和监督；协同有关部门降低出生缺陷人口数量。负责对计划生育技术服务、基层网络建设和科学普及工作进行指导、监督工作。负责节育手术并发症鉴定</w:t>
      </w:r>
      <w:r>
        <w:rPr>
          <w:rFonts w:ascii="仿宋_GB2312" w:hAnsi="仿宋_GB2312" w:eastAsia="仿宋_GB2312"/>
          <w:sz w:val="32"/>
          <w:szCs w:val="24"/>
        </w:rPr>
        <w:t>,</w:t>
      </w:r>
      <w:r>
        <w:rPr>
          <w:rFonts w:hint="eastAsia" w:ascii="仿宋_GB2312" w:hAnsi="仿宋_GB2312" w:eastAsia="仿宋_GB2312"/>
          <w:sz w:val="32"/>
          <w:szCs w:val="24"/>
        </w:rPr>
        <w:t>负责县乡计生服务机构校验工作。制定全地区计划生育干部和专业技术人员继续教育的计划、规划并组织实施。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17</w:t>
      </w:r>
      <w:r>
        <w:rPr>
          <w:rFonts w:hint="eastAsia" w:ascii="仿宋_GB2312" w:hAnsi="仿宋_GB2312" w:eastAsia="仿宋_GB2312"/>
          <w:sz w:val="32"/>
          <w:szCs w:val="24"/>
        </w:rPr>
        <w:t>、拟订地区流动人口计划生育服务管理的制度；组织开展有关流动人口计划生育服务管理体制、机制的研究；监督检查流动人口计划生育法律法规的落实执行情况；协调有关部门建立完善流动人口计划生育综合治理的服务管理机制；指导基层做好流动人口计划生育的服务与管理工作；指导基层建立流动人口计划生育信息共享和公共服务工作机制。</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18</w:t>
      </w:r>
      <w:r>
        <w:rPr>
          <w:rFonts w:hint="eastAsia" w:ascii="仿宋_GB2312" w:hAnsi="仿宋_GB2312" w:eastAsia="仿宋_GB2312"/>
          <w:sz w:val="32"/>
          <w:szCs w:val="24"/>
        </w:rPr>
        <w:t>、开展全地区人口发展战略的研究，根据自治区确定的人口控制目标，拟订地区人口和计划生育中长期规划、年度计划和事业发展规划并组织实施。负责人口和计划生育统计、信息分析工作；负责人口和计划生育的信息综合及信息化建设</w:t>
      </w:r>
      <w:r>
        <w:rPr>
          <w:rFonts w:ascii="仿宋_GB2312" w:hAnsi="仿宋_GB2312" w:eastAsia="仿宋_GB2312"/>
          <w:sz w:val="32"/>
          <w:szCs w:val="24"/>
        </w:rPr>
        <w:t>;</w:t>
      </w:r>
      <w:r>
        <w:rPr>
          <w:rFonts w:hint="eastAsia" w:ascii="仿宋_GB2312" w:hAnsi="仿宋_GB2312" w:eastAsia="仿宋_GB2312"/>
          <w:sz w:val="32"/>
          <w:szCs w:val="24"/>
        </w:rPr>
        <w:t>承担地区人口基础信息库建设。负责信息和网络建设及设备的维护。组织实施抽样调查和专项调查，参与分析研究全地区人口统计数据，发布与计划生育相关的人口信息。</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19</w:t>
      </w:r>
      <w:r>
        <w:rPr>
          <w:rFonts w:hint="eastAsia" w:ascii="仿宋_GB2312" w:hAnsi="仿宋_GB2312" w:eastAsia="仿宋_GB2312"/>
          <w:sz w:val="32"/>
          <w:szCs w:val="24"/>
        </w:rPr>
        <w:t>、承办县政府交办的其他事项。</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新疆昌吉玛纳斯县卫生健康委员会</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21</w:t>
      </w:r>
      <w:r>
        <w:rPr>
          <w:rFonts w:hint="eastAsia" w:ascii="仿宋_GB2312" w:hAnsi="仿宋_GB2312" w:eastAsia="仿宋_GB2312"/>
          <w:sz w:val="32"/>
          <w:szCs w:val="24"/>
        </w:rPr>
        <w:t>人，其中：在职人员</w:t>
      </w:r>
      <w:r>
        <w:rPr>
          <w:rFonts w:ascii="仿宋_GB2312" w:hAnsi="仿宋_GB2312" w:eastAsia="仿宋_GB2312"/>
          <w:sz w:val="32"/>
          <w:szCs w:val="24"/>
        </w:rPr>
        <w:t>21</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560" w:lineRule="exact"/>
        <w:ind w:firstLine="640"/>
        <w:jc w:val="left"/>
        <w:rPr>
          <w:rFonts w:ascii="仿宋_GB2312" w:hAnsi="宋体" w:eastAsia="仿宋_GB2312" w:cs="宋体"/>
          <w:kern w:val="0"/>
          <w:sz w:val="32"/>
          <w:szCs w:val="32"/>
        </w:rPr>
      </w:pPr>
      <w:r>
        <w:rPr>
          <w:rFonts w:hint="eastAsia" w:ascii="仿宋_GB2312" w:hAnsi="仿宋_GB2312" w:eastAsia="仿宋_GB2312"/>
          <w:sz w:val="32"/>
          <w:szCs w:val="24"/>
        </w:rPr>
        <w:t>从部门决算单位构成看，新疆昌吉玛纳斯县卫生健康委员会部门决算包括：新疆昌吉玛纳斯县卫生健康委员会决算。单位无下属预算单位，下设</w:t>
      </w:r>
      <w:r>
        <w:rPr>
          <w:rFonts w:ascii="仿宋_GB2312" w:hAnsi="仿宋_GB2312" w:eastAsia="仿宋_GB2312"/>
          <w:sz w:val="32"/>
          <w:szCs w:val="24"/>
        </w:rPr>
        <w:t>7</w:t>
      </w:r>
      <w:r>
        <w:rPr>
          <w:rFonts w:hint="eastAsia" w:ascii="仿宋_GB2312" w:hAnsi="仿宋_GB2312" w:eastAsia="仿宋_GB2312"/>
          <w:sz w:val="32"/>
          <w:szCs w:val="24"/>
        </w:rPr>
        <w:t>个处室，分别是：办公室（党建室）、卫生应急办公室</w:t>
      </w:r>
      <w:r>
        <w:rPr>
          <w:rFonts w:ascii="仿宋_GB2312" w:hAnsi="仿宋_GB2312" w:eastAsia="仿宋_GB2312"/>
          <w:sz w:val="32"/>
          <w:szCs w:val="24"/>
        </w:rPr>
        <w:t>(</w:t>
      </w:r>
      <w:r>
        <w:rPr>
          <w:rFonts w:hint="eastAsia" w:ascii="仿宋_GB2312" w:hAnsi="仿宋_GB2312" w:eastAsia="仿宋_GB2312"/>
          <w:sz w:val="32"/>
          <w:szCs w:val="24"/>
        </w:rPr>
        <w:t>突发公共卫生事件应急指挥中心</w:t>
      </w:r>
      <w:r>
        <w:rPr>
          <w:rFonts w:ascii="仿宋_GB2312" w:hAnsi="仿宋_GB2312" w:eastAsia="仿宋_GB2312"/>
          <w:sz w:val="32"/>
          <w:szCs w:val="24"/>
        </w:rPr>
        <w:t>)</w:t>
      </w:r>
      <w:r>
        <w:rPr>
          <w:rFonts w:hint="eastAsia" w:ascii="仿宋_GB2312" w:hAnsi="仿宋_GB2312" w:eastAsia="仿宋_GB2312"/>
          <w:sz w:val="32"/>
          <w:szCs w:val="24"/>
        </w:rPr>
        <w:t>、医政药政科教股（政策法规和体制改革股）、基层卫生健康股、疾病预防控制股（爱卫办）、家庭发展与老龄健康股</w:t>
      </w:r>
      <w:r>
        <w:rPr>
          <w:rFonts w:ascii="仿宋_GB2312" w:hAnsi="仿宋_GB2312" w:eastAsia="仿宋_GB2312"/>
          <w:sz w:val="32"/>
          <w:szCs w:val="24"/>
        </w:rPr>
        <w:t>(</w:t>
      </w:r>
      <w:r>
        <w:rPr>
          <w:rFonts w:hint="eastAsia" w:ascii="仿宋_GB2312" w:hAnsi="仿宋_GB2312" w:eastAsia="仿宋_GB2312"/>
          <w:sz w:val="32"/>
          <w:szCs w:val="24"/>
        </w:rPr>
        <w:t>计划生育一科</w:t>
      </w:r>
      <w:r>
        <w:rPr>
          <w:rFonts w:ascii="仿宋_GB2312" w:hAnsi="仿宋_GB2312" w:eastAsia="仿宋_GB2312"/>
          <w:sz w:val="32"/>
          <w:szCs w:val="24"/>
        </w:rPr>
        <w:t>)</w:t>
      </w:r>
      <w:r>
        <w:rPr>
          <w:rFonts w:hint="eastAsia" w:ascii="仿宋_GB2312" w:hAnsi="仿宋_GB2312" w:eastAsia="仿宋_GB2312"/>
          <w:sz w:val="32"/>
          <w:szCs w:val="24"/>
        </w:rPr>
        <w:t>、人口监测与计划生育基层工作科</w:t>
      </w:r>
      <w:r>
        <w:rPr>
          <w:rFonts w:ascii="仿宋_GB2312" w:hAnsi="仿宋_GB2312" w:eastAsia="仿宋_GB2312"/>
          <w:sz w:val="32"/>
          <w:szCs w:val="24"/>
        </w:rPr>
        <w:t>(</w:t>
      </w:r>
      <w:r>
        <w:rPr>
          <w:rFonts w:hint="eastAsia" w:ascii="仿宋_GB2312" w:hAnsi="仿宋_GB2312" w:eastAsia="仿宋_GB2312"/>
          <w:sz w:val="32"/>
          <w:szCs w:val="24"/>
        </w:rPr>
        <w:t>计划生育二科</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16,769.55</w:t>
      </w:r>
      <w:r>
        <w:rPr>
          <w:rFonts w:hint="eastAsia" w:ascii="仿宋_GB2312" w:hAnsi="仿宋_GB2312" w:eastAsia="仿宋_GB2312"/>
          <w:sz w:val="32"/>
          <w:szCs w:val="24"/>
        </w:rPr>
        <w:t>万元，与上年相比，增加</w:t>
      </w:r>
      <w:r>
        <w:rPr>
          <w:rFonts w:ascii="仿宋_GB2312" w:hAnsi="仿宋_GB2312" w:eastAsia="仿宋_GB2312"/>
          <w:sz w:val="32"/>
          <w:szCs w:val="24"/>
        </w:rPr>
        <w:t>8,432.86</w:t>
      </w:r>
      <w:r>
        <w:rPr>
          <w:rFonts w:hint="eastAsia" w:ascii="仿宋_GB2312" w:hAnsi="仿宋_GB2312" w:eastAsia="仿宋_GB2312"/>
          <w:sz w:val="32"/>
          <w:szCs w:val="24"/>
        </w:rPr>
        <w:t>万元，增长</w:t>
      </w:r>
      <w:r>
        <w:rPr>
          <w:rFonts w:ascii="仿宋_GB2312" w:hAnsi="仿宋_GB2312" w:eastAsia="仿宋_GB2312"/>
          <w:sz w:val="32"/>
          <w:szCs w:val="24"/>
        </w:rPr>
        <w:t>101.15%</w:t>
      </w:r>
      <w:r>
        <w:rPr>
          <w:rFonts w:hint="eastAsia" w:ascii="仿宋_GB2312" w:hAnsi="仿宋_GB2312" w:eastAsia="仿宋_GB2312"/>
          <w:sz w:val="32"/>
          <w:szCs w:val="24"/>
        </w:rPr>
        <w:t>，主要原因是：新增改厕补助资金、县医院内科楼附属设施室内电梯采购及安装、玛纳斯县工业园区公共卫生服务中心项目建设，因此本年收入较上年有增加。本年支出</w:t>
      </w:r>
      <w:r>
        <w:rPr>
          <w:rFonts w:ascii="仿宋_GB2312" w:hAnsi="仿宋_GB2312" w:eastAsia="仿宋_GB2312"/>
          <w:sz w:val="32"/>
          <w:szCs w:val="24"/>
        </w:rPr>
        <w:t>16,769.55</w:t>
      </w:r>
      <w:r>
        <w:rPr>
          <w:rFonts w:hint="eastAsia" w:ascii="仿宋_GB2312" w:hAnsi="仿宋_GB2312" w:eastAsia="仿宋_GB2312"/>
          <w:sz w:val="32"/>
          <w:szCs w:val="24"/>
        </w:rPr>
        <w:t>万元，与上年相比，增加</w:t>
      </w:r>
      <w:r>
        <w:rPr>
          <w:rFonts w:ascii="仿宋_GB2312" w:hAnsi="仿宋_GB2312" w:eastAsia="仿宋_GB2312"/>
          <w:sz w:val="32"/>
          <w:szCs w:val="24"/>
        </w:rPr>
        <w:t>8,432.86</w:t>
      </w:r>
      <w:r>
        <w:rPr>
          <w:rFonts w:hint="eastAsia" w:ascii="仿宋_GB2312" w:hAnsi="仿宋_GB2312" w:eastAsia="仿宋_GB2312"/>
          <w:sz w:val="32"/>
          <w:szCs w:val="24"/>
        </w:rPr>
        <w:t>万元，增长</w:t>
      </w:r>
      <w:r>
        <w:rPr>
          <w:rFonts w:ascii="仿宋_GB2312" w:hAnsi="仿宋_GB2312" w:eastAsia="仿宋_GB2312"/>
          <w:sz w:val="32"/>
          <w:szCs w:val="24"/>
        </w:rPr>
        <w:t>101.15%</w:t>
      </w:r>
      <w:r>
        <w:rPr>
          <w:rFonts w:hint="eastAsia" w:ascii="仿宋_GB2312" w:hAnsi="仿宋_GB2312" w:eastAsia="仿宋_GB2312"/>
          <w:sz w:val="32"/>
          <w:szCs w:val="24"/>
        </w:rPr>
        <w:t>，主要原因是：新增改厕补助资金、县医院内科楼附属设施室内电梯采购及安装、玛纳斯县工业园区公共卫生服务中心项目建设，因此本年支出较上年增加。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16,769.55</w:t>
      </w:r>
      <w:r>
        <w:rPr>
          <w:rFonts w:hint="eastAsia" w:ascii="仿宋_GB2312" w:hAnsi="仿宋_GB2312" w:eastAsia="仿宋_GB2312"/>
          <w:sz w:val="32"/>
          <w:szCs w:val="24"/>
        </w:rPr>
        <w:t>万元，其中：财政拨款收入</w:t>
      </w:r>
      <w:r>
        <w:rPr>
          <w:rFonts w:ascii="仿宋_GB2312" w:hAnsi="仿宋_GB2312" w:eastAsia="仿宋_GB2312"/>
          <w:sz w:val="32"/>
          <w:szCs w:val="24"/>
        </w:rPr>
        <w:t>16,254.40</w:t>
      </w:r>
      <w:r>
        <w:rPr>
          <w:rFonts w:hint="eastAsia" w:ascii="仿宋_GB2312" w:hAnsi="仿宋_GB2312" w:eastAsia="仿宋_GB2312"/>
          <w:sz w:val="32"/>
          <w:szCs w:val="24"/>
        </w:rPr>
        <w:t>万元，占</w:t>
      </w:r>
      <w:r>
        <w:rPr>
          <w:rFonts w:ascii="仿宋_GB2312" w:hAnsi="仿宋_GB2312" w:eastAsia="仿宋_GB2312"/>
          <w:sz w:val="32"/>
          <w:szCs w:val="24"/>
        </w:rPr>
        <w:t>96.93%</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515.15</w:t>
      </w:r>
      <w:r>
        <w:rPr>
          <w:rFonts w:hint="eastAsia" w:ascii="仿宋_GB2312" w:hAnsi="仿宋_GB2312" w:eastAsia="仿宋_GB2312"/>
          <w:sz w:val="32"/>
          <w:szCs w:val="24"/>
        </w:rPr>
        <w:t>万元，占</w:t>
      </w:r>
      <w:r>
        <w:rPr>
          <w:rFonts w:ascii="仿宋_GB2312" w:hAnsi="仿宋_GB2312" w:eastAsia="仿宋_GB2312"/>
          <w:sz w:val="32"/>
          <w:szCs w:val="24"/>
        </w:rPr>
        <w:t>3.07%</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16,769.55</w:t>
      </w:r>
      <w:r>
        <w:rPr>
          <w:rFonts w:hint="eastAsia" w:ascii="仿宋_GB2312" w:hAnsi="仿宋_GB2312" w:eastAsia="仿宋_GB2312"/>
          <w:sz w:val="32"/>
          <w:szCs w:val="24"/>
        </w:rPr>
        <w:t>万元，其中：基本支出</w:t>
      </w:r>
      <w:r>
        <w:rPr>
          <w:rFonts w:ascii="仿宋_GB2312" w:hAnsi="仿宋_GB2312" w:eastAsia="仿宋_GB2312"/>
          <w:sz w:val="32"/>
          <w:szCs w:val="24"/>
        </w:rPr>
        <w:t>437.55</w:t>
      </w:r>
      <w:r>
        <w:rPr>
          <w:rFonts w:hint="eastAsia" w:ascii="仿宋_GB2312" w:hAnsi="仿宋_GB2312" w:eastAsia="仿宋_GB2312"/>
          <w:sz w:val="32"/>
          <w:szCs w:val="24"/>
        </w:rPr>
        <w:t>万元，占</w:t>
      </w:r>
      <w:r>
        <w:rPr>
          <w:rFonts w:ascii="仿宋_GB2312" w:hAnsi="仿宋_GB2312" w:eastAsia="仿宋_GB2312"/>
          <w:sz w:val="32"/>
          <w:szCs w:val="24"/>
        </w:rPr>
        <w:t>2.61%</w:t>
      </w:r>
      <w:r>
        <w:rPr>
          <w:rFonts w:hint="eastAsia" w:ascii="仿宋_GB2312" w:hAnsi="仿宋_GB2312" w:eastAsia="仿宋_GB2312"/>
          <w:sz w:val="32"/>
          <w:szCs w:val="24"/>
        </w:rPr>
        <w:t>；项目支出</w:t>
      </w:r>
      <w:r>
        <w:rPr>
          <w:rFonts w:ascii="仿宋_GB2312" w:hAnsi="仿宋_GB2312" w:eastAsia="仿宋_GB2312"/>
          <w:sz w:val="32"/>
          <w:szCs w:val="24"/>
        </w:rPr>
        <w:t>16,332.00</w:t>
      </w:r>
      <w:r>
        <w:rPr>
          <w:rFonts w:hint="eastAsia" w:ascii="仿宋_GB2312" w:hAnsi="仿宋_GB2312" w:eastAsia="仿宋_GB2312"/>
          <w:sz w:val="32"/>
          <w:szCs w:val="24"/>
        </w:rPr>
        <w:t>万元，占</w:t>
      </w:r>
      <w:r>
        <w:rPr>
          <w:rFonts w:ascii="仿宋_GB2312" w:hAnsi="仿宋_GB2312" w:eastAsia="仿宋_GB2312"/>
          <w:sz w:val="32"/>
          <w:szCs w:val="24"/>
        </w:rPr>
        <w:t>97.39%</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sz w:val="32"/>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16,254.40</w:t>
      </w:r>
      <w:r>
        <w:rPr>
          <w:rFonts w:hint="eastAsia" w:ascii="仿宋_GB2312" w:hAnsi="仿宋_GB2312" w:eastAsia="仿宋_GB2312"/>
          <w:sz w:val="32"/>
          <w:szCs w:val="24"/>
        </w:rPr>
        <w:t>万元，与上年相比，增加</w:t>
      </w:r>
      <w:r>
        <w:rPr>
          <w:rFonts w:ascii="仿宋_GB2312" w:hAnsi="仿宋_GB2312" w:eastAsia="仿宋_GB2312"/>
          <w:sz w:val="32"/>
          <w:szCs w:val="24"/>
        </w:rPr>
        <w:t>7,937.44</w:t>
      </w:r>
      <w:r>
        <w:rPr>
          <w:rFonts w:hint="eastAsia" w:ascii="仿宋_GB2312" w:hAnsi="仿宋_GB2312" w:eastAsia="仿宋_GB2312"/>
          <w:sz w:val="32"/>
          <w:szCs w:val="24"/>
        </w:rPr>
        <w:t>万元，增长</w:t>
      </w:r>
      <w:r>
        <w:rPr>
          <w:rFonts w:ascii="仿宋_GB2312" w:hAnsi="仿宋_GB2312" w:eastAsia="仿宋_GB2312"/>
          <w:sz w:val="32"/>
          <w:szCs w:val="24"/>
        </w:rPr>
        <w:t>95.44%</w:t>
      </w:r>
      <w:r>
        <w:rPr>
          <w:rFonts w:hint="eastAsia" w:ascii="仿宋_GB2312" w:hAnsi="仿宋_GB2312" w:eastAsia="仿宋_GB2312"/>
          <w:sz w:val="32"/>
          <w:szCs w:val="24"/>
        </w:rPr>
        <w:t>。主要原因是：新增改厕补助资金、县医院内科楼附属设施室内电梯采购及安装、玛纳斯县工业园区公共卫生服务中心项目建设，因此本年财政拨款收入较上年增加。财政拨款支出</w:t>
      </w:r>
      <w:r>
        <w:rPr>
          <w:rFonts w:ascii="仿宋_GB2312" w:hAnsi="仿宋_GB2312" w:eastAsia="仿宋_GB2312"/>
          <w:sz w:val="32"/>
          <w:szCs w:val="24"/>
        </w:rPr>
        <w:t>16,254.40</w:t>
      </w:r>
      <w:r>
        <w:rPr>
          <w:rFonts w:hint="eastAsia" w:ascii="仿宋_GB2312" w:hAnsi="仿宋_GB2312" w:eastAsia="仿宋_GB2312"/>
          <w:sz w:val="32"/>
          <w:szCs w:val="24"/>
        </w:rPr>
        <w:t>万元，与上年相比，增加</w:t>
      </w:r>
      <w:r>
        <w:rPr>
          <w:rFonts w:ascii="仿宋_GB2312" w:hAnsi="仿宋_GB2312" w:eastAsia="仿宋_GB2312"/>
          <w:sz w:val="32"/>
          <w:szCs w:val="24"/>
        </w:rPr>
        <w:t>7,937.44</w:t>
      </w:r>
      <w:r>
        <w:rPr>
          <w:rFonts w:hint="eastAsia" w:ascii="仿宋_GB2312" w:hAnsi="仿宋_GB2312" w:eastAsia="仿宋_GB2312"/>
          <w:sz w:val="32"/>
          <w:szCs w:val="24"/>
        </w:rPr>
        <w:t>万元，增长</w:t>
      </w:r>
      <w:r>
        <w:rPr>
          <w:rFonts w:ascii="仿宋_GB2312" w:hAnsi="仿宋_GB2312" w:eastAsia="仿宋_GB2312"/>
          <w:sz w:val="32"/>
          <w:szCs w:val="24"/>
        </w:rPr>
        <w:t>95.44%</w:t>
      </w:r>
      <w:r>
        <w:rPr>
          <w:rFonts w:hint="eastAsia" w:ascii="仿宋_GB2312" w:hAnsi="仿宋_GB2312" w:eastAsia="仿宋_GB2312"/>
          <w:sz w:val="32"/>
          <w:szCs w:val="24"/>
        </w:rPr>
        <w:t>，主要原因是：新增改厕补助资金、县医院内科楼附属设施室内电梯采购及安装、玛纳斯县工业园区公共卫生服务中心项目建设，因此本年财政拨款支出较上年增加。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797.78</w:t>
      </w:r>
      <w:r>
        <w:rPr>
          <w:rFonts w:hint="eastAsia" w:ascii="仿宋_GB2312" w:hAnsi="仿宋_GB2312" w:eastAsia="仿宋_GB2312"/>
          <w:sz w:val="32"/>
          <w:szCs w:val="24"/>
        </w:rPr>
        <w:t>万元，决算数</w:t>
      </w:r>
      <w:r>
        <w:rPr>
          <w:rFonts w:ascii="仿宋_GB2312" w:hAnsi="仿宋_GB2312" w:eastAsia="仿宋_GB2312"/>
          <w:sz w:val="32"/>
          <w:szCs w:val="24"/>
        </w:rPr>
        <w:t>16,254.40</w:t>
      </w:r>
      <w:r>
        <w:rPr>
          <w:rFonts w:hint="eastAsia" w:ascii="仿宋_GB2312" w:hAnsi="仿宋_GB2312" w:eastAsia="仿宋_GB2312"/>
          <w:sz w:val="32"/>
          <w:szCs w:val="24"/>
        </w:rPr>
        <w:t>万元，预决算差异率</w:t>
      </w:r>
      <w:r>
        <w:rPr>
          <w:rFonts w:ascii="仿宋_GB2312" w:hAnsi="仿宋_GB2312" w:eastAsia="仿宋_GB2312"/>
          <w:sz w:val="32"/>
          <w:szCs w:val="24"/>
        </w:rPr>
        <w:t>1,937.45%</w:t>
      </w:r>
      <w:r>
        <w:rPr>
          <w:rFonts w:hint="eastAsia" w:ascii="仿宋_GB2312" w:hAnsi="仿宋_GB2312" w:eastAsia="仿宋_GB2312"/>
          <w:sz w:val="32"/>
          <w:szCs w:val="24"/>
        </w:rPr>
        <w:t>，主要原因是：预算数只有县级配套资金，决算数据包括县级配套资金和上级专项资金拨款，因此预决算差异较大。财政拨款支出年初预算数</w:t>
      </w:r>
      <w:r>
        <w:rPr>
          <w:rFonts w:ascii="仿宋_GB2312" w:hAnsi="仿宋_GB2312" w:eastAsia="仿宋_GB2312"/>
          <w:sz w:val="32"/>
          <w:szCs w:val="24"/>
        </w:rPr>
        <w:t>797.78</w:t>
      </w:r>
      <w:r>
        <w:rPr>
          <w:rFonts w:hint="eastAsia" w:ascii="仿宋_GB2312" w:hAnsi="仿宋_GB2312" w:eastAsia="仿宋_GB2312"/>
          <w:sz w:val="32"/>
          <w:szCs w:val="24"/>
        </w:rPr>
        <w:t>万元，决算数</w:t>
      </w:r>
      <w:r>
        <w:rPr>
          <w:rFonts w:ascii="仿宋_GB2312" w:hAnsi="仿宋_GB2312" w:eastAsia="仿宋_GB2312"/>
          <w:sz w:val="32"/>
          <w:szCs w:val="24"/>
        </w:rPr>
        <w:t>16,254.40</w:t>
      </w:r>
      <w:r>
        <w:rPr>
          <w:rFonts w:hint="eastAsia" w:ascii="仿宋_GB2312" w:hAnsi="仿宋_GB2312" w:eastAsia="仿宋_GB2312"/>
          <w:sz w:val="32"/>
          <w:szCs w:val="24"/>
        </w:rPr>
        <w:t>万元，预决算差异率</w:t>
      </w:r>
      <w:r>
        <w:rPr>
          <w:rFonts w:ascii="仿宋_GB2312" w:hAnsi="仿宋_GB2312" w:eastAsia="仿宋_GB2312"/>
          <w:sz w:val="32"/>
          <w:szCs w:val="24"/>
        </w:rPr>
        <w:t>1,937.45%</w:t>
      </w:r>
      <w:r>
        <w:rPr>
          <w:rFonts w:hint="eastAsia" w:ascii="仿宋_GB2312" w:hAnsi="仿宋_GB2312" w:eastAsia="仿宋_GB2312"/>
          <w:sz w:val="32"/>
          <w:szCs w:val="24"/>
        </w:rPr>
        <w:t>，主要原因是：预算数只有县级配套资金，决算数据包括县级配套资金和上级专项资金支出，因此预决算差异较大。</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5,742.34</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2010101</w:t>
      </w:r>
      <w:r>
        <w:rPr>
          <w:rFonts w:hint="eastAsia" w:ascii="仿宋_GB2312" w:hAnsi="仿宋_GB2312" w:eastAsia="仿宋_GB2312"/>
          <w:sz w:val="32"/>
          <w:szCs w:val="24"/>
        </w:rPr>
        <w:t>行政运行</w:t>
      </w:r>
      <w:r>
        <w:rPr>
          <w:rFonts w:ascii="仿宋_GB2312" w:hAnsi="仿宋_GB2312" w:eastAsia="仿宋_GB2312"/>
          <w:sz w:val="32"/>
          <w:szCs w:val="24"/>
        </w:rPr>
        <w:t>3.1</w:t>
      </w:r>
      <w:r>
        <w:rPr>
          <w:rFonts w:hint="eastAsia" w:ascii="仿宋_GB2312" w:hAnsi="仿宋_GB2312" w:eastAsia="仿宋_GB2312"/>
          <w:sz w:val="32"/>
          <w:szCs w:val="24"/>
        </w:rPr>
        <w:t>4万元；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2060399</w:t>
      </w:r>
      <w:r>
        <w:rPr>
          <w:rFonts w:hint="eastAsia" w:ascii="仿宋_GB2312" w:hAnsi="仿宋_GB2312" w:eastAsia="仿宋_GB2312"/>
          <w:sz w:val="32"/>
          <w:szCs w:val="24"/>
        </w:rPr>
        <w:t>其他应用研究支出</w:t>
      </w:r>
      <w:r>
        <w:rPr>
          <w:rFonts w:ascii="仿宋_GB2312" w:hAnsi="仿宋_GB2312" w:eastAsia="仿宋_GB2312"/>
          <w:sz w:val="32"/>
          <w:szCs w:val="24"/>
        </w:rPr>
        <w:t>554.00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27.48</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2080506</w:t>
      </w:r>
      <w:r>
        <w:rPr>
          <w:rFonts w:hint="eastAsia" w:ascii="仿宋_GB2312" w:hAnsi="仿宋_GB2312" w:eastAsia="仿宋_GB2312"/>
          <w:sz w:val="32"/>
          <w:szCs w:val="24"/>
        </w:rPr>
        <w:t>机关事业单位职业年金缴费支出</w:t>
      </w:r>
      <w:r>
        <w:rPr>
          <w:rFonts w:ascii="仿宋_GB2312" w:hAnsi="仿宋_GB2312" w:eastAsia="仿宋_GB2312"/>
          <w:sz w:val="32"/>
          <w:szCs w:val="24"/>
        </w:rPr>
        <w:t>4.07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2100101</w:t>
      </w:r>
      <w:r>
        <w:rPr>
          <w:rFonts w:hint="eastAsia" w:ascii="仿宋_GB2312" w:hAnsi="仿宋_GB2312" w:eastAsia="仿宋_GB2312"/>
          <w:sz w:val="32"/>
          <w:szCs w:val="24"/>
        </w:rPr>
        <w:t>行政运行</w:t>
      </w:r>
      <w:r>
        <w:rPr>
          <w:rFonts w:ascii="仿宋_GB2312" w:hAnsi="仿宋_GB2312" w:eastAsia="仿宋_GB2312"/>
          <w:sz w:val="32"/>
          <w:szCs w:val="24"/>
        </w:rPr>
        <w:t>386.52</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2100299</w:t>
      </w:r>
      <w:r>
        <w:rPr>
          <w:rFonts w:hint="eastAsia" w:ascii="仿宋_GB2312" w:hAnsi="仿宋_GB2312" w:eastAsia="仿宋_GB2312"/>
          <w:sz w:val="32"/>
          <w:szCs w:val="24"/>
        </w:rPr>
        <w:t>其他公立医院支出</w:t>
      </w:r>
      <w:r>
        <w:rPr>
          <w:rFonts w:ascii="仿宋_GB2312" w:hAnsi="仿宋_GB2312" w:eastAsia="仿宋_GB2312"/>
          <w:sz w:val="32"/>
          <w:szCs w:val="24"/>
        </w:rPr>
        <w:t>282.04</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2100399</w:t>
      </w:r>
      <w:r>
        <w:rPr>
          <w:rFonts w:hint="eastAsia" w:ascii="仿宋_GB2312" w:hAnsi="仿宋_GB2312" w:eastAsia="仿宋_GB2312"/>
          <w:sz w:val="32"/>
          <w:szCs w:val="24"/>
        </w:rPr>
        <w:t>其他基层医疗卫生机构支出</w:t>
      </w:r>
      <w:r>
        <w:rPr>
          <w:rFonts w:ascii="仿宋_GB2312" w:hAnsi="仿宋_GB2312" w:eastAsia="仿宋_GB2312"/>
          <w:sz w:val="32"/>
          <w:szCs w:val="24"/>
        </w:rPr>
        <w:t>160.45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2100408</w:t>
      </w:r>
      <w:r>
        <w:rPr>
          <w:rFonts w:hint="eastAsia" w:ascii="仿宋_GB2312" w:hAnsi="仿宋_GB2312" w:eastAsia="仿宋_GB2312"/>
          <w:sz w:val="32"/>
          <w:szCs w:val="24"/>
        </w:rPr>
        <w:t>基本公共卫生服务</w:t>
      </w:r>
      <w:r>
        <w:rPr>
          <w:rFonts w:ascii="仿宋_GB2312" w:hAnsi="仿宋_GB2312" w:eastAsia="仿宋_GB2312"/>
          <w:sz w:val="32"/>
          <w:szCs w:val="24"/>
        </w:rPr>
        <w:t>1360.55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2100409</w:t>
      </w:r>
      <w:r>
        <w:rPr>
          <w:rFonts w:hint="eastAsia" w:ascii="仿宋_GB2312" w:hAnsi="仿宋_GB2312" w:eastAsia="仿宋_GB2312"/>
          <w:sz w:val="32"/>
          <w:szCs w:val="24"/>
        </w:rPr>
        <w:t>重大公共卫生服务</w:t>
      </w:r>
      <w:r>
        <w:rPr>
          <w:rFonts w:ascii="仿宋_GB2312" w:hAnsi="仿宋_GB2312" w:eastAsia="仿宋_GB2312"/>
          <w:sz w:val="32"/>
          <w:szCs w:val="24"/>
        </w:rPr>
        <w:t>71.35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2100410</w:t>
      </w:r>
      <w:r>
        <w:rPr>
          <w:rFonts w:hint="eastAsia" w:ascii="仿宋_GB2312" w:hAnsi="仿宋_GB2312" w:eastAsia="仿宋_GB2312"/>
          <w:sz w:val="32"/>
          <w:szCs w:val="24"/>
        </w:rPr>
        <w:t>突发公共卫生事件应急处理</w:t>
      </w:r>
      <w:r>
        <w:rPr>
          <w:rFonts w:ascii="仿宋_GB2312" w:hAnsi="仿宋_GB2312" w:eastAsia="仿宋_GB2312"/>
          <w:sz w:val="32"/>
          <w:szCs w:val="24"/>
        </w:rPr>
        <w:t>1111.00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2100499</w:t>
      </w:r>
      <w:r>
        <w:rPr>
          <w:rFonts w:hint="eastAsia" w:ascii="仿宋_GB2312" w:hAnsi="仿宋_GB2312" w:eastAsia="仿宋_GB2312"/>
          <w:sz w:val="32"/>
          <w:szCs w:val="24"/>
        </w:rPr>
        <w:t>其他公共卫生支出</w:t>
      </w:r>
      <w:r>
        <w:rPr>
          <w:rFonts w:ascii="仿宋_GB2312" w:hAnsi="仿宋_GB2312" w:eastAsia="仿宋_GB2312"/>
          <w:sz w:val="32"/>
          <w:szCs w:val="24"/>
        </w:rPr>
        <w:t>610.55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2100601</w:t>
      </w:r>
      <w:r>
        <w:rPr>
          <w:rFonts w:hint="eastAsia" w:ascii="仿宋_GB2312" w:hAnsi="仿宋_GB2312" w:eastAsia="仿宋_GB2312"/>
          <w:sz w:val="32"/>
          <w:szCs w:val="24"/>
        </w:rPr>
        <w:t>中医（民族医）药专项</w:t>
      </w:r>
      <w:r>
        <w:rPr>
          <w:rFonts w:ascii="仿宋_GB2312" w:hAnsi="仿宋_GB2312" w:eastAsia="仿宋_GB2312"/>
          <w:sz w:val="32"/>
          <w:szCs w:val="24"/>
        </w:rPr>
        <w:t>18.00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2100717</w:t>
      </w:r>
      <w:r>
        <w:rPr>
          <w:rFonts w:hint="eastAsia" w:ascii="仿宋_GB2312" w:hAnsi="仿宋_GB2312" w:eastAsia="仿宋_GB2312"/>
          <w:sz w:val="32"/>
          <w:szCs w:val="24"/>
        </w:rPr>
        <w:t>计划生育服务</w:t>
      </w:r>
      <w:r>
        <w:rPr>
          <w:rFonts w:ascii="仿宋_GB2312" w:hAnsi="仿宋_GB2312" w:eastAsia="仿宋_GB2312"/>
          <w:sz w:val="32"/>
          <w:szCs w:val="24"/>
        </w:rPr>
        <w:t>76.77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2100799</w:t>
      </w:r>
      <w:r>
        <w:rPr>
          <w:rFonts w:hint="eastAsia" w:ascii="仿宋_GB2312" w:hAnsi="仿宋_GB2312" w:eastAsia="仿宋_GB2312"/>
          <w:sz w:val="32"/>
          <w:szCs w:val="24"/>
        </w:rPr>
        <w:t>其他计划生育事务支出</w:t>
      </w:r>
      <w:r>
        <w:rPr>
          <w:rFonts w:ascii="仿宋_GB2312" w:hAnsi="仿宋_GB2312" w:eastAsia="仿宋_GB2312"/>
          <w:sz w:val="32"/>
          <w:szCs w:val="24"/>
        </w:rPr>
        <w:t>366.73</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2130199</w:t>
      </w:r>
      <w:r>
        <w:rPr>
          <w:rFonts w:hint="eastAsia" w:ascii="仿宋_GB2312" w:hAnsi="仿宋_GB2312" w:eastAsia="仿宋_GB2312"/>
          <w:sz w:val="32"/>
          <w:szCs w:val="24"/>
        </w:rPr>
        <w:t>其他农业农村支出</w:t>
      </w:r>
      <w:r>
        <w:rPr>
          <w:rFonts w:ascii="仿宋_GB2312" w:hAnsi="仿宋_GB2312" w:eastAsia="仿宋_GB2312"/>
          <w:sz w:val="32"/>
          <w:szCs w:val="24"/>
        </w:rPr>
        <w:t>373.87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2139999</w:t>
      </w:r>
      <w:r>
        <w:rPr>
          <w:rFonts w:hint="eastAsia" w:ascii="仿宋_GB2312" w:hAnsi="仿宋_GB2312" w:eastAsia="仿宋_GB2312"/>
          <w:sz w:val="32"/>
          <w:szCs w:val="24"/>
        </w:rPr>
        <w:t>其他农林水支出</w:t>
      </w:r>
      <w:r>
        <w:rPr>
          <w:rFonts w:ascii="仿宋_GB2312" w:hAnsi="仿宋_GB2312" w:eastAsia="仿宋_GB2312"/>
          <w:sz w:val="32"/>
          <w:szCs w:val="24"/>
        </w:rPr>
        <w:t>95.82</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2220511</w:t>
      </w:r>
      <w:r>
        <w:rPr>
          <w:rFonts w:hint="eastAsia" w:ascii="仿宋_GB2312" w:hAnsi="仿宋_GB2312" w:eastAsia="仿宋_GB2312"/>
          <w:sz w:val="32"/>
          <w:szCs w:val="24"/>
        </w:rPr>
        <w:t>应急物资储备</w:t>
      </w:r>
      <w:r>
        <w:rPr>
          <w:rFonts w:ascii="仿宋_GB2312" w:hAnsi="仿宋_GB2312" w:eastAsia="仿宋_GB2312"/>
          <w:sz w:val="32"/>
          <w:szCs w:val="24"/>
        </w:rPr>
        <w:t>240.00</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421.21</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317.35</w:t>
      </w:r>
      <w:r>
        <w:rPr>
          <w:rFonts w:hint="eastAsia" w:ascii="仿宋_GB2312" w:hAnsi="仿宋_GB2312" w:eastAsia="仿宋_GB2312"/>
          <w:sz w:val="32"/>
          <w:szCs w:val="24"/>
        </w:rPr>
        <w:t>万元，包括：基本工资、津贴补贴、奖金、机关事业单位基本养老保险缴费、职业年金缴费、职工基本医疗保险缴费、公务员医疗补助缴费、其他社会保障缴费、住房公积金、其他工资福利支出、退休费、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103.86</w:t>
      </w:r>
      <w:r>
        <w:rPr>
          <w:rFonts w:hint="eastAsia" w:ascii="仿宋_GB2312" w:hAnsi="仿宋_GB2312" w:eastAsia="仿宋_GB2312"/>
          <w:sz w:val="32"/>
          <w:szCs w:val="24"/>
        </w:rPr>
        <w:t>万元，包括：办公费、水费、邮电费、取暖费、物业管理费、差旅费、维修（护）费、公务接待费、工会经费、公务用车运行维护费、税金及附加费用。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0.80</w:t>
      </w:r>
      <w:r>
        <w:rPr>
          <w:rFonts w:hint="eastAsia" w:ascii="仿宋_GB2312" w:hAnsi="仿宋_GB2312" w:eastAsia="仿宋_GB2312"/>
          <w:sz w:val="32"/>
          <w:szCs w:val="24"/>
        </w:rPr>
        <w:t>万元，比上年减少</w:t>
      </w:r>
      <w:r>
        <w:rPr>
          <w:rFonts w:ascii="仿宋_GB2312" w:hAnsi="仿宋_GB2312" w:eastAsia="仿宋_GB2312"/>
          <w:sz w:val="32"/>
          <w:szCs w:val="24"/>
        </w:rPr>
        <w:t>0.05</w:t>
      </w:r>
      <w:r>
        <w:rPr>
          <w:rFonts w:hint="eastAsia" w:ascii="仿宋_GB2312" w:hAnsi="仿宋_GB2312" w:eastAsia="仿宋_GB2312"/>
          <w:sz w:val="32"/>
          <w:szCs w:val="24"/>
        </w:rPr>
        <w:t>万元，降低</w:t>
      </w:r>
      <w:r>
        <w:rPr>
          <w:rFonts w:ascii="仿宋_GB2312" w:hAnsi="仿宋_GB2312" w:eastAsia="仿宋_GB2312"/>
          <w:sz w:val="32"/>
          <w:szCs w:val="24"/>
        </w:rPr>
        <w:t>5.88%</w:t>
      </w:r>
      <w:r>
        <w:rPr>
          <w:rFonts w:hint="eastAsia" w:ascii="仿宋_GB2312" w:hAnsi="仿宋_GB2312" w:eastAsia="仿宋_GB2312"/>
          <w:sz w:val="32"/>
          <w:szCs w:val="24"/>
        </w:rPr>
        <w:t>，主要原因是减少车辆燃油费、维修维护费开支，减少接待次数安排。其中，因公出国（境）费支出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万元，占</w:t>
      </w:r>
      <w:r>
        <w:rPr>
          <w:rFonts w:ascii="仿宋_GB2312" w:hAnsi="仿宋_GB2312" w:eastAsia="仿宋_GB2312"/>
          <w:sz w:val="32"/>
          <w:szCs w:val="24"/>
        </w:rPr>
        <w:t>0.00%</w:t>
      </w:r>
      <w:r>
        <w:rPr>
          <w:rFonts w:hint="eastAsia" w:ascii="仿宋_GB2312" w:hAnsi="仿宋_GB2312" w:eastAsia="仿宋_GB2312"/>
          <w:sz w:val="32"/>
          <w:szCs w:val="24"/>
        </w:rPr>
        <w:t>，比上年增加</w:t>
      </w:r>
      <w:r>
        <w:rPr>
          <w:rFonts w:ascii="仿宋_GB2312" w:hAnsi="仿宋_GB2312" w:eastAsia="仿宋_GB2312"/>
          <w:sz w:val="32"/>
          <w:szCs w:val="24"/>
        </w:rPr>
        <w:t>0.00</w:t>
      </w:r>
      <w:r>
        <w:rPr>
          <w:rFonts w:hint="eastAsia" w:ascii="仿宋_GB2312" w:hAnsi="仿宋_GB2312" w:eastAsia="仿宋_GB2312"/>
          <w:sz w:val="32"/>
          <w:szCs w:val="24"/>
        </w:rPr>
        <w:t>万元，增长</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0.50</w:t>
      </w:r>
      <w:r>
        <w:rPr>
          <w:rFonts w:hint="eastAsia" w:ascii="仿宋_GB2312" w:hAnsi="仿宋_GB2312" w:eastAsia="仿宋_GB2312"/>
          <w:sz w:val="32"/>
          <w:szCs w:val="24"/>
        </w:rPr>
        <w:t>万元，占</w:t>
      </w:r>
      <w:r>
        <w:rPr>
          <w:rFonts w:ascii="仿宋_GB2312" w:hAnsi="仿宋_GB2312" w:eastAsia="仿宋_GB2312"/>
          <w:sz w:val="32"/>
          <w:szCs w:val="24"/>
        </w:rPr>
        <w:t>62.</w:t>
      </w:r>
      <w:r>
        <w:rPr>
          <w:rFonts w:hint="eastAsia" w:ascii="仿宋_GB2312" w:hAnsi="仿宋_GB2312" w:eastAsia="仿宋_GB2312"/>
          <w:sz w:val="32"/>
          <w:szCs w:val="24"/>
        </w:rPr>
        <w:t>50</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0.01</w:t>
      </w:r>
      <w:r>
        <w:rPr>
          <w:rFonts w:hint="eastAsia" w:ascii="仿宋_GB2312" w:hAnsi="仿宋_GB2312" w:eastAsia="仿宋_GB2312"/>
          <w:sz w:val="32"/>
          <w:szCs w:val="24"/>
        </w:rPr>
        <w:t>万元，降低</w:t>
      </w:r>
      <w:r>
        <w:rPr>
          <w:rFonts w:ascii="仿宋_GB2312" w:hAnsi="仿宋_GB2312" w:eastAsia="仿宋_GB2312"/>
          <w:sz w:val="32"/>
          <w:szCs w:val="24"/>
        </w:rPr>
        <w:t>1.96%</w:t>
      </w:r>
      <w:r>
        <w:rPr>
          <w:rFonts w:hint="eastAsia" w:ascii="仿宋_GB2312" w:hAnsi="仿宋_GB2312" w:eastAsia="仿宋_GB2312"/>
          <w:sz w:val="32"/>
          <w:szCs w:val="24"/>
        </w:rPr>
        <w:t>，主要原因是减少车辆燃油费、维修维护费开支，公务用车购置及运行维护费支出较上年减少；公务接待费支出</w:t>
      </w:r>
      <w:r>
        <w:rPr>
          <w:rFonts w:ascii="仿宋_GB2312" w:hAnsi="仿宋_GB2312" w:eastAsia="仿宋_GB2312"/>
          <w:sz w:val="32"/>
          <w:szCs w:val="24"/>
        </w:rPr>
        <w:t>0.30</w:t>
      </w:r>
      <w:r>
        <w:rPr>
          <w:rFonts w:hint="eastAsia" w:ascii="仿宋_GB2312" w:hAnsi="仿宋_GB2312" w:eastAsia="仿宋_GB2312"/>
          <w:sz w:val="32"/>
          <w:szCs w:val="24"/>
        </w:rPr>
        <w:t>万元，占</w:t>
      </w:r>
      <w:r>
        <w:rPr>
          <w:rFonts w:ascii="仿宋_GB2312" w:hAnsi="仿宋_GB2312" w:eastAsia="仿宋_GB2312"/>
          <w:sz w:val="32"/>
          <w:szCs w:val="24"/>
        </w:rPr>
        <w:t>37.</w:t>
      </w:r>
      <w:r>
        <w:rPr>
          <w:rFonts w:hint="eastAsia" w:ascii="仿宋_GB2312" w:hAnsi="仿宋_GB2312" w:eastAsia="仿宋_GB2312"/>
          <w:sz w:val="32"/>
          <w:szCs w:val="24"/>
        </w:rPr>
        <w:t>50</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0.04</w:t>
      </w:r>
      <w:r>
        <w:rPr>
          <w:rFonts w:hint="eastAsia" w:ascii="仿宋_GB2312" w:hAnsi="仿宋_GB2312" w:eastAsia="仿宋_GB2312"/>
          <w:sz w:val="32"/>
          <w:szCs w:val="24"/>
        </w:rPr>
        <w:t>万元，降低</w:t>
      </w:r>
      <w:r>
        <w:rPr>
          <w:rFonts w:ascii="仿宋_GB2312" w:hAnsi="仿宋_GB2312" w:eastAsia="仿宋_GB2312"/>
          <w:sz w:val="32"/>
          <w:szCs w:val="24"/>
        </w:rPr>
        <w:t>11.76%</w:t>
      </w:r>
      <w:r>
        <w:rPr>
          <w:rFonts w:hint="eastAsia" w:ascii="仿宋_GB2312" w:hAnsi="仿宋_GB2312" w:eastAsia="仿宋_GB2312"/>
          <w:sz w:val="32"/>
          <w:szCs w:val="24"/>
        </w:rPr>
        <w:t>，主要原因是减少接待数次数，公务接待费支出较上年减少。具体情况如下：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0.50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0.50</w:t>
      </w:r>
      <w:r>
        <w:rPr>
          <w:rFonts w:hint="eastAsia" w:ascii="仿宋_GB2312" w:hAnsi="仿宋_GB2312" w:eastAsia="仿宋_GB2312"/>
          <w:sz w:val="32"/>
          <w:szCs w:val="24"/>
        </w:rPr>
        <w:t>万元。公务用车运行维护费开支内容包括燃油费、维修维护费。公务用车购置数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3</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0.30</w:t>
      </w:r>
      <w:r>
        <w:rPr>
          <w:rFonts w:hint="eastAsia" w:ascii="仿宋_GB2312" w:hAnsi="仿宋_GB2312" w:eastAsia="仿宋_GB2312"/>
          <w:sz w:val="32"/>
          <w:szCs w:val="24"/>
        </w:rPr>
        <w:t>万元，开支内容包括检查接待餐费。单位全年安排的国内公务接待</w:t>
      </w:r>
      <w:r>
        <w:rPr>
          <w:rFonts w:ascii="仿宋_GB2312" w:hAnsi="仿宋_GB2312" w:eastAsia="仿宋_GB2312"/>
          <w:sz w:val="32"/>
          <w:szCs w:val="24"/>
        </w:rPr>
        <w:t>7</w:t>
      </w:r>
      <w:r>
        <w:rPr>
          <w:rFonts w:hint="eastAsia" w:ascii="仿宋_GB2312" w:hAnsi="仿宋_GB2312" w:eastAsia="仿宋_GB2312"/>
          <w:sz w:val="32"/>
          <w:szCs w:val="24"/>
        </w:rPr>
        <w:t>批次，</w:t>
      </w:r>
      <w:r>
        <w:rPr>
          <w:rFonts w:ascii="仿宋_GB2312" w:hAnsi="仿宋_GB2312" w:eastAsia="仿宋_GB2312"/>
          <w:sz w:val="32"/>
          <w:szCs w:val="24"/>
        </w:rPr>
        <w:t>62</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0.80</w:t>
      </w:r>
      <w:r>
        <w:rPr>
          <w:rFonts w:hint="eastAsia" w:ascii="仿宋_GB2312" w:hAnsi="仿宋_GB2312" w:eastAsia="仿宋_GB2312"/>
          <w:sz w:val="32"/>
          <w:szCs w:val="24"/>
        </w:rPr>
        <w:t>万元，决算数</w:t>
      </w:r>
      <w:r>
        <w:rPr>
          <w:rFonts w:ascii="仿宋_GB2312" w:hAnsi="仿宋_GB2312" w:eastAsia="仿宋_GB2312"/>
          <w:sz w:val="32"/>
          <w:szCs w:val="24"/>
        </w:rPr>
        <w:t>0.80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，主要原因是：2</w:t>
      </w:r>
      <w:r>
        <w:rPr>
          <w:rFonts w:ascii="仿宋_GB2312" w:hAnsi="仿宋_GB2312" w:eastAsia="仿宋_GB2312"/>
          <w:sz w:val="32"/>
          <w:szCs w:val="24"/>
        </w:rPr>
        <w:t>020</w:t>
      </w:r>
      <w:r>
        <w:rPr>
          <w:rFonts w:hint="eastAsia" w:ascii="仿宋_GB2312" w:hAnsi="仿宋_GB2312" w:eastAsia="仿宋_GB2312"/>
          <w:sz w:val="32"/>
          <w:szCs w:val="24"/>
        </w:rPr>
        <w:t>年我单位</w:t>
      </w:r>
      <w:r>
        <w:rPr>
          <w:rFonts w:hint="eastAsia" w:ascii="仿宋_GB2312" w:eastAsia="仿宋_GB2312"/>
          <w:sz w:val="32"/>
          <w:szCs w:val="22"/>
        </w:rPr>
        <w:t>严格执行中央八项规定，控制</w:t>
      </w:r>
      <w:r>
        <w:rPr>
          <w:rFonts w:hint="eastAsia" w:ascii="仿宋_GB2312" w:hAnsi="仿宋_GB2312" w:eastAsia="仿宋_GB2312"/>
          <w:sz w:val="32"/>
          <w:szCs w:val="24"/>
        </w:rPr>
        <w:t>“三公”经费，因此预决算相比无差异。其中：因公出国（境）费预算数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0.00</w:t>
      </w:r>
      <w:r>
        <w:rPr>
          <w:rFonts w:hint="eastAsia" w:ascii="仿宋_GB2312" w:hAnsi="仿宋_GB2312" w:eastAsia="仿宋_GB2312"/>
          <w:sz w:val="32"/>
          <w:szCs w:val="24"/>
        </w:rPr>
        <w:t>万元，决算数</w:t>
      </w:r>
      <w:r>
        <w:rPr>
          <w:rFonts w:ascii="仿宋_GB2312" w:hAnsi="仿宋_GB2312" w:eastAsia="仿宋_GB2312"/>
          <w:sz w:val="32"/>
          <w:szCs w:val="24"/>
        </w:rPr>
        <w:t>0.00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年未安排公务用车购置费预算；公务用车运行费预算数</w:t>
      </w:r>
      <w:r>
        <w:rPr>
          <w:rFonts w:ascii="仿宋_GB2312" w:hAnsi="仿宋_GB2312" w:eastAsia="仿宋_GB2312"/>
          <w:sz w:val="32"/>
          <w:szCs w:val="24"/>
        </w:rPr>
        <w:t>0.50</w:t>
      </w:r>
      <w:r>
        <w:rPr>
          <w:rFonts w:hint="eastAsia" w:ascii="仿宋_GB2312" w:hAnsi="仿宋_GB2312" w:eastAsia="仿宋_GB2312"/>
          <w:sz w:val="32"/>
          <w:szCs w:val="24"/>
        </w:rPr>
        <w:t>万元，决算数</w:t>
      </w:r>
      <w:r>
        <w:rPr>
          <w:rFonts w:ascii="仿宋_GB2312" w:hAnsi="仿宋_GB2312" w:eastAsia="仿宋_GB2312"/>
          <w:sz w:val="32"/>
          <w:szCs w:val="24"/>
        </w:rPr>
        <w:t>0.50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，主要原因是：2</w:t>
      </w:r>
      <w:r>
        <w:rPr>
          <w:rFonts w:ascii="仿宋_GB2312" w:hAnsi="仿宋_GB2312" w:eastAsia="仿宋_GB2312"/>
          <w:sz w:val="32"/>
          <w:szCs w:val="24"/>
        </w:rPr>
        <w:t>020</w:t>
      </w:r>
      <w:r>
        <w:rPr>
          <w:rFonts w:hint="eastAsia" w:ascii="仿宋_GB2312" w:hAnsi="仿宋_GB2312" w:eastAsia="仿宋_GB2312"/>
          <w:sz w:val="32"/>
          <w:szCs w:val="24"/>
        </w:rPr>
        <w:t>年我单位</w:t>
      </w:r>
      <w:r>
        <w:rPr>
          <w:rFonts w:hint="eastAsia" w:ascii="仿宋_GB2312" w:eastAsia="仿宋_GB2312"/>
          <w:sz w:val="32"/>
          <w:szCs w:val="22"/>
        </w:rPr>
        <w:t>严格执行中央八项规定，控制</w:t>
      </w:r>
      <w:r>
        <w:rPr>
          <w:rFonts w:hint="eastAsia" w:ascii="仿宋_GB2312" w:hAnsi="仿宋_GB2312" w:eastAsia="仿宋_GB2312"/>
          <w:sz w:val="32"/>
          <w:szCs w:val="24"/>
        </w:rPr>
        <w:t>公务用车运行费支出，因此预决算相比无差异；公务接待费预算数</w:t>
      </w:r>
      <w:r>
        <w:rPr>
          <w:rFonts w:ascii="仿宋_GB2312" w:hAnsi="仿宋_GB2312" w:eastAsia="仿宋_GB2312"/>
          <w:sz w:val="32"/>
          <w:szCs w:val="24"/>
        </w:rPr>
        <w:t>0.30</w:t>
      </w:r>
      <w:r>
        <w:rPr>
          <w:rFonts w:hint="eastAsia" w:ascii="仿宋_GB2312" w:hAnsi="仿宋_GB2312" w:eastAsia="仿宋_GB2312"/>
          <w:sz w:val="32"/>
          <w:szCs w:val="24"/>
        </w:rPr>
        <w:t>万元，决算数</w:t>
      </w:r>
      <w:r>
        <w:rPr>
          <w:rFonts w:ascii="仿宋_GB2312" w:hAnsi="仿宋_GB2312" w:eastAsia="仿宋_GB2312"/>
          <w:sz w:val="32"/>
          <w:szCs w:val="24"/>
        </w:rPr>
        <w:t>0.30</w:t>
      </w:r>
      <w:r>
        <w:rPr>
          <w:rFonts w:hint="eastAsia" w:ascii="仿宋_GB2312" w:hAnsi="仿宋_GB2312" w:eastAsia="仿宋_GB2312"/>
          <w:sz w:val="32"/>
          <w:szCs w:val="24"/>
        </w:rPr>
        <w:t>万元，预决算差异率</w:t>
      </w:r>
      <w:r>
        <w:rPr>
          <w:rFonts w:ascii="仿宋_GB2312" w:hAnsi="仿宋_GB2312" w:eastAsia="仿宋_GB2312"/>
          <w:sz w:val="32"/>
          <w:szCs w:val="24"/>
        </w:rPr>
        <w:t>0.00%</w:t>
      </w:r>
      <w:r>
        <w:rPr>
          <w:rFonts w:hint="eastAsia" w:ascii="仿宋_GB2312" w:hAnsi="仿宋_GB2312" w:eastAsia="仿宋_GB2312"/>
          <w:sz w:val="32"/>
          <w:szCs w:val="24"/>
        </w:rPr>
        <w:t>，主要原因是：2</w:t>
      </w:r>
      <w:r>
        <w:rPr>
          <w:rFonts w:ascii="仿宋_GB2312" w:hAnsi="仿宋_GB2312" w:eastAsia="仿宋_GB2312"/>
          <w:sz w:val="32"/>
          <w:szCs w:val="24"/>
        </w:rPr>
        <w:t>020</w:t>
      </w:r>
      <w:r>
        <w:rPr>
          <w:rFonts w:hint="eastAsia" w:ascii="仿宋_GB2312" w:hAnsi="仿宋_GB2312" w:eastAsia="仿宋_GB2312"/>
          <w:sz w:val="32"/>
          <w:szCs w:val="24"/>
        </w:rPr>
        <w:t>年我单位</w:t>
      </w:r>
      <w:r>
        <w:rPr>
          <w:rFonts w:hint="eastAsia" w:ascii="仿宋_GB2312" w:eastAsia="仿宋_GB2312"/>
          <w:sz w:val="32"/>
          <w:szCs w:val="22"/>
        </w:rPr>
        <w:t>严格执行中央八项规定，控制</w:t>
      </w:r>
      <w:r>
        <w:rPr>
          <w:rFonts w:hint="eastAsia" w:ascii="仿宋_GB2312" w:hAnsi="仿宋_GB2312" w:eastAsia="仿宋_GB2312"/>
          <w:sz w:val="32"/>
          <w:szCs w:val="24"/>
        </w:rPr>
        <w:t>公务接待费支出，因此预决算相比无差异。</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年度政府性基金预算财政拨款收入</w:t>
      </w:r>
      <w:r>
        <w:rPr>
          <w:rFonts w:ascii="仿宋_GB2312" w:hAnsi="仿宋_GB2312" w:eastAsia="仿宋_GB2312"/>
          <w:sz w:val="32"/>
          <w:szCs w:val="24"/>
        </w:rPr>
        <w:t>10,512.06</w:t>
      </w:r>
      <w:r>
        <w:rPr>
          <w:rFonts w:hint="eastAsia" w:ascii="仿宋_GB2312" w:hAnsi="仿宋_GB2312" w:eastAsia="仿宋_GB2312"/>
          <w:sz w:val="32"/>
          <w:szCs w:val="24"/>
        </w:rPr>
        <w:t>万元，与上年相比，增加</w:t>
      </w:r>
      <w:r>
        <w:rPr>
          <w:rFonts w:ascii="仿宋_GB2312" w:hAnsi="仿宋_GB2312" w:eastAsia="仿宋_GB2312"/>
          <w:sz w:val="32"/>
          <w:szCs w:val="24"/>
        </w:rPr>
        <w:t>5,025.64</w:t>
      </w:r>
      <w:r>
        <w:rPr>
          <w:rFonts w:hint="eastAsia" w:ascii="仿宋_GB2312" w:hAnsi="仿宋_GB2312" w:eastAsia="仿宋_GB2312"/>
          <w:sz w:val="32"/>
          <w:szCs w:val="24"/>
        </w:rPr>
        <w:t>万元，增长</w:t>
      </w:r>
      <w:r>
        <w:rPr>
          <w:rFonts w:ascii="仿宋_GB2312" w:hAnsi="仿宋_GB2312" w:eastAsia="仿宋_GB2312"/>
          <w:sz w:val="32"/>
          <w:szCs w:val="24"/>
        </w:rPr>
        <w:t>91.60%</w:t>
      </w:r>
      <w:r>
        <w:rPr>
          <w:rFonts w:hint="eastAsia" w:ascii="仿宋_GB2312" w:hAnsi="仿宋_GB2312" w:eastAsia="仿宋_GB2312"/>
          <w:sz w:val="32"/>
          <w:szCs w:val="24"/>
        </w:rPr>
        <w:t>，主要原因是：增加了县医院、中医院、县疾控中心实验室项目及县医院、中医院发热门诊项目，因此政府性</w:t>
      </w:r>
      <w:r>
        <w:rPr>
          <w:rFonts w:hint="eastAsia" w:ascii="仿宋_GB2312" w:hAnsi="仿宋_GB2312" w:eastAsia="仿宋_GB2312"/>
          <w:sz w:val="32"/>
          <w:szCs w:val="24"/>
          <w:lang w:val="en-US" w:eastAsia="zh-CN"/>
        </w:rPr>
        <w:t>基金</w:t>
      </w:r>
      <w:r>
        <w:rPr>
          <w:rFonts w:hint="eastAsia" w:ascii="仿宋_GB2312" w:hAnsi="仿宋_GB2312" w:eastAsia="仿宋_GB2312"/>
          <w:sz w:val="32"/>
          <w:szCs w:val="24"/>
        </w:rPr>
        <w:t>收入较上年增加。政府性基金预算财政拨款支出</w:t>
      </w:r>
      <w:r>
        <w:rPr>
          <w:rFonts w:ascii="仿宋_GB2312" w:hAnsi="仿宋_GB2312" w:eastAsia="仿宋_GB2312"/>
          <w:sz w:val="32"/>
          <w:szCs w:val="24"/>
        </w:rPr>
        <w:t>10,512.06</w:t>
      </w:r>
      <w:r>
        <w:rPr>
          <w:rFonts w:hint="eastAsia" w:ascii="仿宋_GB2312" w:hAnsi="仿宋_GB2312" w:eastAsia="仿宋_GB2312"/>
          <w:sz w:val="32"/>
          <w:szCs w:val="24"/>
        </w:rPr>
        <w:t>万元。与上年相比，增加</w:t>
      </w:r>
      <w:r>
        <w:rPr>
          <w:rFonts w:ascii="仿宋_GB2312" w:hAnsi="仿宋_GB2312" w:eastAsia="仿宋_GB2312"/>
          <w:sz w:val="32"/>
          <w:szCs w:val="24"/>
        </w:rPr>
        <w:t>5,025.64</w:t>
      </w:r>
      <w:r>
        <w:rPr>
          <w:rFonts w:hint="eastAsia" w:ascii="仿宋_GB2312" w:hAnsi="仿宋_GB2312" w:eastAsia="仿宋_GB2312"/>
          <w:sz w:val="32"/>
          <w:szCs w:val="24"/>
        </w:rPr>
        <w:t>万元，增长</w:t>
      </w:r>
      <w:r>
        <w:rPr>
          <w:rFonts w:ascii="仿宋_GB2312" w:hAnsi="仿宋_GB2312" w:eastAsia="仿宋_GB2312"/>
          <w:sz w:val="32"/>
          <w:szCs w:val="24"/>
        </w:rPr>
        <w:t>91.60%</w:t>
      </w:r>
      <w:r>
        <w:rPr>
          <w:rFonts w:hint="eastAsia" w:ascii="仿宋_GB2312" w:hAnsi="仿宋_GB2312" w:eastAsia="仿宋_GB2312"/>
          <w:sz w:val="32"/>
          <w:szCs w:val="24"/>
        </w:rPr>
        <w:t>。主要原因是：增加了县医院、中医院、县疾控中心实验室项目及县医院、中医院发热门诊项目，因此政府性基金支出较上年增加。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年度新疆昌吉玛纳斯县卫生健康委员会（行政单位和参照公务员法管理事业单位）机关运行经费支出</w:t>
      </w:r>
      <w:r>
        <w:rPr>
          <w:rFonts w:ascii="仿宋_GB2312" w:hAnsi="仿宋_GB2312" w:eastAsia="仿宋_GB2312"/>
          <w:sz w:val="32"/>
          <w:szCs w:val="24"/>
        </w:rPr>
        <w:t>103.86</w:t>
      </w:r>
      <w:r>
        <w:rPr>
          <w:rFonts w:hint="eastAsia" w:ascii="仿宋_GB2312" w:hAnsi="仿宋_GB2312" w:eastAsia="仿宋_GB2312"/>
          <w:sz w:val="32"/>
          <w:szCs w:val="24"/>
        </w:rPr>
        <w:t>万元，比上年减少</w:t>
      </w:r>
      <w:r>
        <w:rPr>
          <w:rFonts w:ascii="仿宋_GB2312" w:hAnsi="仿宋_GB2312" w:eastAsia="仿宋_GB2312"/>
          <w:sz w:val="32"/>
          <w:szCs w:val="24"/>
        </w:rPr>
        <w:t>29.70</w:t>
      </w:r>
      <w:r>
        <w:rPr>
          <w:rFonts w:hint="eastAsia" w:ascii="仿宋_GB2312" w:hAnsi="仿宋_GB2312" w:eastAsia="仿宋_GB2312"/>
          <w:sz w:val="32"/>
          <w:szCs w:val="24"/>
        </w:rPr>
        <w:t>万元，降低</w:t>
      </w:r>
      <w:r>
        <w:rPr>
          <w:rFonts w:ascii="仿宋_GB2312" w:hAnsi="仿宋_GB2312" w:eastAsia="仿宋_GB2312"/>
          <w:sz w:val="32"/>
          <w:szCs w:val="24"/>
        </w:rPr>
        <w:t>22.24%</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年支出减少了印刷费、电费、培训费、其他交通费用支出；</w:t>
      </w:r>
      <w:r>
        <w:rPr>
          <w:rFonts w:ascii="仿宋_GB2312" w:hAnsi="仿宋_GB2312" w:eastAsia="仿宋_GB2312"/>
          <w:sz w:val="32"/>
          <w:szCs w:val="24"/>
        </w:rPr>
        <w:t>2020</w:t>
      </w:r>
      <w:r>
        <w:rPr>
          <w:rFonts w:hint="eastAsia" w:ascii="仿宋_GB2312" w:hAnsi="仿宋_GB2312" w:eastAsia="仿宋_GB2312"/>
          <w:sz w:val="32"/>
          <w:szCs w:val="24"/>
        </w:rPr>
        <w:t>年维修费支出比</w:t>
      </w:r>
      <w:r>
        <w:rPr>
          <w:rFonts w:ascii="仿宋_GB2312" w:hAnsi="仿宋_GB2312" w:eastAsia="仿宋_GB2312"/>
          <w:sz w:val="32"/>
          <w:szCs w:val="24"/>
        </w:rPr>
        <w:t>2019</w:t>
      </w:r>
      <w:r>
        <w:rPr>
          <w:rFonts w:hint="eastAsia" w:ascii="仿宋_GB2312" w:hAnsi="仿宋_GB2312" w:eastAsia="仿宋_GB2312"/>
          <w:sz w:val="32"/>
          <w:szCs w:val="24"/>
        </w:rPr>
        <w:t>决算减少，减少原因是</w:t>
      </w:r>
      <w:r>
        <w:rPr>
          <w:rFonts w:ascii="仿宋_GB2312" w:hAnsi="仿宋_GB2312" w:eastAsia="仿宋_GB2312"/>
          <w:sz w:val="32"/>
          <w:szCs w:val="24"/>
        </w:rPr>
        <w:t>2019</w:t>
      </w:r>
      <w:r>
        <w:rPr>
          <w:rFonts w:hint="eastAsia" w:ascii="仿宋_GB2312" w:hAnsi="仿宋_GB2312" w:eastAsia="仿宋_GB2312"/>
          <w:sz w:val="32"/>
          <w:szCs w:val="24"/>
        </w:rPr>
        <w:t>年维修费包括十三所卫生室地勘费，妇幼保健站，计生指导站综合业务楼工程监理费用，清水河、凉州户卫生院工程前期费用，凉州户卫生院建设项目前期费用，</w:t>
      </w:r>
      <w:r>
        <w:rPr>
          <w:rFonts w:ascii="仿宋_GB2312" w:hAnsi="仿宋_GB2312" w:eastAsia="仿宋_GB2312"/>
          <w:sz w:val="32"/>
          <w:szCs w:val="24"/>
        </w:rPr>
        <w:t>2020</w:t>
      </w:r>
      <w:r>
        <w:rPr>
          <w:rFonts w:hint="eastAsia" w:ascii="仿宋_GB2312" w:hAnsi="仿宋_GB2312" w:eastAsia="仿宋_GB2312"/>
          <w:sz w:val="32"/>
          <w:szCs w:val="24"/>
        </w:rPr>
        <w:t>年没有这几项支出。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969.64</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969.64</w:t>
      </w:r>
      <w:r>
        <w:rPr>
          <w:rFonts w:hint="eastAsia" w:ascii="仿宋_GB2312" w:hAnsi="仿宋_GB2312" w:eastAsia="仿宋_GB2312"/>
          <w:sz w:val="32"/>
          <w:szCs w:val="24"/>
        </w:rPr>
        <w:t>万元、政府采购工程支出</w:t>
      </w:r>
      <w:r>
        <w:rPr>
          <w:rFonts w:ascii="仿宋_GB2312" w:hAnsi="仿宋_GB2312" w:eastAsia="仿宋_GB2312"/>
          <w:sz w:val="32"/>
          <w:szCs w:val="24"/>
        </w:rPr>
        <w:t>0.00</w:t>
      </w:r>
      <w:r>
        <w:rPr>
          <w:rFonts w:hint="eastAsia" w:ascii="仿宋_GB2312" w:hAnsi="仿宋_GB2312" w:eastAsia="仿宋_GB2312"/>
          <w:sz w:val="32"/>
          <w:szCs w:val="24"/>
        </w:rPr>
        <w:t>万元、政府采购服务支出</w:t>
      </w:r>
      <w:r>
        <w:rPr>
          <w:rFonts w:ascii="仿宋_GB2312" w:hAnsi="仿宋_GB2312" w:eastAsia="仿宋_GB2312"/>
          <w:sz w:val="32"/>
          <w:szCs w:val="24"/>
        </w:rPr>
        <w:t>0.00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969.64</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100.00%</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929.79</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95.89%</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6,504.36</w:t>
      </w:r>
      <w:r>
        <w:rPr>
          <w:rFonts w:hint="eastAsia" w:ascii="仿宋_GB2312" w:hAnsi="仿宋_GB2312" w:eastAsia="仿宋_GB2312"/>
          <w:sz w:val="32"/>
          <w:szCs w:val="24"/>
        </w:rPr>
        <w:t>（平方米），价值</w:t>
      </w:r>
      <w:r>
        <w:rPr>
          <w:rFonts w:ascii="仿宋_GB2312" w:hAnsi="仿宋_GB2312" w:eastAsia="仿宋_GB2312"/>
          <w:sz w:val="32"/>
          <w:szCs w:val="24"/>
        </w:rPr>
        <w:t>1,819.37</w:t>
      </w:r>
      <w:r>
        <w:rPr>
          <w:rFonts w:hint="eastAsia" w:ascii="仿宋_GB2312" w:hAnsi="仿宋_GB2312" w:eastAsia="仿宋_GB2312"/>
          <w:sz w:val="32"/>
          <w:szCs w:val="24"/>
        </w:rPr>
        <w:t>万元。车辆</w:t>
      </w:r>
      <w:r>
        <w:rPr>
          <w:rFonts w:ascii="仿宋_GB2312" w:hAnsi="仿宋_GB2312" w:eastAsia="仿宋_GB2312"/>
          <w:sz w:val="32"/>
          <w:szCs w:val="24"/>
        </w:rPr>
        <w:t>3</w:t>
      </w:r>
      <w:r>
        <w:rPr>
          <w:rFonts w:hint="eastAsia" w:ascii="仿宋_GB2312" w:hAnsi="仿宋_GB2312" w:eastAsia="仿宋_GB2312"/>
          <w:sz w:val="32"/>
          <w:szCs w:val="24"/>
        </w:rPr>
        <w:t>辆，价值</w:t>
      </w:r>
      <w:r>
        <w:rPr>
          <w:rFonts w:ascii="仿宋_GB2312" w:hAnsi="仿宋_GB2312" w:eastAsia="仿宋_GB2312"/>
          <w:sz w:val="32"/>
          <w:szCs w:val="24"/>
        </w:rPr>
        <w:t>49.46</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3</w:t>
      </w:r>
      <w:r>
        <w:rPr>
          <w:rFonts w:hint="eastAsia" w:ascii="仿宋_GB2312" w:hAnsi="仿宋_GB2312" w:eastAsia="仿宋_GB2312"/>
          <w:sz w:val="32"/>
          <w:szCs w:val="24"/>
        </w:rPr>
        <w:t>辆，其他用车主要是：收发文件、接送人员用车；单位价值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sz w:val="32"/>
          <w:szCs w:val="24"/>
        </w:rPr>
        <w:t>根据预算绩效管理要求，我单位</w:t>
      </w:r>
      <w:r>
        <w:rPr>
          <w:rFonts w:ascii="仿宋_GB2312" w:hAnsi="仿宋_GB2312" w:eastAsia="仿宋_GB2312"/>
          <w:sz w:val="32"/>
          <w:szCs w:val="24"/>
        </w:rPr>
        <w:t>2020</w:t>
      </w:r>
      <w:r>
        <w:rPr>
          <w:rFonts w:hint="eastAsia" w:ascii="仿宋_GB2312" w:hAnsi="仿宋_GB2312" w:eastAsia="仿宋_GB2312"/>
          <w:sz w:val="32"/>
          <w:szCs w:val="24"/>
        </w:rPr>
        <w:t>年度开展预算绩效评价项目14个，共涉及资金11512.09万元。预算绩效管理取得的成效：一是家庭发展能力逐步提升，社会稳定水平逐步提高，稳定低生育水平；二是面对面入户覆盖率达到</w:t>
      </w:r>
      <w:r>
        <w:rPr>
          <w:rFonts w:ascii="仿宋_GB2312" w:hAnsi="仿宋_GB2312" w:eastAsia="仿宋_GB2312"/>
          <w:sz w:val="32"/>
          <w:szCs w:val="24"/>
        </w:rPr>
        <w:t>100%</w:t>
      </w:r>
      <w:r>
        <w:rPr>
          <w:rFonts w:hint="eastAsia" w:ascii="仿宋_GB2312" w:hAnsi="仿宋_GB2312" w:eastAsia="仿宋_GB2312"/>
          <w:sz w:val="32"/>
          <w:szCs w:val="24"/>
        </w:rPr>
        <w:t>，群众政策知晓率达到</w:t>
      </w:r>
      <w:r>
        <w:rPr>
          <w:rFonts w:ascii="仿宋_GB2312" w:hAnsi="仿宋_GB2312" w:eastAsia="仿宋_GB2312"/>
          <w:sz w:val="32"/>
          <w:szCs w:val="24"/>
        </w:rPr>
        <w:t>95%</w:t>
      </w:r>
      <w:r>
        <w:rPr>
          <w:rFonts w:hint="eastAsia" w:ascii="仿宋_GB2312" w:hAnsi="仿宋_GB2312" w:eastAsia="仿宋_GB2312"/>
          <w:sz w:val="32"/>
          <w:szCs w:val="24"/>
        </w:rPr>
        <w:t>，奖扶准确率发放率</w:t>
      </w:r>
      <w:r>
        <w:rPr>
          <w:rFonts w:ascii="仿宋_GB2312" w:hAnsi="仿宋_GB2312" w:eastAsia="仿宋_GB2312"/>
          <w:sz w:val="32"/>
          <w:szCs w:val="24"/>
        </w:rPr>
        <w:t>100%</w:t>
      </w:r>
      <w:r>
        <w:rPr>
          <w:rFonts w:hint="eastAsia" w:ascii="仿宋_GB2312" w:hAnsi="仿宋_GB2312" w:eastAsia="仿宋_GB2312"/>
          <w:sz w:val="32"/>
          <w:szCs w:val="24"/>
        </w:rPr>
        <w:t>，出生人口政策符合率</w:t>
      </w:r>
      <w:r>
        <w:rPr>
          <w:rFonts w:ascii="仿宋_GB2312" w:hAnsi="仿宋_GB2312" w:eastAsia="仿宋_GB2312"/>
          <w:sz w:val="32"/>
          <w:szCs w:val="24"/>
        </w:rPr>
        <w:t>99%</w:t>
      </w:r>
      <w:r>
        <w:rPr>
          <w:rFonts w:hint="eastAsia" w:ascii="仿宋_GB2312" w:hAnsi="仿宋_GB2312" w:eastAsia="仿宋_GB2312"/>
          <w:sz w:val="32"/>
          <w:szCs w:val="24"/>
        </w:rPr>
        <w:t>以上；倡导群众少生优生，引导群众负责、有计划安排生育，群众生育观念明显转变。三是</w:t>
      </w:r>
      <w:r>
        <w:rPr>
          <w:rFonts w:hint="eastAsia" w:ascii="仿宋_GB2312" w:hAnsi="仿宋_GB2312" w:eastAsia="仿宋_GB2312" w:cs="仿宋_GB2312"/>
          <w:sz w:val="32"/>
          <w:szCs w:val="32"/>
        </w:rPr>
        <w:t>精准、科学的掌握各项目推进进度；四是有针对性的对进展缓慢的项目制定整改，有效推进项目如期推进；五是</w:t>
      </w:r>
      <w:r>
        <w:rPr>
          <w:rFonts w:hint="eastAsia" w:ascii="仿宋_GB2312" w:hAnsi="仿宋_GB2312" w:eastAsia="仿宋_GB2312" w:cs="仿宋_GB2312"/>
          <w:bCs/>
          <w:sz w:val="32"/>
          <w:szCs w:val="32"/>
        </w:rPr>
        <w:t>本厕所革命项目实施后，使用经无害化处理后的粪便施肥，可以使农作物增产；降低农作物病虫害；节省购买化肥的费用；节省购买农药的费用，</w:t>
      </w:r>
      <w:r>
        <w:rPr>
          <w:rFonts w:hint="eastAsia" w:ascii="仿宋_GB2312" w:hAnsi="仿宋_GB2312" w:eastAsia="仿宋_GB2312" w:cs="仿宋_GB2312"/>
          <w:sz w:val="32"/>
          <w:szCs w:val="32"/>
        </w:rPr>
        <w:t>人居环境得到改善，村民清洁卫生意识明显提高，各示范村大力开展宣传工作，环境得到改善的同时，村民积极参与，形成良好的卫生意识。从单纯的事后评价向事前、事中、事后全过程管理转变，早发现问题早处理；六是家庭发展能力逐步提升，社会稳定水平逐步提高，稳定低生育水平，面对面入户覆盖率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，群众政策知晓率达到</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，奖扶准确率发放率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，出生人口政策符合率</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以上，倡导群众少生优生，引导群众负责、有计划安排生育，群众生育观念明显转变；七是精准、科学的掌握各项目推进进度，有针对性的对进展缓慢的项目制定整改，有效推进项目如期推进；八是现有乡村医生队伍相对稳定，保持基本医疗和公共卫生服务质量不下降；九是实现了乡镇卫生院中医药科室的集中设置，具有中医药文化氛围的装修风格，使群众更加乐于接受中医药服务，同时，各种治疗设备的配置，极大的提高了中医药的服务能力和诊疗水平，为解决中医药治疗农村多发病、常见病奠定了良好的基础；十是两家公立医院均严格执行药品零差率销售，城乡居民住院执行先诊疗、后付费制度，大大降低了住院费用，减轻了患者的经济负担。通过派出业务骨干到上级医院进修学习，带回来好的经验运用到临床，有效的提高了医疗护理质量，服务能力明显提高，群众满意度≥</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，县医院医共体建设有序开展，并取得实效，提高了基层医疗机构的服务能力和服务水平。</w:t>
      </w:r>
      <w:r>
        <w:rPr>
          <w:rFonts w:hint="eastAsia" w:ascii="仿宋_GB2312" w:hAnsi="仿宋_GB2312" w:eastAsia="仿宋_GB2312"/>
          <w:sz w:val="32"/>
          <w:szCs w:val="24"/>
        </w:rPr>
        <w:t>发现的问题及原因：一是厕所革命项目农民的参与度较低，改厕缺乏积极性，制约后期改厕工作开展，原因是</w:t>
      </w:r>
      <w:r>
        <w:rPr>
          <w:rFonts w:hint="eastAsia" w:ascii="仿宋_GB2312" w:hAnsi="仿宋_GB2312" w:eastAsia="仿宋_GB2312" w:cs="仿宋_GB2312"/>
          <w:sz w:val="32"/>
          <w:szCs w:val="32"/>
        </w:rPr>
        <w:t>很多农户长期在外打工，挣到钱，在城市中购买了商品房，不愿意将钱投入到农村。旱厕改造完后，管护维修定期收用粪渣资源利用等后续管护工作不够完善，粪便后期处理问题普遍存在，影响了无害化厕所的推进工作</w:t>
      </w:r>
      <w:r>
        <w:rPr>
          <w:rFonts w:hint="eastAsia" w:ascii="仿宋_GB2312" w:hAnsi="仿宋_GB2312" w:eastAsia="仿宋_GB2312"/>
          <w:sz w:val="32"/>
          <w:szCs w:val="24"/>
        </w:rPr>
        <w:t>；二是重投入轻管理、重支出轻绩效的意识仍然存在，预算绩效管理工作进展比较缓慢，预算绩效评价结果应用不够充分；三是乡村两级计划生育干部队伍不稳定，存在人员频繁调换的现象，导致计划生育工作衔接不畅。乡镇计生力量急待加强；四是</w:t>
      </w:r>
      <w:r>
        <w:rPr>
          <w:rFonts w:hint="eastAsia" w:ascii="仿宋_GB2312" w:hAnsi="仿宋_GB2312" w:eastAsia="仿宋_GB2312" w:cs="仿宋_GB2312"/>
          <w:sz w:val="32"/>
          <w:szCs w:val="32"/>
        </w:rPr>
        <w:t>基本公共卫生项目在考核过程中数量与质量的考核虽然在开展，但主要以抽查为主，存在一定的偏差，原因是项目执行单位工作量较大，无法做到全覆盖的检查，只能靠抽取样本作为检查依据；五是基本药物制度项目执行中存在药品短缺、药品配送不及时的问题。</w:t>
      </w:r>
      <w:r>
        <w:rPr>
          <w:rFonts w:hint="eastAsia" w:ascii="仿宋_GB2312" w:hAnsi="仿宋_GB2312" w:eastAsia="仿宋_GB2312" w:cs="仿宋_GB2312"/>
          <w:sz w:val="32"/>
          <w:szCs w:val="32"/>
          <w:lang w:eastAsia="zh-CN"/>
        </w:rPr>
        <w:t>原因是</w:t>
      </w:r>
      <w:r>
        <w:rPr>
          <w:rFonts w:hint="eastAsia" w:ascii="仿宋_GB2312" w:hAnsi="仿宋_GB2312" w:eastAsia="仿宋_GB2312" w:cs="仿宋_GB2312"/>
          <w:sz w:val="32"/>
          <w:szCs w:val="32"/>
        </w:rPr>
        <w:t>在执行药品集中采购，许多药品生产企业与配送企业都需要重新签订供货协议，影响基层医疗机构的用药需求；六是</w:t>
      </w:r>
      <w:r>
        <w:rPr>
          <w:rFonts w:hint="eastAsia" w:ascii="仿宋_GB2312" w:eastAsia="仿宋_GB2312"/>
          <w:spacing w:val="-4"/>
          <w:sz w:val="32"/>
          <w:szCs w:val="32"/>
        </w:rPr>
        <w:t>乡村医生补助标准与相邻县市相比处于全州最低水平，村医队伍不稳，服务积极性不高；七是</w:t>
      </w:r>
      <w:r>
        <w:rPr>
          <w:rFonts w:hint="eastAsia" w:ascii="仿宋_GB2312" w:hAnsi="仿宋_GB2312" w:eastAsia="仿宋_GB2312" w:cs="仿宋_GB2312"/>
          <w:sz w:val="32"/>
          <w:szCs w:val="32"/>
        </w:rPr>
        <w:t>基层开展中医药工作宣传力度不够基层开展中医药工作宣传力度不够；八是政策宣传力度有待进一步加强</w:t>
      </w:r>
      <w:r>
        <w:rPr>
          <w:rFonts w:hint="eastAsia" w:ascii="仿宋_GB2312" w:hAnsi="仿宋_GB2312" w:eastAsia="仿宋_GB2312"/>
          <w:sz w:val="32"/>
          <w:szCs w:val="24"/>
        </w:rPr>
        <w:t>。下一步改进措施：一是</w:t>
      </w:r>
      <w:r>
        <w:rPr>
          <w:rFonts w:hint="eastAsia" w:ascii="仿宋_GB2312" w:hAnsi="仿宋_GB2312" w:eastAsia="仿宋_GB2312" w:cs="仿宋_GB2312"/>
          <w:sz w:val="32"/>
          <w:szCs w:val="32"/>
        </w:rPr>
        <w:t>加强政策宣传，及时督促各乡镇施工人员对国家和地方标准学习，加强基层干部和施工人员的培训</w:t>
      </w:r>
      <w:r>
        <w:rPr>
          <w:rFonts w:hint="eastAsia" w:ascii="仿宋_GB2312" w:hAnsi="仿宋_GB2312" w:eastAsia="仿宋_GB2312"/>
          <w:sz w:val="32"/>
          <w:szCs w:val="24"/>
        </w:rPr>
        <w:t>；二是</w:t>
      </w:r>
      <w:r>
        <w:rPr>
          <w:rFonts w:hint="eastAsia" w:ascii="仿宋_GB2312" w:hAnsi="仿宋_GB2312" w:eastAsia="仿宋_GB2312" w:cs="仿宋_GB2312"/>
          <w:sz w:val="32"/>
          <w:szCs w:val="32"/>
        </w:rPr>
        <w:t>建立社会化管护机制，按照市场化运作模式，鼓励企业或个人出资进行改厕后检查维修定期收运粪渣资源利用等后续工作；三是不断健全预算绩效管理工作制度；四是以完善工作措施为着力点，不断提高预算绩效管理水平；五是加强业务培训，提高工作质量。计生卫生改革后，人员变动较大，要加强基层业务培训和宣传员绩效考核，提高计生干部的业务水平，为更高质量的计生工作夯实基础；六是继续加大各级医疗机构落实“两票制”工作力度，加强对村基层实施医疗机构实施“两票制”的监管力度；七是进一步加大基层中医药工作的宣传力度，提升医务人员工作积极性；八是提高乡村医生补助标准，提高乡村医生待遇。九是再利用传统宣传手段的同时，充分利用微博、微信等新媒体、新平台，建立组织单位信息发布平台等，从而多途径、多形式地开展公立医院综合改革政策的宣传活动</w:t>
      </w:r>
      <w:r>
        <w:rPr>
          <w:rFonts w:hint="eastAsia" w:ascii="仿宋_GB2312" w:hAnsi="仿宋_GB2312" w:eastAsia="仿宋_GB2312"/>
          <w:sz w:val="32"/>
          <w:szCs w:val="24"/>
        </w:rPr>
        <w:t>。具体项目自评情况附项目支出绩效自评表。</w:t>
      </w:r>
    </w:p>
    <w:p>
      <w:pPr>
        <w:spacing w:line="600" w:lineRule="exact"/>
        <w:ind w:firstLine="640"/>
        <w:rPr>
          <w:rFonts w:ascii="仿宋_GB2312" w:hAnsi="仿宋_GB2312" w:eastAsia="仿宋_GB2312"/>
          <w:sz w:val="32"/>
          <w:szCs w:val="24"/>
        </w:rPr>
      </w:pPr>
    </w:p>
    <w:p>
      <w:r>
        <w:br w:type="page"/>
      </w:r>
    </w:p>
    <w:tbl>
      <w:tblPr>
        <w:tblStyle w:val="4"/>
        <w:tblW w:w="9579" w:type="dxa"/>
        <w:tblInd w:w="0" w:type="dxa"/>
        <w:tblLayout w:type="fixed"/>
        <w:tblCellMar>
          <w:top w:w="0" w:type="dxa"/>
          <w:left w:w="108" w:type="dxa"/>
          <w:bottom w:w="0" w:type="dxa"/>
          <w:right w:w="108" w:type="dxa"/>
        </w:tblCellMar>
      </w:tblPr>
      <w:tblGrid>
        <w:gridCol w:w="690"/>
        <w:gridCol w:w="569"/>
        <w:gridCol w:w="887"/>
        <w:gridCol w:w="889"/>
        <w:gridCol w:w="1149"/>
        <w:gridCol w:w="224"/>
        <w:gridCol w:w="1379"/>
        <w:gridCol w:w="1017"/>
        <w:gridCol w:w="439"/>
        <w:gridCol w:w="349"/>
        <w:gridCol w:w="377"/>
        <w:gridCol w:w="580"/>
        <w:gridCol w:w="222"/>
        <w:gridCol w:w="808"/>
      </w:tblGrid>
      <w:tr>
        <w:tblPrEx>
          <w:tblLayout w:type="fixed"/>
          <w:tblCellMar>
            <w:top w:w="0" w:type="dxa"/>
            <w:left w:w="108" w:type="dxa"/>
            <w:bottom w:w="0" w:type="dxa"/>
            <w:right w:w="108" w:type="dxa"/>
          </w:tblCellMar>
        </w:tblPrEx>
        <w:trPr>
          <w:trHeight w:val="268" w:hRule="atLeast"/>
        </w:trPr>
        <w:tc>
          <w:tcPr>
            <w:tcW w:w="9579"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68" w:hRule="atLeast"/>
        </w:trPr>
        <w:tc>
          <w:tcPr>
            <w:tcW w:w="9579"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211" w:hRule="atLeast"/>
        </w:trPr>
        <w:tc>
          <w:tcPr>
            <w:tcW w:w="12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项目名称</w:t>
            </w:r>
          </w:p>
        </w:tc>
        <w:tc>
          <w:tcPr>
            <w:tcW w:w="8320"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自治区计划生育服务补助资金</w:t>
            </w:r>
          </w:p>
        </w:tc>
      </w:tr>
      <w:tr>
        <w:tblPrEx>
          <w:tblLayout w:type="fixed"/>
          <w:tblCellMar>
            <w:top w:w="0" w:type="dxa"/>
            <w:left w:w="108" w:type="dxa"/>
            <w:bottom w:w="0" w:type="dxa"/>
            <w:right w:w="108" w:type="dxa"/>
          </w:tblCellMar>
        </w:tblPrEx>
        <w:trPr>
          <w:trHeight w:val="211" w:hRule="atLeast"/>
        </w:trPr>
        <w:tc>
          <w:tcPr>
            <w:tcW w:w="12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主管部门</w:t>
            </w:r>
          </w:p>
        </w:tc>
        <w:tc>
          <w:tcPr>
            <w:tcW w:w="452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昌吉州卫生健康委员会</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实施单位</w:t>
            </w:r>
          </w:p>
        </w:tc>
        <w:tc>
          <w:tcPr>
            <w:tcW w:w="2775"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玛纳斯县卫生健康委员会</w:t>
            </w:r>
          </w:p>
        </w:tc>
      </w:tr>
      <w:tr>
        <w:tblPrEx>
          <w:tblLayout w:type="fixed"/>
          <w:tblCellMar>
            <w:top w:w="0" w:type="dxa"/>
            <w:left w:w="108" w:type="dxa"/>
            <w:bottom w:w="0" w:type="dxa"/>
            <w:right w:w="108" w:type="dxa"/>
          </w:tblCellMar>
        </w:tblPrEx>
        <w:trPr>
          <w:trHeight w:val="211" w:hRule="atLeast"/>
        </w:trPr>
        <w:tc>
          <w:tcPr>
            <w:tcW w:w="1259"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项目资金（万元）</w:t>
            </w:r>
          </w:p>
        </w:tc>
        <w:tc>
          <w:tcPr>
            <w:tcW w:w="177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1149"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年初预算数</w:t>
            </w:r>
          </w:p>
        </w:tc>
        <w:tc>
          <w:tcPr>
            <w:tcW w:w="16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全年预算数</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全年执行数</w:t>
            </w:r>
          </w:p>
        </w:tc>
        <w:tc>
          <w:tcPr>
            <w:tcW w:w="78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分值</w:t>
            </w:r>
          </w:p>
        </w:tc>
        <w:tc>
          <w:tcPr>
            <w:tcW w:w="1179"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执行率</w:t>
            </w:r>
          </w:p>
        </w:tc>
        <w:tc>
          <w:tcPr>
            <w:tcW w:w="808"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11" w:hRule="atLeast"/>
        </w:trPr>
        <w:tc>
          <w:tcPr>
            <w:tcW w:w="125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8"/>
                <w:szCs w:val="18"/>
              </w:rPr>
            </w:pPr>
          </w:p>
        </w:tc>
        <w:tc>
          <w:tcPr>
            <w:tcW w:w="1776"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8"/>
                <w:szCs w:val="18"/>
              </w:rPr>
            </w:pPr>
            <w:r>
              <w:rPr>
                <w:rFonts w:hint="eastAsia" w:ascii="宋体" w:hAnsi="宋体" w:cs="宋体"/>
                <w:color w:val="000000"/>
                <w:kern w:val="0"/>
                <w:sz w:val="18"/>
                <w:szCs w:val="18"/>
              </w:rPr>
              <w:t>年度资金总额</w:t>
            </w:r>
          </w:p>
        </w:tc>
        <w:tc>
          <w:tcPr>
            <w:tcW w:w="1149"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1603"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78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10</w:t>
            </w:r>
          </w:p>
        </w:tc>
        <w:tc>
          <w:tcPr>
            <w:tcW w:w="1179"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100%</w:t>
            </w:r>
          </w:p>
        </w:tc>
        <w:tc>
          <w:tcPr>
            <w:tcW w:w="808"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11" w:hRule="atLeast"/>
        </w:trPr>
        <w:tc>
          <w:tcPr>
            <w:tcW w:w="125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8"/>
                <w:szCs w:val="18"/>
              </w:rPr>
            </w:pPr>
          </w:p>
        </w:tc>
        <w:tc>
          <w:tcPr>
            <w:tcW w:w="177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其中：当年财政拨款</w:t>
            </w:r>
          </w:p>
        </w:tc>
        <w:tc>
          <w:tcPr>
            <w:tcW w:w="1149"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1603"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27.52</w:t>
            </w:r>
          </w:p>
        </w:tc>
        <w:tc>
          <w:tcPr>
            <w:tcW w:w="78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c>
          <w:tcPr>
            <w:tcW w:w="1179"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808"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11" w:hRule="atLeast"/>
        </w:trPr>
        <w:tc>
          <w:tcPr>
            <w:tcW w:w="125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8"/>
                <w:szCs w:val="18"/>
              </w:rPr>
            </w:pPr>
          </w:p>
        </w:tc>
        <w:tc>
          <w:tcPr>
            <w:tcW w:w="1776"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8"/>
                <w:szCs w:val="18"/>
              </w:rPr>
            </w:pPr>
            <w:r>
              <w:rPr>
                <w:rFonts w:hint="eastAsia" w:ascii="宋体" w:hAnsi="宋体" w:cs="宋体"/>
                <w:color w:val="000000"/>
                <w:kern w:val="0"/>
                <w:sz w:val="18"/>
                <w:szCs w:val="18"/>
              </w:rPr>
              <w:t>上年结转资金</w:t>
            </w:r>
          </w:p>
        </w:tc>
        <w:tc>
          <w:tcPr>
            <w:tcW w:w="1149"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16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78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c>
          <w:tcPr>
            <w:tcW w:w="1179"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808"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11" w:hRule="atLeast"/>
        </w:trPr>
        <w:tc>
          <w:tcPr>
            <w:tcW w:w="125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8"/>
                <w:szCs w:val="18"/>
              </w:rPr>
            </w:pPr>
          </w:p>
        </w:tc>
        <w:tc>
          <w:tcPr>
            <w:tcW w:w="177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其他资金</w:t>
            </w:r>
          </w:p>
        </w:tc>
        <w:tc>
          <w:tcPr>
            <w:tcW w:w="1149"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16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101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78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c>
          <w:tcPr>
            <w:tcW w:w="1179"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　</w:t>
            </w:r>
          </w:p>
        </w:tc>
        <w:tc>
          <w:tcPr>
            <w:tcW w:w="808" w:type="dxa"/>
            <w:tcBorders>
              <w:top w:val="nil"/>
              <w:left w:val="nil"/>
              <w:bottom w:val="single" w:color="auto" w:sz="4" w:space="0"/>
              <w:right w:val="single" w:color="auto" w:sz="4" w:space="0"/>
            </w:tcBorders>
            <w:vAlign w:val="center"/>
          </w:tcPr>
          <w:p>
            <w:pPr>
              <w:jc w:val="center"/>
              <w:rPr>
                <w:rFonts w:ascii="宋体" w:cs="宋体"/>
                <w:color w:val="000000"/>
                <w:kern w:val="0"/>
                <w:sz w:val="18"/>
                <w:szCs w:val="18"/>
              </w:rPr>
            </w:pPr>
            <w:r>
              <w:rPr>
                <w:rFonts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11" w:hRule="atLeast"/>
        </w:trPr>
        <w:tc>
          <w:tcPr>
            <w:tcW w:w="69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年度总体目标</w:t>
            </w:r>
          </w:p>
        </w:tc>
        <w:tc>
          <w:tcPr>
            <w:tcW w:w="5097"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预期目标</w:t>
            </w:r>
          </w:p>
        </w:tc>
        <w:tc>
          <w:tcPr>
            <w:tcW w:w="3792"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333" w:hRule="atLeast"/>
        </w:trPr>
        <w:tc>
          <w:tcPr>
            <w:tcW w:w="69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22"/>
                <w:szCs w:val="22"/>
              </w:rPr>
            </w:pPr>
          </w:p>
        </w:tc>
        <w:tc>
          <w:tcPr>
            <w:tcW w:w="5097" w:type="dxa"/>
            <w:gridSpan w:val="6"/>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确保宣传员岗位津贴按时发放到位。完成昌吉下达各项计划目标任务，使对面对面入户覆盖率达到</w:t>
            </w:r>
            <w:r>
              <w:rPr>
                <w:rFonts w:ascii="宋体" w:hAnsi="宋体" w:cs="宋体"/>
                <w:color w:val="000000"/>
                <w:kern w:val="0"/>
                <w:sz w:val="16"/>
                <w:szCs w:val="16"/>
              </w:rPr>
              <w:t>100%</w:t>
            </w:r>
            <w:r>
              <w:rPr>
                <w:rFonts w:hint="eastAsia" w:ascii="宋体" w:hAnsi="宋体" w:cs="宋体"/>
                <w:color w:val="000000"/>
                <w:kern w:val="0"/>
                <w:sz w:val="16"/>
                <w:szCs w:val="16"/>
              </w:rPr>
              <w:t>，群众政策知晓率达到</w:t>
            </w:r>
            <w:r>
              <w:rPr>
                <w:rFonts w:ascii="宋体" w:hAnsi="宋体" w:cs="宋体"/>
                <w:color w:val="000000"/>
                <w:kern w:val="0"/>
                <w:sz w:val="16"/>
                <w:szCs w:val="16"/>
              </w:rPr>
              <w:t>95%</w:t>
            </w:r>
            <w:r>
              <w:rPr>
                <w:rFonts w:hint="eastAsia" w:ascii="宋体" w:hAnsi="宋体" w:cs="宋体"/>
                <w:color w:val="000000"/>
                <w:kern w:val="0"/>
                <w:sz w:val="16"/>
                <w:szCs w:val="16"/>
              </w:rPr>
              <w:t>，奖扶准确率发放率</w:t>
            </w:r>
            <w:r>
              <w:rPr>
                <w:rFonts w:ascii="宋体" w:hAnsi="宋体" w:cs="宋体"/>
                <w:color w:val="000000"/>
                <w:kern w:val="0"/>
                <w:sz w:val="16"/>
                <w:szCs w:val="16"/>
              </w:rPr>
              <w:t>100%</w:t>
            </w:r>
            <w:r>
              <w:rPr>
                <w:rFonts w:hint="eastAsia" w:ascii="宋体" w:hAnsi="宋体" w:cs="宋体"/>
                <w:color w:val="000000"/>
                <w:kern w:val="0"/>
                <w:sz w:val="16"/>
                <w:szCs w:val="16"/>
              </w:rPr>
              <w:t>，出生人口政策符合率</w:t>
            </w:r>
            <w:r>
              <w:rPr>
                <w:rFonts w:ascii="宋体" w:hAnsi="宋体" w:cs="宋体"/>
                <w:color w:val="000000"/>
                <w:kern w:val="0"/>
                <w:sz w:val="16"/>
                <w:szCs w:val="16"/>
              </w:rPr>
              <w:t>99%</w:t>
            </w:r>
            <w:r>
              <w:rPr>
                <w:rFonts w:hint="eastAsia" w:ascii="宋体" w:hAnsi="宋体" w:cs="宋体"/>
                <w:color w:val="000000"/>
                <w:kern w:val="0"/>
                <w:sz w:val="16"/>
                <w:szCs w:val="16"/>
              </w:rPr>
              <w:t>以上。“降低并稳定生育水平，实行各民族平等的计划生育政策”为目标，实行各民族平等的计划生育政策，夯实基层基础，加强宣传引导，完善政策导向机制，倡导少生优生，引导群众负责、有计划安排生育，违法生育得到有效遏制，群众生育观念明显转变。</w:t>
            </w:r>
            <w:r>
              <w:rPr>
                <w:rFonts w:ascii="宋体" w:hAnsi="宋体" w:cs="宋体"/>
                <w:color w:val="000000"/>
                <w:kern w:val="0"/>
                <w:sz w:val="16"/>
                <w:szCs w:val="16"/>
              </w:rPr>
              <w:br w:type="textWrapping"/>
            </w:r>
          </w:p>
        </w:tc>
        <w:tc>
          <w:tcPr>
            <w:tcW w:w="3792"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底，玛纳斯县总人口为</w:t>
            </w:r>
            <w:r>
              <w:rPr>
                <w:rFonts w:ascii="宋体" w:hAnsi="宋体" w:cs="宋体"/>
                <w:color w:val="000000"/>
                <w:kern w:val="0"/>
                <w:sz w:val="16"/>
                <w:szCs w:val="16"/>
              </w:rPr>
              <w:t>147803</w:t>
            </w:r>
            <w:r>
              <w:rPr>
                <w:rFonts w:hint="eastAsia" w:ascii="宋体" w:hAnsi="宋体" w:cs="宋体"/>
                <w:color w:val="000000"/>
                <w:kern w:val="0"/>
                <w:sz w:val="16"/>
                <w:szCs w:val="16"/>
              </w:rPr>
              <w:t>人，当年出生</w:t>
            </w:r>
            <w:r>
              <w:rPr>
                <w:rFonts w:ascii="宋体" w:hAnsi="宋体" w:cs="宋体"/>
                <w:color w:val="000000"/>
                <w:kern w:val="0"/>
                <w:sz w:val="16"/>
                <w:szCs w:val="16"/>
              </w:rPr>
              <w:t>804</w:t>
            </w:r>
            <w:r>
              <w:rPr>
                <w:rFonts w:hint="eastAsia" w:ascii="宋体" w:hAnsi="宋体" w:cs="宋体"/>
                <w:color w:val="000000"/>
                <w:kern w:val="0"/>
                <w:sz w:val="16"/>
                <w:szCs w:val="16"/>
              </w:rPr>
              <w:t>人，全年人口出生率</w:t>
            </w:r>
            <w:r>
              <w:rPr>
                <w:rFonts w:ascii="宋体" w:hAnsi="宋体" w:cs="宋体"/>
                <w:color w:val="000000"/>
                <w:kern w:val="0"/>
                <w:sz w:val="16"/>
                <w:szCs w:val="16"/>
              </w:rPr>
              <w:t>5.68</w:t>
            </w:r>
            <w:r>
              <w:rPr>
                <w:rFonts w:hint="eastAsia" w:ascii="宋体" w:hAnsi="宋体" w:cs="宋体"/>
                <w:color w:val="000000"/>
                <w:kern w:val="0"/>
                <w:sz w:val="16"/>
                <w:szCs w:val="16"/>
              </w:rPr>
              <w:t>‰，政策符合率达</w:t>
            </w:r>
            <w:r>
              <w:rPr>
                <w:rFonts w:ascii="宋体" w:hAnsi="宋体" w:cs="宋体"/>
                <w:color w:val="000000"/>
                <w:kern w:val="0"/>
                <w:sz w:val="16"/>
                <w:szCs w:val="16"/>
              </w:rPr>
              <w:t>100%</w:t>
            </w:r>
            <w:r>
              <w:rPr>
                <w:rFonts w:hint="eastAsia" w:ascii="宋体" w:hAnsi="宋体" w:cs="宋体"/>
                <w:color w:val="000000"/>
                <w:kern w:val="0"/>
                <w:sz w:val="16"/>
                <w:szCs w:val="16"/>
              </w:rPr>
              <w:t>；已婚育龄妇女</w:t>
            </w:r>
            <w:r>
              <w:rPr>
                <w:rFonts w:ascii="宋体" w:hAnsi="宋体" w:cs="宋体"/>
                <w:color w:val="000000"/>
                <w:kern w:val="0"/>
                <w:sz w:val="16"/>
                <w:szCs w:val="16"/>
              </w:rPr>
              <w:t>24238</w:t>
            </w:r>
            <w:r>
              <w:rPr>
                <w:rFonts w:hint="eastAsia" w:ascii="宋体" w:hAnsi="宋体" w:cs="宋体"/>
                <w:color w:val="000000"/>
                <w:kern w:val="0"/>
                <w:sz w:val="16"/>
                <w:szCs w:val="16"/>
              </w:rPr>
              <w:t>人，计划生育“两证”领证率达</w:t>
            </w:r>
            <w:r>
              <w:rPr>
                <w:rFonts w:ascii="宋体" w:hAnsi="宋体" w:cs="宋体"/>
                <w:color w:val="000000"/>
                <w:kern w:val="0"/>
                <w:sz w:val="16"/>
                <w:szCs w:val="16"/>
              </w:rPr>
              <w:t>53.71%</w:t>
            </w:r>
            <w:r>
              <w:rPr>
                <w:rFonts w:hint="eastAsia" w:ascii="宋体" w:hAnsi="宋体" w:cs="宋体"/>
                <w:color w:val="000000"/>
                <w:kern w:val="0"/>
                <w:sz w:val="16"/>
                <w:szCs w:val="16"/>
              </w:rPr>
              <w:t>；综合避孕率达</w:t>
            </w:r>
            <w:r>
              <w:rPr>
                <w:rFonts w:ascii="宋体" w:hAnsi="宋体" w:cs="宋体"/>
                <w:color w:val="000000"/>
                <w:kern w:val="0"/>
                <w:sz w:val="16"/>
                <w:szCs w:val="16"/>
              </w:rPr>
              <w:t>88.56%</w:t>
            </w:r>
            <w:r>
              <w:rPr>
                <w:rFonts w:hint="eastAsia" w:ascii="宋体" w:hAnsi="宋体" w:cs="宋体"/>
                <w:color w:val="000000"/>
                <w:kern w:val="0"/>
                <w:sz w:val="16"/>
                <w:szCs w:val="16"/>
              </w:rPr>
              <w:t>；季度查环查孕率</w:t>
            </w:r>
            <w:r>
              <w:rPr>
                <w:rFonts w:ascii="宋体" w:hAnsi="宋体" w:cs="宋体"/>
                <w:color w:val="000000"/>
                <w:kern w:val="0"/>
                <w:sz w:val="16"/>
                <w:szCs w:val="16"/>
              </w:rPr>
              <w:t>100%</w:t>
            </w:r>
            <w:r>
              <w:rPr>
                <w:rFonts w:hint="eastAsia" w:ascii="宋体" w:hAnsi="宋体" w:cs="宋体"/>
                <w:color w:val="000000"/>
                <w:kern w:val="0"/>
                <w:sz w:val="16"/>
                <w:szCs w:val="16"/>
              </w:rPr>
              <w:t>、国免孕优项目监测率</w:t>
            </w:r>
            <w:r>
              <w:rPr>
                <w:rFonts w:ascii="宋体" w:hAnsi="宋体" w:cs="宋体"/>
                <w:color w:val="000000"/>
                <w:kern w:val="0"/>
                <w:sz w:val="16"/>
                <w:szCs w:val="16"/>
              </w:rPr>
              <w:t>100%</w:t>
            </w:r>
            <w:r>
              <w:rPr>
                <w:rFonts w:hint="eastAsia" w:ascii="宋体" w:hAnsi="宋体" w:cs="宋体"/>
                <w:color w:val="000000"/>
                <w:kern w:val="0"/>
                <w:sz w:val="16"/>
                <w:szCs w:val="16"/>
              </w:rPr>
              <w:t>、免费婚检率</w:t>
            </w:r>
            <w:r>
              <w:rPr>
                <w:rFonts w:ascii="宋体" w:hAnsi="宋体" w:cs="宋体"/>
                <w:color w:val="000000"/>
                <w:kern w:val="0"/>
                <w:sz w:val="16"/>
                <w:szCs w:val="16"/>
              </w:rPr>
              <w:t>83%</w:t>
            </w:r>
            <w:r>
              <w:rPr>
                <w:rFonts w:hint="eastAsia" w:ascii="宋体" w:hAnsi="宋体" w:cs="宋体"/>
                <w:color w:val="000000"/>
                <w:kern w:val="0"/>
                <w:sz w:val="16"/>
                <w:szCs w:val="16"/>
              </w:rPr>
              <w:t>。顺利完成自治州下达的年度计划生育各项指标。</w:t>
            </w:r>
          </w:p>
        </w:tc>
      </w:tr>
      <w:tr>
        <w:tblPrEx>
          <w:tblLayout w:type="fixed"/>
          <w:tblCellMar>
            <w:top w:w="0" w:type="dxa"/>
            <w:left w:w="108" w:type="dxa"/>
            <w:bottom w:w="0" w:type="dxa"/>
            <w:right w:w="108" w:type="dxa"/>
          </w:tblCellMar>
        </w:tblPrEx>
        <w:trPr>
          <w:trHeight w:val="178" w:hRule="atLeast"/>
        </w:trPr>
        <w:tc>
          <w:tcPr>
            <w:tcW w:w="690"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6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88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262"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726"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5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03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726"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580" w:type="dxa"/>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030"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557"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88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违法生育例数</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控制在目标责任管理书指标范围之内</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控制在目标责任管理书指标范围之内</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全县自然村宣传员</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=154</w:t>
            </w:r>
            <w:r>
              <w:rPr>
                <w:rFonts w:hint="eastAsia" w:ascii="宋体" w:hAnsi="宋体" w:cs="宋体"/>
                <w:color w:val="000000"/>
                <w:kern w:val="0"/>
                <w:sz w:val="16"/>
                <w:szCs w:val="16"/>
              </w:rPr>
              <w:t>人</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=154</w:t>
            </w:r>
            <w:r>
              <w:rPr>
                <w:rFonts w:hint="eastAsia" w:ascii="宋体" w:hAnsi="宋体" w:cs="宋体"/>
                <w:color w:val="000000"/>
                <w:kern w:val="0"/>
                <w:sz w:val="16"/>
                <w:szCs w:val="16"/>
              </w:rPr>
              <w:t>人</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57"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人口出生率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控制在目标管理责任书指标范围之内</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控制在目标管理责任书指标范围之内</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57"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人口自然增长率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控制在目标责任书指标范围之内千分比</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控制在目标责任书指标范围之内千分比</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出生人口政策符合率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99.25%</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99.25%</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年度各类统计报表上报准确率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98%</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98%</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长效避孕节育措施落实率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=85%</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=85%</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长效避孕节育措施的及时率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年度统计报表上报时间（村宣传员岗位津贴）</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w:t>
            </w:r>
            <w:r>
              <w:rPr>
                <w:rFonts w:ascii="宋体" w:hAnsi="宋体" w:cs="宋体"/>
                <w:color w:val="000000"/>
                <w:kern w:val="0"/>
                <w:sz w:val="16"/>
                <w:szCs w:val="16"/>
              </w:rPr>
              <w:t>11</w:t>
            </w:r>
            <w:r>
              <w:rPr>
                <w:rFonts w:hint="eastAsia" w:ascii="宋体" w:hAnsi="宋体" w:cs="宋体"/>
                <w:color w:val="000000"/>
                <w:kern w:val="0"/>
                <w:sz w:val="16"/>
                <w:szCs w:val="16"/>
              </w:rPr>
              <w:t>月底</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w:t>
            </w:r>
            <w:r>
              <w:rPr>
                <w:rFonts w:ascii="宋体" w:hAnsi="宋体" w:cs="宋体"/>
                <w:color w:val="000000"/>
                <w:kern w:val="0"/>
                <w:sz w:val="16"/>
                <w:szCs w:val="16"/>
              </w:rPr>
              <w:t>11</w:t>
            </w:r>
            <w:r>
              <w:rPr>
                <w:rFonts w:hint="eastAsia" w:ascii="宋体" w:hAnsi="宋体" w:cs="宋体"/>
                <w:color w:val="000000"/>
                <w:kern w:val="0"/>
                <w:sz w:val="16"/>
                <w:szCs w:val="16"/>
              </w:rPr>
              <w:t>月底</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05"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村宣传员岗位津贴发放标准（每人每月）</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250</w:t>
            </w:r>
            <w:r>
              <w:rPr>
                <w:rFonts w:hint="eastAsia" w:ascii="宋体" w:hAnsi="宋体" w:cs="宋体"/>
                <w:color w:val="000000"/>
                <w:kern w:val="0"/>
                <w:sz w:val="16"/>
                <w:szCs w:val="16"/>
              </w:rPr>
              <w:t>元</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250</w:t>
            </w:r>
            <w:r>
              <w:rPr>
                <w:rFonts w:hint="eastAsia" w:ascii="宋体" w:hAnsi="宋体" w:cs="宋体"/>
                <w:color w:val="000000"/>
                <w:kern w:val="0"/>
                <w:sz w:val="16"/>
                <w:szCs w:val="16"/>
              </w:rPr>
              <w:t>元</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887"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86"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村（居）民优生优育、生殖健康知识知晓率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8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已婚育龄妇女优生优育水平、避孕节育水平</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88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村（居）民对计划生育工作的满意度</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690"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88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62"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目标人群的满意率</w:t>
            </w:r>
          </w:p>
        </w:tc>
        <w:tc>
          <w:tcPr>
            <w:tcW w:w="13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45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8" w:hRule="atLeast"/>
        </w:trPr>
        <w:tc>
          <w:tcPr>
            <w:tcW w:w="7243"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72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58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9993" w:type="dxa"/>
        <w:tblInd w:w="4" w:type="dxa"/>
        <w:tblLayout w:type="fixed"/>
        <w:tblCellMar>
          <w:top w:w="0" w:type="dxa"/>
          <w:left w:w="108" w:type="dxa"/>
          <w:bottom w:w="0" w:type="dxa"/>
          <w:right w:w="108" w:type="dxa"/>
        </w:tblCellMar>
      </w:tblPr>
      <w:tblGrid>
        <w:gridCol w:w="419"/>
        <w:gridCol w:w="586"/>
        <w:gridCol w:w="745"/>
        <w:gridCol w:w="1075"/>
        <w:gridCol w:w="1425"/>
        <w:gridCol w:w="332"/>
        <w:gridCol w:w="907"/>
        <w:gridCol w:w="1051"/>
        <w:gridCol w:w="216"/>
        <w:gridCol w:w="835"/>
        <w:gridCol w:w="566"/>
        <w:gridCol w:w="698"/>
        <w:gridCol w:w="556"/>
        <w:gridCol w:w="582"/>
      </w:tblGrid>
      <w:tr>
        <w:tblPrEx>
          <w:tblLayout w:type="fixed"/>
          <w:tblCellMar>
            <w:top w:w="0" w:type="dxa"/>
            <w:left w:w="108" w:type="dxa"/>
            <w:bottom w:w="0" w:type="dxa"/>
            <w:right w:w="108" w:type="dxa"/>
          </w:tblCellMar>
        </w:tblPrEx>
        <w:trPr>
          <w:trHeight w:val="238" w:hRule="atLeast"/>
        </w:trPr>
        <w:tc>
          <w:tcPr>
            <w:tcW w:w="9993"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38" w:hRule="atLeast"/>
        </w:trPr>
        <w:tc>
          <w:tcPr>
            <w:tcW w:w="9993"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188" w:hRule="atLeast"/>
        </w:trPr>
        <w:tc>
          <w:tcPr>
            <w:tcW w:w="100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988"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基本公共卫生服务</w:t>
            </w:r>
          </w:p>
        </w:tc>
      </w:tr>
      <w:tr>
        <w:tblPrEx>
          <w:tblLayout w:type="fixed"/>
          <w:tblCellMar>
            <w:top w:w="0" w:type="dxa"/>
            <w:left w:w="108" w:type="dxa"/>
            <w:bottom w:w="0" w:type="dxa"/>
            <w:right w:w="108" w:type="dxa"/>
          </w:tblCellMar>
        </w:tblPrEx>
        <w:trPr>
          <w:trHeight w:val="294" w:hRule="atLeast"/>
        </w:trPr>
        <w:tc>
          <w:tcPr>
            <w:tcW w:w="100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484"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26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237"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县医院、中医院、妇计中心及各乡镇卫生院（含所属村卫生室）</w:t>
            </w:r>
          </w:p>
        </w:tc>
      </w:tr>
      <w:tr>
        <w:tblPrEx>
          <w:tblLayout w:type="fixed"/>
          <w:tblCellMar>
            <w:top w:w="0" w:type="dxa"/>
            <w:left w:w="108" w:type="dxa"/>
            <w:bottom w:w="0" w:type="dxa"/>
            <w:right w:w="108" w:type="dxa"/>
          </w:tblCellMar>
        </w:tblPrEx>
        <w:trPr>
          <w:trHeight w:val="188" w:hRule="atLeast"/>
        </w:trPr>
        <w:tc>
          <w:tcPr>
            <w:tcW w:w="1005"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8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23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26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40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25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88" w:hRule="atLeast"/>
        </w:trPr>
        <w:tc>
          <w:tcPr>
            <w:tcW w:w="100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2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4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239" w:type="dxa"/>
            <w:gridSpan w:val="2"/>
            <w:tcBorders>
              <w:top w:val="nil"/>
              <w:left w:val="nil"/>
              <w:bottom w:val="nil"/>
              <w:right w:val="nil"/>
            </w:tcBorders>
            <w:noWrap/>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2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40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5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88" w:hRule="atLeast"/>
        </w:trPr>
        <w:tc>
          <w:tcPr>
            <w:tcW w:w="100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4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23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26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166.59</w:t>
            </w:r>
          </w:p>
        </w:tc>
        <w:tc>
          <w:tcPr>
            <w:tcW w:w="140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5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8" w:hRule="atLeast"/>
        </w:trPr>
        <w:tc>
          <w:tcPr>
            <w:tcW w:w="100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4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3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0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5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8" w:hRule="atLeast"/>
        </w:trPr>
        <w:tc>
          <w:tcPr>
            <w:tcW w:w="100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4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3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0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5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8" w:hRule="atLeast"/>
        </w:trPr>
        <w:tc>
          <w:tcPr>
            <w:tcW w:w="41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5070"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504"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300" w:hRule="atLeast"/>
        </w:trPr>
        <w:tc>
          <w:tcPr>
            <w:tcW w:w="41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22"/>
                <w:szCs w:val="22"/>
              </w:rPr>
            </w:pPr>
          </w:p>
        </w:tc>
        <w:tc>
          <w:tcPr>
            <w:tcW w:w="5070"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年完成基本公共卫生服务项目工作目标，较好实施国家基本公共卫生服务项目，保障全县人民身体健康。</w:t>
            </w:r>
          </w:p>
        </w:tc>
        <w:tc>
          <w:tcPr>
            <w:tcW w:w="4504"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适龄人群国家免疫规划疫苗接种率达到</w:t>
            </w:r>
            <w:r>
              <w:rPr>
                <w:rFonts w:ascii="宋体" w:hAnsi="宋体" w:cs="宋体"/>
                <w:color w:val="000000"/>
                <w:kern w:val="0"/>
                <w:sz w:val="16"/>
                <w:szCs w:val="16"/>
              </w:rPr>
              <w:t>99%</w:t>
            </w:r>
            <w:r>
              <w:rPr>
                <w:rFonts w:hint="eastAsia" w:ascii="宋体" w:hAnsi="宋体" w:cs="宋体"/>
                <w:color w:val="000000"/>
                <w:kern w:val="0"/>
                <w:sz w:val="16"/>
                <w:szCs w:val="16"/>
              </w:rPr>
              <w:t>；肺结核患者管理率达到</w:t>
            </w:r>
            <w:r>
              <w:rPr>
                <w:rFonts w:ascii="宋体" w:hAnsi="宋体" w:cs="宋体"/>
                <w:color w:val="000000"/>
                <w:kern w:val="0"/>
                <w:sz w:val="16"/>
                <w:szCs w:val="16"/>
              </w:rPr>
              <w:t>100%</w:t>
            </w:r>
            <w:r>
              <w:rPr>
                <w:rFonts w:hint="eastAsia" w:ascii="宋体" w:hAnsi="宋体" w:cs="宋体"/>
                <w:color w:val="000000"/>
                <w:kern w:val="0"/>
                <w:sz w:val="16"/>
                <w:szCs w:val="16"/>
              </w:rPr>
              <w:t>；</w:t>
            </w:r>
            <w:r>
              <w:rPr>
                <w:rFonts w:ascii="宋体" w:hAnsi="宋体" w:cs="宋体"/>
                <w:color w:val="000000"/>
                <w:kern w:val="0"/>
                <w:sz w:val="16"/>
                <w:szCs w:val="16"/>
              </w:rPr>
              <w:t>65</w:t>
            </w:r>
            <w:r>
              <w:rPr>
                <w:rFonts w:hint="eastAsia" w:ascii="宋体" w:hAnsi="宋体" w:cs="宋体"/>
                <w:color w:val="000000"/>
                <w:kern w:val="0"/>
                <w:sz w:val="16"/>
                <w:szCs w:val="16"/>
              </w:rPr>
              <w:t>岁以上老年人健康管理率达到</w:t>
            </w:r>
            <w:r>
              <w:rPr>
                <w:rFonts w:ascii="宋体" w:hAnsi="宋体" w:cs="宋体"/>
                <w:color w:val="000000"/>
                <w:kern w:val="0"/>
                <w:sz w:val="16"/>
                <w:szCs w:val="16"/>
              </w:rPr>
              <w:t>77.14%</w:t>
            </w:r>
            <w:r>
              <w:rPr>
                <w:rFonts w:hint="eastAsia" w:ascii="宋体" w:hAnsi="宋体" w:cs="宋体"/>
                <w:color w:val="000000"/>
                <w:kern w:val="0"/>
                <w:sz w:val="16"/>
                <w:szCs w:val="16"/>
              </w:rPr>
              <w:t>；老年人、儿童中医药健康管理率达到</w:t>
            </w:r>
            <w:r>
              <w:rPr>
                <w:rFonts w:ascii="宋体" w:hAnsi="宋体" w:cs="宋体"/>
                <w:color w:val="000000"/>
                <w:kern w:val="0"/>
                <w:sz w:val="16"/>
                <w:szCs w:val="16"/>
              </w:rPr>
              <w:t>52%</w:t>
            </w:r>
            <w:r>
              <w:rPr>
                <w:rFonts w:hint="eastAsia" w:ascii="宋体" w:hAnsi="宋体" w:cs="宋体"/>
                <w:color w:val="000000"/>
                <w:kern w:val="0"/>
                <w:sz w:val="16"/>
                <w:szCs w:val="16"/>
              </w:rPr>
              <w:t>；传染病、突发公共卫生事件报告率达到</w:t>
            </w:r>
            <w:r>
              <w:rPr>
                <w:rFonts w:ascii="宋体" w:hAnsi="宋体" w:cs="宋体"/>
                <w:color w:val="000000"/>
                <w:kern w:val="0"/>
                <w:sz w:val="16"/>
                <w:szCs w:val="16"/>
              </w:rPr>
              <w:t>100%</w:t>
            </w:r>
            <w:r>
              <w:rPr>
                <w:rFonts w:hint="eastAsia" w:ascii="宋体" w:hAnsi="宋体" w:cs="宋体"/>
                <w:color w:val="000000"/>
                <w:kern w:val="0"/>
                <w:sz w:val="16"/>
                <w:szCs w:val="16"/>
              </w:rPr>
              <w:t>；居民电子健康档案建档率达到</w:t>
            </w:r>
            <w:r>
              <w:rPr>
                <w:rFonts w:ascii="宋体" w:hAnsi="宋体" w:cs="宋体"/>
                <w:color w:val="000000"/>
                <w:kern w:val="0"/>
                <w:sz w:val="16"/>
                <w:szCs w:val="16"/>
              </w:rPr>
              <w:t>82.49%</w:t>
            </w:r>
            <w:r>
              <w:rPr>
                <w:rFonts w:hint="eastAsia" w:ascii="宋体" w:hAnsi="宋体" w:cs="宋体"/>
                <w:color w:val="000000"/>
                <w:kern w:val="0"/>
                <w:sz w:val="16"/>
                <w:szCs w:val="16"/>
              </w:rPr>
              <w:t>；高血压患者规范管理率达到</w:t>
            </w:r>
            <w:r>
              <w:rPr>
                <w:rFonts w:ascii="宋体" w:hAnsi="宋体" w:cs="宋体"/>
                <w:color w:val="000000"/>
                <w:kern w:val="0"/>
                <w:sz w:val="16"/>
                <w:szCs w:val="16"/>
              </w:rPr>
              <w:t>60.04%</w:t>
            </w:r>
            <w:r>
              <w:rPr>
                <w:rFonts w:hint="eastAsia" w:ascii="宋体" w:hAnsi="宋体" w:cs="宋体"/>
                <w:color w:val="000000"/>
                <w:kern w:val="0"/>
                <w:sz w:val="16"/>
                <w:szCs w:val="16"/>
              </w:rPr>
              <w:t>；糖尿病患者规范管理率达到</w:t>
            </w:r>
            <w:r>
              <w:rPr>
                <w:rFonts w:ascii="宋体" w:hAnsi="宋体" w:cs="宋体"/>
                <w:color w:val="000000"/>
                <w:kern w:val="0"/>
                <w:sz w:val="16"/>
                <w:szCs w:val="16"/>
              </w:rPr>
              <w:t>61.72%</w:t>
            </w:r>
            <w:r>
              <w:rPr>
                <w:rFonts w:hint="eastAsia" w:ascii="宋体" w:hAnsi="宋体" w:cs="宋体"/>
                <w:color w:val="000000"/>
                <w:kern w:val="0"/>
                <w:sz w:val="16"/>
                <w:szCs w:val="16"/>
              </w:rPr>
              <w:t>；新生儿访视率达到</w:t>
            </w:r>
            <w:r>
              <w:rPr>
                <w:rFonts w:ascii="宋体" w:hAnsi="宋体" w:cs="宋体"/>
                <w:color w:val="000000"/>
                <w:kern w:val="0"/>
                <w:sz w:val="16"/>
                <w:szCs w:val="16"/>
              </w:rPr>
              <w:t>97.28%</w:t>
            </w:r>
            <w:r>
              <w:rPr>
                <w:rFonts w:hint="eastAsia" w:ascii="宋体" w:hAnsi="宋体" w:cs="宋体"/>
                <w:color w:val="000000"/>
                <w:kern w:val="0"/>
                <w:sz w:val="16"/>
                <w:szCs w:val="16"/>
              </w:rPr>
              <w:t>；严重精神障碍患者规范管理率达到</w:t>
            </w:r>
            <w:r>
              <w:rPr>
                <w:rFonts w:ascii="宋体" w:hAnsi="宋体" w:cs="宋体"/>
                <w:color w:val="000000"/>
                <w:kern w:val="0"/>
                <w:sz w:val="16"/>
                <w:szCs w:val="16"/>
              </w:rPr>
              <w:t>95.08%</w:t>
            </w:r>
            <w:r>
              <w:rPr>
                <w:rFonts w:hint="eastAsia" w:ascii="宋体" w:hAnsi="宋体" w:cs="宋体"/>
                <w:color w:val="000000"/>
                <w:kern w:val="0"/>
                <w:sz w:val="16"/>
                <w:szCs w:val="16"/>
              </w:rPr>
              <w:t>；</w:t>
            </w:r>
            <w:r>
              <w:rPr>
                <w:rFonts w:ascii="宋体" w:hAnsi="宋体" w:cs="宋体"/>
                <w:color w:val="000000"/>
                <w:kern w:val="0"/>
                <w:sz w:val="16"/>
                <w:szCs w:val="16"/>
              </w:rPr>
              <w:t>0-6</w:t>
            </w:r>
            <w:r>
              <w:rPr>
                <w:rFonts w:hint="eastAsia" w:ascii="宋体" w:hAnsi="宋体" w:cs="宋体"/>
                <w:color w:val="000000"/>
                <w:kern w:val="0"/>
                <w:sz w:val="16"/>
                <w:szCs w:val="16"/>
              </w:rPr>
              <w:t>岁儿童健康管理率达到</w:t>
            </w:r>
            <w:r>
              <w:rPr>
                <w:rFonts w:ascii="宋体" w:hAnsi="宋体" w:cs="宋体"/>
                <w:color w:val="000000"/>
                <w:kern w:val="0"/>
                <w:sz w:val="16"/>
                <w:szCs w:val="16"/>
              </w:rPr>
              <w:t>98.07%</w:t>
            </w:r>
            <w:r>
              <w:rPr>
                <w:rFonts w:hint="eastAsia" w:ascii="宋体" w:hAnsi="宋体" w:cs="宋体"/>
                <w:color w:val="000000"/>
                <w:kern w:val="0"/>
                <w:sz w:val="16"/>
                <w:szCs w:val="16"/>
              </w:rPr>
              <w:t>；早孕建册率、产后访视率达到</w:t>
            </w:r>
            <w:r>
              <w:rPr>
                <w:rFonts w:ascii="宋体" w:hAnsi="宋体" w:cs="宋体"/>
                <w:color w:val="000000"/>
                <w:kern w:val="0"/>
                <w:sz w:val="16"/>
                <w:szCs w:val="16"/>
              </w:rPr>
              <w:t>95%</w:t>
            </w:r>
            <w:r>
              <w:rPr>
                <w:rFonts w:hint="eastAsia" w:ascii="宋体" w:hAnsi="宋体" w:cs="宋体"/>
                <w:color w:val="000000"/>
                <w:kern w:val="0"/>
                <w:sz w:val="16"/>
                <w:szCs w:val="16"/>
              </w:rPr>
              <w:t>；年度统计报表上报及时率达到</w:t>
            </w:r>
            <w:r>
              <w:rPr>
                <w:rFonts w:ascii="宋体" w:hAnsi="宋体" w:cs="宋体"/>
                <w:color w:val="000000"/>
                <w:kern w:val="0"/>
                <w:sz w:val="16"/>
                <w:szCs w:val="16"/>
              </w:rPr>
              <w:t>96%</w:t>
            </w:r>
            <w:r>
              <w:rPr>
                <w:rFonts w:hint="eastAsia" w:ascii="宋体" w:hAnsi="宋体" w:cs="宋体"/>
                <w:color w:val="000000"/>
                <w:kern w:val="0"/>
                <w:sz w:val="16"/>
                <w:szCs w:val="16"/>
              </w:rPr>
              <w:t>；人均公共卫生服务经费标准达到</w:t>
            </w:r>
            <w:r>
              <w:rPr>
                <w:rFonts w:ascii="宋体" w:hAnsi="宋体" w:cs="宋体"/>
                <w:color w:val="000000"/>
                <w:kern w:val="0"/>
                <w:sz w:val="16"/>
                <w:szCs w:val="16"/>
              </w:rPr>
              <w:t>79.05</w:t>
            </w:r>
            <w:r>
              <w:rPr>
                <w:rFonts w:hint="eastAsia" w:ascii="宋体" w:hAnsi="宋体" w:cs="宋体"/>
                <w:color w:val="000000"/>
                <w:kern w:val="0"/>
                <w:sz w:val="16"/>
                <w:szCs w:val="16"/>
              </w:rPr>
              <w:t>元；居民健康保健意识和知晓率逐步提高；居民健康水平逐步提高；</w:t>
            </w:r>
          </w:p>
        </w:tc>
      </w:tr>
      <w:tr>
        <w:tblPrEx>
          <w:tblLayout w:type="fixed"/>
          <w:tblCellMar>
            <w:top w:w="0" w:type="dxa"/>
            <w:left w:w="108" w:type="dxa"/>
            <w:bottom w:w="0" w:type="dxa"/>
            <w:right w:w="108" w:type="dxa"/>
          </w:tblCellMar>
        </w:tblPrEx>
        <w:trPr>
          <w:trHeight w:val="188" w:hRule="atLeast"/>
        </w:trPr>
        <w:tc>
          <w:tcPr>
            <w:tcW w:w="419"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86"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一级指标</w:t>
            </w:r>
          </w:p>
        </w:tc>
        <w:tc>
          <w:tcPr>
            <w:tcW w:w="74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二级指标</w:t>
            </w:r>
          </w:p>
        </w:tc>
        <w:tc>
          <w:tcPr>
            <w:tcW w:w="2832"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三级指标</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年度</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实际</w:t>
            </w:r>
          </w:p>
        </w:tc>
        <w:tc>
          <w:tcPr>
            <w:tcW w:w="105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分值</w:t>
            </w:r>
          </w:p>
        </w:tc>
        <w:tc>
          <w:tcPr>
            <w:tcW w:w="126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得分</w:t>
            </w:r>
          </w:p>
        </w:tc>
        <w:tc>
          <w:tcPr>
            <w:tcW w:w="113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70"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22"/>
                <w:szCs w:val="22"/>
              </w:rPr>
            </w:pP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指标值</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cs="宋体"/>
                <w:color w:val="000000"/>
                <w:kern w:val="0"/>
                <w:sz w:val="16"/>
                <w:szCs w:val="16"/>
              </w:rPr>
              <w:t>完成值</w:t>
            </w:r>
          </w:p>
        </w:tc>
        <w:tc>
          <w:tcPr>
            <w:tcW w:w="1051"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22"/>
                <w:szCs w:val="22"/>
              </w:rPr>
            </w:pPr>
          </w:p>
        </w:tc>
        <w:tc>
          <w:tcPr>
            <w:tcW w:w="1264"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22"/>
                <w:szCs w:val="22"/>
              </w:rPr>
            </w:pPr>
          </w:p>
        </w:tc>
        <w:tc>
          <w:tcPr>
            <w:tcW w:w="1138"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22"/>
                <w:szCs w:val="22"/>
              </w:rPr>
            </w:pP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74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：适龄人群国家免疫规划疫苗接种率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99%</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：肺结核患者管理率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w:t>
            </w:r>
            <w:r>
              <w:rPr>
                <w:rFonts w:ascii="宋体" w:hAnsi="宋体" w:cs="宋体"/>
                <w:color w:val="000000"/>
                <w:kern w:val="0"/>
                <w:sz w:val="16"/>
                <w:szCs w:val="16"/>
              </w:rPr>
              <w:t>65</w:t>
            </w:r>
            <w:r>
              <w:rPr>
                <w:rFonts w:hint="eastAsia" w:ascii="宋体" w:hAnsi="宋体" w:cs="宋体"/>
                <w:color w:val="000000"/>
                <w:kern w:val="0"/>
                <w:sz w:val="16"/>
                <w:szCs w:val="16"/>
              </w:rPr>
              <w:t>岁以上老年人健康管理率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67%</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77.14%</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556"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：老年人、儿童中医药健康管理率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45%</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52%</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556"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8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5</w:t>
            </w:r>
            <w:r>
              <w:rPr>
                <w:rFonts w:hint="eastAsia" w:ascii="宋体" w:hAnsi="宋体" w:cs="宋体"/>
                <w:color w:val="000000"/>
                <w:kern w:val="0"/>
                <w:sz w:val="16"/>
                <w:szCs w:val="16"/>
              </w:rPr>
              <w:t>：传染病、突发公共卫生事件报告率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w:t>
            </w:r>
          </w:p>
        </w:tc>
        <w:tc>
          <w:tcPr>
            <w:tcW w:w="1138"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：居民电子健康档案建档率</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75%</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82.49%</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：高血压患者规范管理率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60%</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60.04%</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：糖尿病患者规范管理率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60%</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61.72%</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：新生儿访视率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85%</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97.28%</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5</w:t>
            </w:r>
            <w:r>
              <w:rPr>
                <w:rFonts w:hint="eastAsia" w:ascii="宋体" w:hAnsi="宋体" w:cs="宋体"/>
                <w:color w:val="000000"/>
                <w:kern w:val="0"/>
                <w:sz w:val="16"/>
                <w:szCs w:val="16"/>
              </w:rPr>
              <w:t>：严重精神障碍患者规范管理率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75%</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95.08%</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6</w:t>
            </w:r>
            <w:r>
              <w:rPr>
                <w:rFonts w:hint="eastAsia" w:ascii="宋体" w:hAnsi="宋体" w:cs="宋体"/>
                <w:color w:val="000000"/>
                <w:kern w:val="0"/>
                <w:sz w:val="16"/>
                <w:szCs w:val="16"/>
              </w:rPr>
              <w:t>：</w:t>
            </w:r>
            <w:r>
              <w:rPr>
                <w:rFonts w:ascii="宋体" w:hAnsi="宋体" w:cs="宋体"/>
                <w:color w:val="000000"/>
                <w:kern w:val="0"/>
                <w:sz w:val="16"/>
                <w:szCs w:val="16"/>
              </w:rPr>
              <w:t>0-6</w:t>
            </w:r>
            <w:r>
              <w:rPr>
                <w:rFonts w:hint="eastAsia" w:ascii="宋体" w:hAnsi="宋体" w:cs="宋体"/>
                <w:color w:val="000000"/>
                <w:kern w:val="0"/>
                <w:sz w:val="16"/>
                <w:szCs w:val="16"/>
              </w:rPr>
              <w:t>岁儿童健康管理率</w:t>
            </w:r>
          </w:p>
        </w:tc>
        <w:tc>
          <w:tcPr>
            <w:tcW w:w="907"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85%</w:t>
            </w:r>
          </w:p>
        </w:tc>
        <w:tc>
          <w:tcPr>
            <w:tcW w:w="105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98.07%</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7</w:t>
            </w:r>
            <w:r>
              <w:rPr>
                <w:rFonts w:hint="eastAsia" w:ascii="宋体" w:hAnsi="宋体" w:cs="宋体"/>
                <w:color w:val="000000"/>
                <w:kern w:val="0"/>
                <w:sz w:val="16"/>
                <w:szCs w:val="16"/>
              </w:rPr>
              <w:t>：早孕建册率、产后访视率</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85%</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：年度统计报表上报及时率</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：人均公共卫生服务经费标准</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65</w:t>
            </w:r>
            <w:r>
              <w:rPr>
                <w:rFonts w:hint="eastAsia" w:ascii="宋体" w:hAnsi="宋体" w:cs="宋体"/>
                <w:color w:val="000000"/>
                <w:kern w:val="0"/>
                <w:sz w:val="16"/>
                <w:szCs w:val="16"/>
              </w:rPr>
              <w:t>元</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79.05</w:t>
            </w:r>
            <w:r>
              <w:rPr>
                <w:rFonts w:hint="eastAsia" w:ascii="宋体" w:hAnsi="宋体" w:cs="宋体"/>
                <w:color w:val="000000"/>
                <w:kern w:val="0"/>
                <w:sz w:val="16"/>
                <w:szCs w:val="16"/>
              </w:rPr>
              <w:t>元</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745"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：居民健康保健意识和知晓率</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：居民健康水平提高</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：公共卫生均等化水平提高</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41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6"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74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83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：居民对基本公共卫生服务满意度</w:t>
            </w:r>
          </w:p>
        </w:tc>
        <w:tc>
          <w:tcPr>
            <w:tcW w:w="90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05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92%</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654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总分</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r>
              <w:rPr>
                <w:rFonts w:ascii="宋体" w:hAnsi="宋体" w:cs="宋体"/>
                <w:color w:val="000000"/>
                <w:kern w:val="0"/>
                <w:sz w:val="16"/>
                <w:szCs w:val="16"/>
              </w:rPr>
              <w:t>100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r>
              <w:rPr>
                <w:rFonts w:ascii="宋体" w:hAnsi="宋体" w:cs="宋体"/>
                <w:color w:val="000000"/>
                <w:kern w:val="0"/>
                <w:sz w:val="16"/>
                <w:szCs w:val="16"/>
              </w:rPr>
              <w:t>100</w:t>
            </w: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8" w:hRule="atLeast"/>
        </w:trPr>
        <w:tc>
          <w:tcPr>
            <w:tcW w:w="654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16"/>
                <w:szCs w:val="16"/>
              </w:rPr>
            </w:pP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p>
        </w:tc>
        <w:tc>
          <w:tcPr>
            <w:tcW w:w="12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p>
        </w:tc>
        <w:tc>
          <w:tcPr>
            <w:tcW w:w="113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16"/>
                <w:szCs w:val="16"/>
              </w:rPr>
            </w:pPr>
          </w:p>
        </w:tc>
      </w:tr>
    </w:tbl>
    <w:p/>
    <w:p>
      <w:r>
        <w:br w:type="page"/>
      </w:r>
    </w:p>
    <w:tbl>
      <w:tblPr>
        <w:tblStyle w:val="4"/>
        <w:tblW w:w="8752" w:type="dxa"/>
        <w:tblInd w:w="0" w:type="dxa"/>
        <w:tblLayout w:type="fixed"/>
        <w:tblCellMar>
          <w:top w:w="0" w:type="dxa"/>
          <w:left w:w="0" w:type="dxa"/>
          <w:bottom w:w="0" w:type="dxa"/>
          <w:right w:w="0" w:type="dxa"/>
        </w:tblCellMar>
      </w:tblPr>
      <w:tblGrid>
        <w:gridCol w:w="623"/>
        <w:gridCol w:w="624"/>
        <w:gridCol w:w="624"/>
        <w:gridCol w:w="624"/>
        <w:gridCol w:w="624"/>
        <w:gridCol w:w="624"/>
        <w:gridCol w:w="627"/>
        <w:gridCol w:w="627"/>
        <w:gridCol w:w="624"/>
        <w:gridCol w:w="623"/>
        <w:gridCol w:w="624"/>
        <w:gridCol w:w="623"/>
        <w:gridCol w:w="625"/>
        <w:gridCol w:w="628"/>
        <w:gridCol w:w="8"/>
      </w:tblGrid>
      <w:tr>
        <w:tblPrEx>
          <w:tblLayout w:type="fixed"/>
          <w:tblCellMar>
            <w:top w:w="0" w:type="dxa"/>
            <w:left w:w="0" w:type="dxa"/>
            <w:bottom w:w="0" w:type="dxa"/>
            <w:right w:w="0" w:type="dxa"/>
          </w:tblCellMar>
        </w:tblPrEx>
        <w:trPr>
          <w:trHeight w:val="383" w:hRule="atLeast"/>
        </w:trPr>
        <w:tc>
          <w:tcPr>
            <w:tcW w:w="8752" w:type="dxa"/>
            <w:gridSpan w:val="15"/>
            <w:tcBorders>
              <w:top w:val="nil"/>
              <w:left w:val="nil"/>
              <w:bottom w:val="nil"/>
              <w:right w:val="nil"/>
            </w:tcBorders>
            <w:shd w:val="clear" w:color="auto" w:fill="auto"/>
            <w:tcMar>
              <w:top w:w="12" w:type="dxa"/>
              <w:left w:w="12" w:type="dxa"/>
              <w:right w:w="12" w:type="dxa"/>
            </w:tcMar>
            <w:vAlign w:val="center"/>
          </w:tcPr>
          <w:p>
            <w:pPr>
              <w:jc w:val="center"/>
              <w:textAlignment w:val="center"/>
              <w:rPr>
                <w:rFonts w:ascii="宋体" w:hAnsi="宋体" w:cs="宋体"/>
                <w:b/>
                <w:color w:val="000000"/>
                <w:sz w:val="32"/>
                <w:szCs w:val="32"/>
              </w:rPr>
            </w:pPr>
            <w:r>
              <w:rPr>
                <w:rFonts w:hint="eastAsia" w:ascii="宋体" w:hAnsi="宋体" w:cs="宋体"/>
                <w:b/>
                <w:color w:val="000000"/>
                <w:kern w:val="0"/>
                <w:sz w:val="32"/>
                <w:szCs w:val="32"/>
              </w:rPr>
              <w:t>项目支出绩效自评表</w:t>
            </w:r>
          </w:p>
        </w:tc>
      </w:tr>
      <w:tr>
        <w:tblPrEx>
          <w:tblLayout w:type="fixed"/>
          <w:tblCellMar>
            <w:top w:w="0" w:type="dxa"/>
            <w:left w:w="0" w:type="dxa"/>
            <w:bottom w:w="0" w:type="dxa"/>
            <w:right w:w="0" w:type="dxa"/>
          </w:tblCellMar>
        </w:tblPrEx>
        <w:trPr>
          <w:trHeight w:val="296" w:hRule="atLeast"/>
        </w:trPr>
        <w:tc>
          <w:tcPr>
            <w:tcW w:w="8752" w:type="dxa"/>
            <w:gridSpan w:val="15"/>
            <w:tcBorders>
              <w:top w:val="nil"/>
              <w:left w:val="nil"/>
              <w:bottom w:val="nil"/>
              <w:right w:val="nil"/>
            </w:tcBorders>
            <w:shd w:val="clear" w:color="auto" w:fill="auto"/>
            <w:tcMar>
              <w:top w:w="12" w:type="dxa"/>
              <w:left w:w="12" w:type="dxa"/>
              <w:right w:w="12"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rPr>
              <w:t>（</w:t>
            </w:r>
            <w:r>
              <w:rPr>
                <w:rStyle w:val="9"/>
                <w:rFonts w:hint="default"/>
              </w:rPr>
              <w:t>2020年度）</w:t>
            </w:r>
          </w:p>
        </w:tc>
      </w:tr>
      <w:tr>
        <w:tblPrEx>
          <w:tblLayout w:type="fixed"/>
          <w:tblCellMar>
            <w:top w:w="0" w:type="dxa"/>
            <w:left w:w="0" w:type="dxa"/>
            <w:bottom w:w="0" w:type="dxa"/>
            <w:right w:w="0" w:type="dxa"/>
          </w:tblCellMar>
        </w:tblPrEx>
        <w:trPr>
          <w:trHeight w:val="314" w:hRule="atLeast"/>
        </w:trPr>
        <w:tc>
          <w:tcPr>
            <w:tcW w:w="1247"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项目名称</w:t>
            </w:r>
          </w:p>
        </w:tc>
        <w:tc>
          <w:tcPr>
            <w:tcW w:w="7505" w:type="dxa"/>
            <w:gridSpan w:val="1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全民体检</w:t>
            </w:r>
          </w:p>
        </w:tc>
      </w:tr>
      <w:tr>
        <w:tblPrEx>
          <w:tblLayout w:type="fixed"/>
          <w:tblCellMar>
            <w:top w:w="0" w:type="dxa"/>
            <w:left w:w="0" w:type="dxa"/>
            <w:bottom w:w="0" w:type="dxa"/>
            <w:right w:w="0" w:type="dxa"/>
          </w:tblCellMar>
        </w:tblPrEx>
        <w:trPr>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主管部门</w:t>
            </w:r>
          </w:p>
        </w:tc>
        <w:tc>
          <w:tcPr>
            <w:tcW w:w="3123" w:type="dxa"/>
            <w:gridSpan w:val="5"/>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玛纳斯县卫生健康委员会</w:t>
            </w:r>
          </w:p>
        </w:tc>
        <w:tc>
          <w:tcPr>
            <w:tcW w:w="1251"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实施单位</w:t>
            </w:r>
          </w:p>
        </w:tc>
        <w:tc>
          <w:tcPr>
            <w:tcW w:w="3131" w:type="dxa"/>
            <w:gridSpan w:val="6"/>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县医院、中医院及11家卫生院</w:t>
            </w:r>
          </w:p>
        </w:tc>
      </w:tr>
      <w:tr>
        <w:tblPrEx>
          <w:tblLayout w:type="fixed"/>
          <w:tblCellMar>
            <w:top w:w="0" w:type="dxa"/>
            <w:left w:w="0" w:type="dxa"/>
            <w:bottom w:w="0" w:type="dxa"/>
            <w:right w:w="0" w:type="dxa"/>
          </w:tblCellMar>
        </w:tblPrEx>
        <w:trPr>
          <w:gridAfter w:val="1"/>
          <w:wAfter w:w="8" w:type="dxa"/>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项目资金（万元）</w:t>
            </w: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年初预算数</w:t>
            </w: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全年预算数</w:t>
            </w:r>
          </w:p>
        </w:tc>
        <w:tc>
          <w:tcPr>
            <w:tcW w:w="1251"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全年执行数</w:t>
            </w:r>
          </w:p>
        </w:tc>
        <w:tc>
          <w:tcPr>
            <w:tcW w:w="1247"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分值</w:t>
            </w:r>
          </w:p>
        </w:tc>
        <w:tc>
          <w:tcPr>
            <w:tcW w:w="1248"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执行率</w:t>
            </w:r>
          </w:p>
        </w:tc>
        <w:tc>
          <w:tcPr>
            <w:tcW w:w="62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得分</w:t>
            </w:r>
          </w:p>
        </w:tc>
      </w:tr>
      <w:tr>
        <w:tblPrEx>
          <w:tblLayout w:type="fixed"/>
          <w:tblCellMar>
            <w:top w:w="0" w:type="dxa"/>
            <w:left w:w="0" w:type="dxa"/>
            <w:bottom w:w="0" w:type="dxa"/>
            <w:right w:w="0" w:type="dxa"/>
          </w:tblCellMar>
        </w:tblPrEx>
        <w:trPr>
          <w:gridAfter w:val="1"/>
          <w:wAfter w:w="8" w:type="dxa"/>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textAlignment w:val="center"/>
              <w:rPr>
                <w:rFonts w:ascii="宋体" w:hAnsi="宋体" w:cs="宋体"/>
                <w:color w:val="000000"/>
                <w:sz w:val="16"/>
                <w:szCs w:val="16"/>
              </w:rPr>
            </w:pPr>
            <w:r>
              <w:rPr>
                <w:rFonts w:hint="eastAsia" w:ascii="宋体" w:hAnsi="宋体" w:cs="宋体"/>
                <w:color w:val="000000"/>
                <w:kern w:val="0"/>
                <w:sz w:val="16"/>
                <w:szCs w:val="16"/>
              </w:rPr>
              <w:t>年度资金总额</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62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r>
      <w:tr>
        <w:tblPrEx>
          <w:tblLayout w:type="fixed"/>
          <w:tblCellMar>
            <w:top w:w="0" w:type="dxa"/>
            <w:left w:w="0" w:type="dxa"/>
            <w:bottom w:w="0" w:type="dxa"/>
            <w:right w:w="0" w:type="dxa"/>
          </w:tblCellMar>
        </w:tblPrEx>
        <w:trPr>
          <w:gridAfter w:val="1"/>
          <w:wAfter w:w="8" w:type="dxa"/>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其中：当年财政拨款</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100.45</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62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r>
      <w:tr>
        <w:tblPrEx>
          <w:tblLayout w:type="fixed"/>
          <w:tblCellMar>
            <w:top w:w="0" w:type="dxa"/>
            <w:left w:w="0" w:type="dxa"/>
            <w:bottom w:w="0" w:type="dxa"/>
            <w:right w:w="0" w:type="dxa"/>
          </w:tblCellMar>
        </w:tblPrEx>
        <w:trPr>
          <w:gridAfter w:val="1"/>
          <w:wAfter w:w="8" w:type="dxa"/>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上年结转资金</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62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r>
      <w:tr>
        <w:tblPrEx>
          <w:tblLayout w:type="fixed"/>
          <w:tblCellMar>
            <w:top w:w="0" w:type="dxa"/>
            <w:left w:w="0" w:type="dxa"/>
            <w:bottom w:w="0" w:type="dxa"/>
            <w:right w:w="0" w:type="dxa"/>
          </w:tblCellMar>
        </w:tblPrEx>
        <w:trPr>
          <w:gridAfter w:val="1"/>
          <w:wAfter w:w="8" w:type="dxa"/>
          <w:trHeight w:val="314" w:hRule="atLeast"/>
        </w:trPr>
        <w:tc>
          <w:tcPr>
            <w:tcW w:w="1247" w:type="dxa"/>
            <w:gridSpan w:val="2"/>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其他资金</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51"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c>
          <w:tcPr>
            <w:tcW w:w="1248"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628"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p>
        </w:tc>
      </w:tr>
      <w:tr>
        <w:tblPrEx>
          <w:tblLayout w:type="fixed"/>
          <w:tblCellMar>
            <w:top w:w="0" w:type="dxa"/>
            <w:left w:w="0" w:type="dxa"/>
            <w:bottom w:w="0" w:type="dxa"/>
            <w:right w:w="0" w:type="dxa"/>
          </w:tblCellMar>
        </w:tblPrEx>
        <w:trPr>
          <w:trHeight w:val="400" w:hRule="atLeast"/>
        </w:trPr>
        <w:tc>
          <w:tcPr>
            <w:tcW w:w="623" w:type="dxa"/>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年度总体目标</w:t>
            </w:r>
          </w:p>
        </w:tc>
        <w:tc>
          <w:tcPr>
            <w:tcW w:w="3747" w:type="dxa"/>
            <w:gridSpan w:val="6"/>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预期目标</w:t>
            </w:r>
          </w:p>
        </w:tc>
        <w:tc>
          <w:tcPr>
            <w:tcW w:w="4382" w:type="dxa"/>
            <w:gridSpan w:val="8"/>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实际完成情况</w:t>
            </w:r>
          </w:p>
        </w:tc>
      </w:tr>
      <w:tr>
        <w:tblPrEx>
          <w:tblLayout w:type="fixed"/>
          <w:tblCellMar>
            <w:top w:w="0" w:type="dxa"/>
            <w:left w:w="0" w:type="dxa"/>
            <w:bottom w:w="0" w:type="dxa"/>
            <w:right w:w="0" w:type="dxa"/>
          </w:tblCellMar>
        </w:tblPrEx>
        <w:trPr>
          <w:trHeight w:val="959" w:hRule="atLeast"/>
        </w:trPr>
        <w:tc>
          <w:tcPr>
            <w:tcW w:w="623" w:type="dxa"/>
            <w:tcBorders>
              <w:top w:val="nil"/>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3747" w:type="dxa"/>
            <w:gridSpan w:val="6"/>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完成全县新疆户籍城乡居民的全民健康体检，建立完备、适用的城乡居民健康档案，全面掌握我县城乡居民健康状况，分析影响城乡居民健康的主要因素，制定科学准确的疾病谱，2020年全民体检任务书77396人。</w:t>
            </w:r>
          </w:p>
        </w:tc>
        <w:tc>
          <w:tcPr>
            <w:tcW w:w="4382" w:type="dxa"/>
            <w:gridSpan w:val="8"/>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于</w:t>
            </w:r>
            <w:r>
              <w:rPr>
                <w:rStyle w:val="10"/>
                <w:rFonts w:hint="default"/>
              </w:rPr>
              <w:t>11月26日全面完成辖区78160人的体检及信息录入工作；体检人员信息全部录入系统；体检结果符合标准达到100%；人均体检费用标准为0-6岁儿童29元/人、80岁以上老年人132元/人、学生33元/人、其他人群100元/人；有效降低居民体检检查费用；对危害群众健康的各类大病“早发现、早诊断、治疗、早预防”有效降低大病发生率；免费体检服务水平不断提高；体检人员满意度达到92%。</w:t>
            </w:r>
          </w:p>
        </w:tc>
      </w:tr>
      <w:tr>
        <w:tblPrEx>
          <w:tblLayout w:type="fixed"/>
          <w:tblCellMar>
            <w:top w:w="0" w:type="dxa"/>
            <w:left w:w="0" w:type="dxa"/>
            <w:bottom w:w="0" w:type="dxa"/>
            <w:right w:w="0" w:type="dxa"/>
          </w:tblCellMar>
        </w:tblPrEx>
        <w:trPr>
          <w:gridAfter w:val="1"/>
          <w:wAfter w:w="8" w:type="dxa"/>
          <w:trHeight w:val="587"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绩</w:t>
            </w:r>
            <w:r>
              <w:rPr>
                <w:rStyle w:val="10"/>
                <w:rFonts w:hint="default"/>
              </w:rPr>
              <w:t>效指标</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一级指标</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二级指标</w:t>
            </w:r>
          </w:p>
        </w:tc>
        <w:tc>
          <w:tcPr>
            <w:tcW w:w="1872"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三级指标</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年度</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实际</w:t>
            </w:r>
          </w:p>
        </w:tc>
        <w:tc>
          <w:tcPr>
            <w:tcW w:w="1247"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分值</w:t>
            </w:r>
          </w:p>
        </w:tc>
        <w:tc>
          <w:tcPr>
            <w:tcW w:w="1247"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得分</w:t>
            </w:r>
          </w:p>
        </w:tc>
        <w:tc>
          <w:tcPr>
            <w:tcW w:w="1253"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0" w:type="dxa"/>
            <w:bottom w:w="0" w:type="dxa"/>
            <w:right w:w="0" w:type="dxa"/>
          </w:tblCellMar>
        </w:tblPrEx>
        <w:trPr>
          <w:gridAfter w:val="1"/>
          <w:wAfter w:w="8" w:type="dxa"/>
          <w:trHeight w:val="314"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指标值</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完成值</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314"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产出指标</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数量指标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1：为全县各族群众提供体检</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=77396</w:t>
            </w:r>
            <w:r>
              <w:rPr>
                <w:rStyle w:val="10"/>
                <w:rFonts w:hint="default"/>
              </w:rPr>
              <w:t>人</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78160</w:t>
            </w:r>
            <w:r>
              <w:rPr>
                <w:rStyle w:val="10"/>
                <w:rFonts w:hint="default"/>
              </w:rPr>
              <w:t>人</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314"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2：体检人员信息全部录入系统</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r>
              <w:rPr>
                <w:rStyle w:val="10"/>
                <w:rFonts w:hint="default"/>
              </w:rPr>
              <w:t>98%</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314"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质量指标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1：体检结果符合标准</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400"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时效指标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1：体检及信息录入完成时限</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10月31日</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11月26日</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前期影响进度，后期加快组织完成任务</w:t>
            </w:r>
          </w:p>
        </w:tc>
      </w:tr>
      <w:tr>
        <w:tblPrEx>
          <w:tblLayout w:type="fixed"/>
          <w:tblCellMar>
            <w:top w:w="0" w:type="dxa"/>
            <w:left w:w="0" w:type="dxa"/>
            <w:bottom w:w="0" w:type="dxa"/>
            <w:right w:w="0" w:type="dxa"/>
          </w:tblCellMar>
        </w:tblPrEx>
        <w:trPr>
          <w:gridAfter w:val="1"/>
          <w:wAfter w:w="8" w:type="dxa"/>
          <w:trHeight w:val="314"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成本指标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1：人均体检费用标准</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r>
              <w:rPr>
                <w:rStyle w:val="10"/>
                <w:rFonts w:hint="default"/>
              </w:rPr>
              <w:t>100元/人</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r>
              <w:rPr>
                <w:rStyle w:val="10"/>
                <w:rFonts w:hint="default"/>
              </w:rPr>
              <w:t>元/人</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400"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效益指标</w:t>
            </w:r>
          </w:p>
        </w:tc>
        <w:tc>
          <w:tcPr>
            <w:tcW w:w="624" w:type="dxa"/>
            <w:tcBorders>
              <w:top w:val="nil"/>
              <w:left w:val="nil"/>
              <w:bottom w:val="nil"/>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经济效益指标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1：降低居民体检检查费用</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587"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single" w:color="000000" w:sz="8" w:space="0"/>
              <w:left w:val="nil"/>
              <w:bottom w:val="nil"/>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社会效益指标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1：对危害群众健康的各类大病“早发现、早诊断、早治疗、早预防”有效降低大病发生率</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逐步下降</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逐步下降</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400"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single" w:color="000000" w:sz="8" w:space="0"/>
              <w:left w:val="nil"/>
              <w:bottom w:val="nil"/>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生态效益指标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400"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可持续影响指标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1：免费体检服务水平</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不断提高</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不断提高</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gridAfter w:val="1"/>
          <w:wAfter w:w="8" w:type="dxa"/>
          <w:trHeight w:val="400" w:hRule="atLeast"/>
        </w:trPr>
        <w:tc>
          <w:tcPr>
            <w:tcW w:w="623" w:type="dxa"/>
            <w:tcBorders>
              <w:top w:val="nil"/>
              <w:left w:val="single" w:color="000000" w:sz="8" w:space="0"/>
              <w:bottom w:val="nil"/>
              <w:right w:val="single" w:color="000000" w:sz="8" w:space="0"/>
            </w:tcBorders>
            <w:shd w:val="clear" w:color="auto" w:fill="auto"/>
            <w:tcMar>
              <w:top w:w="12" w:type="dxa"/>
              <w:left w:w="12" w:type="dxa"/>
              <w:right w:w="12" w:type="dxa"/>
            </w:tcMar>
            <w:vAlign w:val="center"/>
          </w:tcPr>
          <w:p>
            <w:pPr>
              <w:jc w:val="left"/>
              <w:rPr>
                <w:rFonts w:ascii="宋体" w:hAnsi="宋体" w:cs="宋体"/>
                <w:color w:val="000000"/>
                <w:sz w:val="16"/>
                <w:szCs w:val="16"/>
              </w:rPr>
            </w:pPr>
          </w:p>
        </w:tc>
        <w:tc>
          <w:tcPr>
            <w:tcW w:w="624" w:type="dxa"/>
            <w:tcBorders>
              <w:top w:val="nil"/>
              <w:left w:val="nil"/>
              <w:bottom w:val="nil"/>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满意度指标</w:t>
            </w:r>
          </w:p>
        </w:tc>
        <w:tc>
          <w:tcPr>
            <w:tcW w:w="624"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服务对象满意度指标</w:t>
            </w:r>
          </w:p>
        </w:tc>
        <w:tc>
          <w:tcPr>
            <w:tcW w:w="1872"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rPr>
              <w:t>指标</w:t>
            </w:r>
            <w:r>
              <w:rPr>
                <w:rStyle w:val="10"/>
                <w:rFonts w:hint="default"/>
              </w:rPr>
              <w:t>1：体检人员满意度逐步上升</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w:t>
            </w:r>
            <w:r>
              <w:rPr>
                <w:rStyle w:val="10"/>
                <w:rFonts w:hint="default"/>
              </w:rPr>
              <w:t>90%</w:t>
            </w:r>
          </w:p>
        </w:tc>
        <w:tc>
          <w:tcPr>
            <w:tcW w:w="627"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92%</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53"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r>
        <w:tblPrEx>
          <w:tblLayout w:type="fixed"/>
          <w:tblCellMar>
            <w:top w:w="0" w:type="dxa"/>
            <w:left w:w="0" w:type="dxa"/>
            <w:bottom w:w="0" w:type="dxa"/>
            <w:right w:w="0" w:type="dxa"/>
          </w:tblCellMar>
        </w:tblPrEx>
        <w:trPr>
          <w:trHeight w:val="331" w:hRule="atLeast"/>
        </w:trPr>
        <w:tc>
          <w:tcPr>
            <w:tcW w:w="4997" w:type="dxa"/>
            <w:gridSpan w:val="8"/>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总分</w:t>
            </w:r>
          </w:p>
        </w:tc>
        <w:tc>
          <w:tcPr>
            <w:tcW w:w="1247" w:type="dxa"/>
            <w:gridSpan w:val="2"/>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100</w:t>
            </w:r>
          </w:p>
        </w:tc>
        <w:tc>
          <w:tcPr>
            <w:tcW w:w="1247" w:type="dxa"/>
            <w:gridSpan w:val="2"/>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rPr>
              <w:t>95</w:t>
            </w:r>
          </w:p>
        </w:tc>
        <w:tc>
          <w:tcPr>
            <w:tcW w:w="1261" w:type="dxa"/>
            <w:gridSpan w:val="3"/>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ascii="宋体" w:hAnsi="宋体" w:cs="宋体"/>
                <w:color w:val="000000"/>
                <w:sz w:val="16"/>
                <w:szCs w:val="16"/>
              </w:rPr>
            </w:pPr>
          </w:p>
        </w:tc>
      </w:tr>
    </w:tbl>
    <w:p>
      <w:r>
        <w:br w:type="page"/>
      </w:r>
    </w:p>
    <w:tbl>
      <w:tblPr>
        <w:tblStyle w:val="4"/>
        <w:tblW w:w="10091" w:type="dxa"/>
        <w:tblInd w:w="0" w:type="dxa"/>
        <w:tblLayout w:type="fixed"/>
        <w:tblCellMar>
          <w:top w:w="0" w:type="dxa"/>
          <w:left w:w="108" w:type="dxa"/>
          <w:bottom w:w="0" w:type="dxa"/>
          <w:right w:w="108" w:type="dxa"/>
        </w:tblCellMar>
      </w:tblPr>
      <w:tblGrid>
        <w:gridCol w:w="604"/>
        <w:gridCol w:w="500"/>
        <w:gridCol w:w="870"/>
        <w:gridCol w:w="870"/>
        <w:gridCol w:w="1421"/>
        <w:gridCol w:w="305"/>
        <w:gridCol w:w="765"/>
        <w:gridCol w:w="795"/>
        <w:gridCol w:w="640"/>
        <w:gridCol w:w="749"/>
        <w:gridCol w:w="640"/>
        <w:gridCol w:w="650"/>
        <w:gridCol w:w="642"/>
        <w:gridCol w:w="640"/>
      </w:tblGrid>
      <w:tr>
        <w:tblPrEx>
          <w:tblLayout w:type="fixed"/>
          <w:tblCellMar>
            <w:top w:w="0" w:type="dxa"/>
            <w:left w:w="108" w:type="dxa"/>
            <w:bottom w:w="0" w:type="dxa"/>
            <w:right w:w="108" w:type="dxa"/>
          </w:tblCellMar>
        </w:tblPrEx>
        <w:trPr>
          <w:trHeight w:val="229" w:hRule="atLeast"/>
        </w:trPr>
        <w:tc>
          <w:tcPr>
            <w:tcW w:w="10091"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29" w:hRule="atLeast"/>
        </w:trPr>
        <w:tc>
          <w:tcPr>
            <w:tcW w:w="10091"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181"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987"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基本公共卫生服务</w:t>
            </w:r>
          </w:p>
        </w:tc>
      </w:tr>
      <w:tr>
        <w:tblPrEx>
          <w:tblLayout w:type="fixed"/>
          <w:tblCellMar>
            <w:top w:w="0" w:type="dxa"/>
            <w:left w:w="108" w:type="dxa"/>
            <w:bottom w:w="0" w:type="dxa"/>
            <w:right w:w="108" w:type="dxa"/>
          </w:tblCellMar>
        </w:tblPrEx>
        <w:trPr>
          <w:trHeight w:val="283"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231"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4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321"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县医院、中医院、妇计中心及各乡镇卫生院（含所属村卫生室）</w:t>
            </w:r>
          </w:p>
        </w:tc>
      </w:tr>
      <w:tr>
        <w:tblPrEx>
          <w:tblLayout w:type="fixed"/>
          <w:tblCellMar>
            <w:top w:w="0" w:type="dxa"/>
            <w:left w:w="108" w:type="dxa"/>
            <w:bottom w:w="0" w:type="dxa"/>
            <w:right w:w="108" w:type="dxa"/>
          </w:tblCellMar>
        </w:tblPrEx>
        <w:trPr>
          <w:trHeight w:val="181" w:hRule="atLeast"/>
        </w:trPr>
        <w:tc>
          <w:tcPr>
            <w:tcW w:w="1104"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7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2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4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2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81" w:hRule="atLeast"/>
        </w:trPr>
        <w:tc>
          <w:tcPr>
            <w:tcW w:w="110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4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42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070" w:type="dxa"/>
            <w:gridSpan w:val="2"/>
            <w:tcBorders>
              <w:top w:val="nil"/>
              <w:left w:val="nil"/>
              <w:bottom w:val="nil"/>
              <w:right w:val="nil"/>
            </w:tcBorders>
            <w:noWrap/>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43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81" w:hRule="atLeast"/>
        </w:trPr>
        <w:tc>
          <w:tcPr>
            <w:tcW w:w="110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42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4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961.54</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1" w:hRule="atLeast"/>
        </w:trPr>
        <w:tc>
          <w:tcPr>
            <w:tcW w:w="110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42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1" w:hRule="atLeast"/>
        </w:trPr>
        <w:tc>
          <w:tcPr>
            <w:tcW w:w="110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42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2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1" w:hRule="atLeast"/>
        </w:trPr>
        <w:tc>
          <w:tcPr>
            <w:tcW w:w="604"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731"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756"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653" w:hRule="atLeast"/>
        </w:trPr>
        <w:tc>
          <w:tcPr>
            <w:tcW w:w="60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731"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年完成基本公共卫生服务项目工作目标，较好实施国家基本公共卫生服务项目，保障全县人民身体健康。</w:t>
            </w:r>
          </w:p>
        </w:tc>
        <w:tc>
          <w:tcPr>
            <w:tcW w:w="4756"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适龄人群国家免疫规划疫苗接种率达到</w:t>
            </w:r>
            <w:r>
              <w:rPr>
                <w:rFonts w:ascii="宋体" w:hAnsi="宋体" w:cs="宋体"/>
                <w:color w:val="000000"/>
                <w:kern w:val="0"/>
                <w:sz w:val="16"/>
                <w:szCs w:val="16"/>
              </w:rPr>
              <w:t>99%</w:t>
            </w:r>
            <w:r>
              <w:rPr>
                <w:rFonts w:hint="eastAsia" w:ascii="宋体" w:hAnsi="宋体" w:cs="宋体"/>
                <w:color w:val="000000"/>
                <w:kern w:val="0"/>
                <w:sz w:val="16"/>
                <w:szCs w:val="16"/>
              </w:rPr>
              <w:t>；肺结核患者管理率达到</w:t>
            </w:r>
            <w:r>
              <w:rPr>
                <w:rFonts w:ascii="宋体" w:hAnsi="宋体" w:cs="宋体"/>
                <w:color w:val="000000"/>
                <w:kern w:val="0"/>
                <w:sz w:val="16"/>
                <w:szCs w:val="16"/>
              </w:rPr>
              <w:t>100%</w:t>
            </w:r>
            <w:r>
              <w:rPr>
                <w:rFonts w:hint="eastAsia" w:ascii="宋体" w:hAnsi="宋体" w:cs="宋体"/>
                <w:color w:val="000000"/>
                <w:kern w:val="0"/>
                <w:sz w:val="16"/>
                <w:szCs w:val="16"/>
              </w:rPr>
              <w:t>；</w:t>
            </w:r>
            <w:r>
              <w:rPr>
                <w:rFonts w:ascii="宋体" w:hAnsi="宋体" w:cs="宋体"/>
                <w:color w:val="000000"/>
                <w:kern w:val="0"/>
                <w:sz w:val="16"/>
                <w:szCs w:val="16"/>
              </w:rPr>
              <w:t>65</w:t>
            </w:r>
            <w:r>
              <w:rPr>
                <w:rFonts w:hint="eastAsia" w:ascii="宋体" w:hAnsi="宋体" w:cs="宋体"/>
                <w:color w:val="000000"/>
                <w:kern w:val="0"/>
                <w:sz w:val="16"/>
                <w:szCs w:val="16"/>
              </w:rPr>
              <w:t>岁以上老年人健康管理率达到</w:t>
            </w:r>
            <w:r>
              <w:rPr>
                <w:rFonts w:ascii="宋体" w:hAnsi="宋体" w:cs="宋体"/>
                <w:color w:val="000000"/>
                <w:kern w:val="0"/>
                <w:sz w:val="16"/>
                <w:szCs w:val="16"/>
              </w:rPr>
              <w:t>77.14%</w:t>
            </w:r>
            <w:r>
              <w:rPr>
                <w:rFonts w:hint="eastAsia" w:ascii="宋体" w:hAnsi="宋体" w:cs="宋体"/>
                <w:color w:val="000000"/>
                <w:kern w:val="0"/>
                <w:sz w:val="16"/>
                <w:szCs w:val="16"/>
              </w:rPr>
              <w:t>；老年人、儿童中医药健康管理率达到</w:t>
            </w:r>
            <w:r>
              <w:rPr>
                <w:rFonts w:ascii="宋体" w:hAnsi="宋体" w:cs="宋体"/>
                <w:color w:val="000000"/>
                <w:kern w:val="0"/>
                <w:sz w:val="16"/>
                <w:szCs w:val="16"/>
              </w:rPr>
              <w:t>52%</w:t>
            </w:r>
            <w:r>
              <w:rPr>
                <w:rFonts w:hint="eastAsia" w:ascii="宋体" w:hAnsi="宋体" w:cs="宋体"/>
                <w:color w:val="000000"/>
                <w:kern w:val="0"/>
                <w:sz w:val="16"/>
                <w:szCs w:val="16"/>
              </w:rPr>
              <w:t>；传染病、突发公共卫生事件报告率达到</w:t>
            </w:r>
            <w:r>
              <w:rPr>
                <w:rFonts w:ascii="宋体" w:hAnsi="宋体" w:cs="宋体"/>
                <w:color w:val="000000"/>
                <w:kern w:val="0"/>
                <w:sz w:val="16"/>
                <w:szCs w:val="16"/>
              </w:rPr>
              <w:t>100%</w:t>
            </w:r>
            <w:r>
              <w:rPr>
                <w:rFonts w:hint="eastAsia" w:ascii="宋体" w:hAnsi="宋体" w:cs="宋体"/>
                <w:color w:val="000000"/>
                <w:kern w:val="0"/>
                <w:sz w:val="16"/>
                <w:szCs w:val="16"/>
              </w:rPr>
              <w:t>；居民电子健康档案建档率达到</w:t>
            </w:r>
            <w:r>
              <w:rPr>
                <w:rFonts w:ascii="宋体" w:hAnsi="宋体" w:cs="宋体"/>
                <w:color w:val="000000"/>
                <w:kern w:val="0"/>
                <w:sz w:val="16"/>
                <w:szCs w:val="16"/>
              </w:rPr>
              <w:t>82.49%</w:t>
            </w:r>
            <w:r>
              <w:rPr>
                <w:rFonts w:hint="eastAsia" w:ascii="宋体" w:hAnsi="宋体" w:cs="宋体"/>
                <w:color w:val="000000"/>
                <w:kern w:val="0"/>
                <w:sz w:val="16"/>
                <w:szCs w:val="16"/>
              </w:rPr>
              <w:t>；高血压患者规范管理率达到</w:t>
            </w:r>
            <w:r>
              <w:rPr>
                <w:rFonts w:ascii="宋体" w:hAnsi="宋体" w:cs="宋体"/>
                <w:color w:val="000000"/>
                <w:kern w:val="0"/>
                <w:sz w:val="16"/>
                <w:szCs w:val="16"/>
              </w:rPr>
              <w:t>60.04%</w:t>
            </w:r>
            <w:r>
              <w:rPr>
                <w:rFonts w:hint="eastAsia" w:ascii="宋体" w:hAnsi="宋体" w:cs="宋体"/>
                <w:color w:val="000000"/>
                <w:kern w:val="0"/>
                <w:sz w:val="16"/>
                <w:szCs w:val="16"/>
              </w:rPr>
              <w:t>；糖尿病患者规范管理率达到</w:t>
            </w:r>
            <w:r>
              <w:rPr>
                <w:rFonts w:ascii="宋体" w:hAnsi="宋体" w:cs="宋体"/>
                <w:color w:val="000000"/>
                <w:kern w:val="0"/>
                <w:sz w:val="16"/>
                <w:szCs w:val="16"/>
              </w:rPr>
              <w:t>61.72%</w:t>
            </w:r>
            <w:r>
              <w:rPr>
                <w:rFonts w:hint="eastAsia" w:ascii="宋体" w:hAnsi="宋体" w:cs="宋体"/>
                <w:color w:val="000000"/>
                <w:kern w:val="0"/>
                <w:sz w:val="16"/>
                <w:szCs w:val="16"/>
              </w:rPr>
              <w:t>；新生儿访视率达到</w:t>
            </w:r>
            <w:r>
              <w:rPr>
                <w:rFonts w:ascii="宋体" w:hAnsi="宋体" w:cs="宋体"/>
                <w:color w:val="000000"/>
                <w:kern w:val="0"/>
                <w:sz w:val="16"/>
                <w:szCs w:val="16"/>
              </w:rPr>
              <w:t>97.28%</w:t>
            </w:r>
            <w:r>
              <w:rPr>
                <w:rFonts w:hint="eastAsia" w:ascii="宋体" w:hAnsi="宋体" w:cs="宋体"/>
                <w:color w:val="000000"/>
                <w:kern w:val="0"/>
                <w:sz w:val="16"/>
                <w:szCs w:val="16"/>
              </w:rPr>
              <w:t>；严重精神障碍患者规范管理率达到</w:t>
            </w:r>
            <w:r>
              <w:rPr>
                <w:rFonts w:ascii="宋体" w:hAnsi="宋体" w:cs="宋体"/>
                <w:color w:val="000000"/>
                <w:kern w:val="0"/>
                <w:sz w:val="16"/>
                <w:szCs w:val="16"/>
              </w:rPr>
              <w:t>95.08%</w:t>
            </w:r>
            <w:r>
              <w:rPr>
                <w:rFonts w:hint="eastAsia" w:ascii="宋体" w:hAnsi="宋体" w:cs="宋体"/>
                <w:color w:val="000000"/>
                <w:kern w:val="0"/>
                <w:sz w:val="16"/>
                <w:szCs w:val="16"/>
              </w:rPr>
              <w:t>；</w:t>
            </w:r>
            <w:r>
              <w:rPr>
                <w:rFonts w:ascii="宋体" w:hAnsi="宋体" w:cs="宋体"/>
                <w:color w:val="000000"/>
                <w:kern w:val="0"/>
                <w:sz w:val="16"/>
                <w:szCs w:val="16"/>
              </w:rPr>
              <w:t>0-6</w:t>
            </w:r>
            <w:r>
              <w:rPr>
                <w:rFonts w:hint="eastAsia" w:ascii="宋体" w:hAnsi="宋体" w:cs="宋体"/>
                <w:color w:val="000000"/>
                <w:kern w:val="0"/>
                <w:sz w:val="16"/>
                <w:szCs w:val="16"/>
              </w:rPr>
              <w:t>岁儿童健康管理率达到</w:t>
            </w:r>
            <w:r>
              <w:rPr>
                <w:rFonts w:ascii="宋体" w:hAnsi="宋体" w:cs="宋体"/>
                <w:color w:val="000000"/>
                <w:kern w:val="0"/>
                <w:sz w:val="16"/>
                <w:szCs w:val="16"/>
              </w:rPr>
              <w:t>98.07%</w:t>
            </w:r>
            <w:r>
              <w:rPr>
                <w:rFonts w:hint="eastAsia" w:ascii="宋体" w:hAnsi="宋体" w:cs="宋体"/>
                <w:color w:val="000000"/>
                <w:kern w:val="0"/>
                <w:sz w:val="16"/>
                <w:szCs w:val="16"/>
              </w:rPr>
              <w:t>；早孕建册率、产后访视率达到</w:t>
            </w:r>
            <w:r>
              <w:rPr>
                <w:rFonts w:ascii="宋体" w:hAnsi="宋体" w:cs="宋体"/>
                <w:color w:val="000000"/>
                <w:kern w:val="0"/>
                <w:sz w:val="16"/>
                <w:szCs w:val="16"/>
              </w:rPr>
              <w:t>95%</w:t>
            </w:r>
            <w:r>
              <w:rPr>
                <w:rFonts w:hint="eastAsia" w:ascii="宋体" w:hAnsi="宋体" w:cs="宋体"/>
                <w:color w:val="000000"/>
                <w:kern w:val="0"/>
                <w:sz w:val="16"/>
                <w:szCs w:val="16"/>
              </w:rPr>
              <w:t>；年度统计报表上报及时率达到</w:t>
            </w:r>
            <w:r>
              <w:rPr>
                <w:rFonts w:ascii="宋体" w:hAnsi="宋体" w:cs="宋体"/>
                <w:color w:val="000000"/>
                <w:kern w:val="0"/>
                <w:sz w:val="16"/>
                <w:szCs w:val="16"/>
              </w:rPr>
              <w:t>96%</w:t>
            </w:r>
            <w:r>
              <w:rPr>
                <w:rFonts w:hint="eastAsia" w:ascii="宋体" w:hAnsi="宋体" w:cs="宋体"/>
                <w:color w:val="000000"/>
                <w:kern w:val="0"/>
                <w:sz w:val="16"/>
                <w:szCs w:val="16"/>
              </w:rPr>
              <w:t>；人均公共卫生服务经费标准达到</w:t>
            </w:r>
            <w:r>
              <w:rPr>
                <w:rFonts w:ascii="宋体" w:hAnsi="宋体" w:cs="宋体"/>
                <w:color w:val="000000"/>
                <w:kern w:val="0"/>
                <w:sz w:val="16"/>
                <w:szCs w:val="16"/>
              </w:rPr>
              <w:t>79.05</w:t>
            </w:r>
            <w:r>
              <w:rPr>
                <w:rFonts w:hint="eastAsia" w:ascii="宋体" w:hAnsi="宋体" w:cs="宋体"/>
                <w:color w:val="000000"/>
                <w:kern w:val="0"/>
                <w:sz w:val="16"/>
                <w:szCs w:val="16"/>
              </w:rPr>
              <w:t>元。</w:t>
            </w:r>
          </w:p>
        </w:tc>
      </w:tr>
      <w:tr>
        <w:tblPrEx>
          <w:tblLayout w:type="fixed"/>
          <w:tblCellMar>
            <w:top w:w="0" w:type="dxa"/>
            <w:left w:w="108" w:type="dxa"/>
            <w:bottom w:w="0" w:type="dxa"/>
            <w:right w:w="108" w:type="dxa"/>
          </w:tblCellMar>
        </w:tblPrEx>
        <w:trPr>
          <w:trHeight w:val="181" w:hRule="atLeast"/>
        </w:trPr>
        <w:tc>
          <w:tcPr>
            <w:tcW w:w="604"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0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87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596"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138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29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28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1389"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290"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282"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87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：适龄人群国家免疫规划疫苗接种率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99%</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：肺结核患者管理率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w:t>
            </w:r>
            <w:r>
              <w:rPr>
                <w:rFonts w:ascii="宋体" w:hAnsi="宋体" w:cs="宋体"/>
                <w:color w:val="000000"/>
                <w:kern w:val="0"/>
                <w:sz w:val="16"/>
                <w:szCs w:val="16"/>
              </w:rPr>
              <w:t>65</w:t>
            </w:r>
            <w:r>
              <w:rPr>
                <w:rFonts w:hint="eastAsia" w:ascii="宋体" w:hAnsi="宋体" w:cs="宋体"/>
                <w:color w:val="000000"/>
                <w:kern w:val="0"/>
                <w:sz w:val="16"/>
                <w:szCs w:val="16"/>
              </w:rPr>
              <w:t>岁以上老年人健康管理率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67%</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77.14%</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642"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：老年人、儿童中医药健康管理率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45%</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52%</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642"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：居民电子健康档案建档率</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75%</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82.49%</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：高血压患者规范管理率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60%</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60.04%</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：糖尿病患者规范管理率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60%</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61.72%</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：新生儿访视率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85%</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97.28%</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5</w:t>
            </w:r>
            <w:r>
              <w:rPr>
                <w:rFonts w:hint="eastAsia" w:ascii="宋体" w:hAnsi="宋体" w:cs="宋体"/>
                <w:color w:val="000000"/>
                <w:kern w:val="0"/>
                <w:sz w:val="16"/>
                <w:szCs w:val="16"/>
              </w:rPr>
              <w:t>：严重精神障碍患者规范管理率</w:t>
            </w:r>
          </w:p>
        </w:tc>
        <w:tc>
          <w:tcPr>
            <w:tcW w:w="76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75%</w:t>
            </w:r>
          </w:p>
        </w:tc>
        <w:tc>
          <w:tcPr>
            <w:tcW w:w="79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95.08%</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：年度统计报表上报及时率</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96%</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：人均公共卫生服务经费标准</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65</w:t>
            </w:r>
            <w:r>
              <w:rPr>
                <w:rFonts w:hint="eastAsia" w:ascii="宋体" w:hAnsi="宋体" w:cs="宋体"/>
                <w:color w:val="000000"/>
                <w:kern w:val="0"/>
                <w:sz w:val="16"/>
                <w:szCs w:val="16"/>
              </w:rPr>
              <w:t>元</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79.05</w:t>
            </w:r>
            <w:r>
              <w:rPr>
                <w:rFonts w:hint="eastAsia" w:ascii="宋体" w:hAnsi="宋体" w:cs="宋体"/>
                <w:color w:val="000000"/>
                <w:kern w:val="0"/>
                <w:sz w:val="16"/>
                <w:szCs w:val="16"/>
              </w:rPr>
              <w:t>元</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870"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：居民健康保健意识和知晓率</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：居民健康水平提高</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：公共卫生均等化水平提高</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0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00"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87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596"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：居民对基本公共卫生服务满意度</w:t>
            </w:r>
          </w:p>
        </w:tc>
        <w:tc>
          <w:tcPr>
            <w:tcW w:w="7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92%</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81" w:hRule="atLeast"/>
        </w:trPr>
        <w:tc>
          <w:tcPr>
            <w:tcW w:w="613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13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2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28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10128" w:type="dxa"/>
        <w:tblInd w:w="0" w:type="dxa"/>
        <w:tblLayout w:type="fixed"/>
        <w:tblCellMar>
          <w:top w:w="0" w:type="dxa"/>
          <w:left w:w="108" w:type="dxa"/>
          <w:bottom w:w="0" w:type="dxa"/>
          <w:right w:w="108" w:type="dxa"/>
        </w:tblCellMar>
      </w:tblPr>
      <w:tblGrid>
        <w:gridCol w:w="554"/>
        <w:gridCol w:w="453"/>
        <w:gridCol w:w="790"/>
        <w:gridCol w:w="790"/>
        <w:gridCol w:w="877"/>
        <w:gridCol w:w="275"/>
        <w:gridCol w:w="950"/>
        <w:gridCol w:w="754"/>
        <w:gridCol w:w="756"/>
        <w:gridCol w:w="895"/>
        <w:gridCol w:w="756"/>
        <w:gridCol w:w="760"/>
        <w:gridCol w:w="756"/>
        <w:gridCol w:w="762"/>
      </w:tblGrid>
      <w:tr>
        <w:tblPrEx>
          <w:tblLayout w:type="fixed"/>
          <w:tblCellMar>
            <w:top w:w="0" w:type="dxa"/>
            <w:left w:w="108" w:type="dxa"/>
            <w:bottom w:w="0" w:type="dxa"/>
            <w:right w:w="108" w:type="dxa"/>
          </w:tblCellMar>
        </w:tblPrEx>
        <w:trPr>
          <w:trHeight w:val="290" w:hRule="atLeast"/>
        </w:trPr>
        <w:tc>
          <w:tcPr>
            <w:tcW w:w="10128"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90" w:hRule="atLeast"/>
        </w:trPr>
        <w:tc>
          <w:tcPr>
            <w:tcW w:w="10128"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228" w:hRule="atLeast"/>
        </w:trPr>
        <w:tc>
          <w:tcPr>
            <w:tcW w:w="10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9121"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年基本药物制度补助资金</w:t>
            </w:r>
          </w:p>
        </w:tc>
      </w:tr>
      <w:tr>
        <w:tblPrEx>
          <w:tblLayout w:type="fixed"/>
          <w:tblCellMar>
            <w:top w:w="0" w:type="dxa"/>
            <w:left w:w="108" w:type="dxa"/>
            <w:bottom w:w="0" w:type="dxa"/>
            <w:right w:w="108" w:type="dxa"/>
          </w:tblCellMar>
        </w:tblPrEx>
        <w:trPr>
          <w:trHeight w:val="228" w:hRule="atLeast"/>
        </w:trPr>
        <w:tc>
          <w:tcPr>
            <w:tcW w:w="10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3682"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929"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所有卫生院及村卫生室</w:t>
            </w:r>
          </w:p>
        </w:tc>
      </w:tr>
      <w:tr>
        <w:tblPrEx>
          <w:tblLayout w:type="fixed"/>
          <w:tblCellMar>
            <w:top w:w="0" w:type="dxa"/>
            <w:left w:w="108" w:type="dxa"/>
            <w:bottom w:w="0" w:type="dxa"/>
            <w:right w:w="108" w:type="dxa"/>
          </w:tblCellMar>
        </w:tblPrEx>
        <w:trPr>
          <w:trHeight w:val="228" w:hRule="atLeast"/>
        </w:trPr>
        <w:tc>
          <w:tcPr>
            <w:tcW w:w="1007"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5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7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22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76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28" w:hRule="atLeast"/>
        </w:trPr>
        <w:tc>
          <w:tcPr>
            <w:tcW w:w="100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58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87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22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6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228" w:hRule="atLeast"/>
        </w:trPr>
        <w:tc>
          <w:tcPr>
            <w:tcW w:w="100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5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87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22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157.51</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6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8" w:hRule="atLeast"/>
        </w:trPr>
        <w:tc>
          <w:tcPr>
            <w:tcW w:w="100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5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87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2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6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8" w:hRule="atLeast"/>
        </w:trPr>
        <w:tc>
          <w:tcPr>
            <w:tcW w:w="100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5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87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2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6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8" w:hRule="atLeast"/>
        </w:trPr>
        <w:tc>
          <w:tcPr>
            <w:tcW w:w="554"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135"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5439"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289" w:hRule="atLeast"/>
        </w:trPr>
        <w:tc>
          <w:tcPr>
            <w:tcW w:w="55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135"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全县</w:t>
            </w:r>
            <w:r>
              <w:rPr>
                <w:rFonts w:ascii="宋体" w:hAnsi="宋体" w:cs="宋体"/>
                <w:color w:val="000000"/>
                <w:kern w:val="0"/>
                <w:sz w:val="16"/>
                <w:szCs w:val="16"/>
              </w:rPr>
              <w:t>11</w:t>
            </w:r>
            <w:r>
              <w:rPr>
                <w:rFonts w:hint="eastAsia" w:ascii="宋体" w:hAnsi="宋体" w:cs="宋体"/>
                <w:color w:val="000000"/>
                <w:kern w:val="0"/>
                <w:sz w:val="16"/>
                <w:szCs w:val="16"/>
              </w:rPr>
              <w:t>个乡镇卫生院和所有村卫生室，全部实施国家基本药物制度，实行零差率销售，药品全部由乡镇卫生院统一网上采购，药品配备率、使用率均达到</w:t>
            </w:r>
            <w:r>
              <w:rPr>
                <w:rFonts w:ascii="宋体" w:hAnsi="宋体" w:cs="宋体"/>
                <w:color w:val="000000"/>
                <w:kern w:val="0"/>
                <w:sz w:val="16"/>
                <w:szCs w:val="16"/>
              </w:rPr>
              <w:t>100%</w:t>
            </w:r>
            <w:r>
              <w:rPr>
                <w:rFonts w:hint="eastAsia" w:ascii="宋体" w:hAnsi="宋体" w:cs="宋体"/>
                <w:color w:val="000000"/>
                <w:kern w:val="0"/>
                <w:sz w:val="16"/>
                <w:szCs w:val="16"/>
              </w:rPr>
              <w:t>。</w:t>
            </w:r>
          </w:p>
        </w:tc>
        <w:tc>
          <w:tcPr>
            <w:tcW w:w="5439"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实施基本药物制度的政府办基层医疗卫生机构比例达到</w:t>
            </w:r>
            <w:r>
              <w:rPr>
                <w:rFonts w:ascii="宋体" w:hAnsi="宋体" w:cs="宋体"/>
                <w:color w:val="000000"/>
                <w:kern w:val="0"/>
                <w:sz w:val="16"/>
                <w:szCs w:val="16"/>
              </w:rPr>
              <w:t>100%</w:t>
            </w:r>
            <w:r>
              <w:rPr>
                <w:rFonts w:hint="eastAsia" w:ascii="宋体" w:hAnsi="宋体" w:cs="宋体"/>
                <w:color w:val="000000"/>
                <w:kern w:val="0"/>
                <w:sz w:val="16"/>
                <w:szCs w:val="16"/>
              </w:rPr>
              <w:t>；村卫生室实施国家基本药物制度覆盖率达到</w:t>
            </w:r>
            <w:r>
              <w:rPr>
                <w:rFonts w:ascii="宋体" w:hAnsi="宋体" w:cs="宋体"/>
                <w:color w:val="000000"/>
                <w:kern w:val="0"/>
                <w:sz w:val="16"/>
                <w:szCs w:val="16"/>
              </w:rPr>
              <w:t>100%</w:t>
            </w:r>
            <w:r>
              <w:rPr>
                <w:rFonts w:hint="eastAsia" w:ascii="宋体" w:hAnsi="宋体" w:cs="宋体"/>
                <w:color w:val="000000"/>
                <w:kern w:val="0"/>
                <w:sz w:val="16"/>
                <w:szCs w:val="16"/>
              </w:rPr>
              <w:t>；村卫生室基本药物品种配备数平均达到</w:t>
            </w:r>
            <w:r>
              <w:rPr>
                <w:rFonts w:ascii="宋体" w:hAnsi="宋体" w:cs="宋体"/>
                <w:color w:val="000000"/>
                <w:kern w:val="0"/>
                <w:sz w:val="16"/>
                <w:szCs w:val="16"/>
              </w:rPr>
              <w:t>80</w:t>
            </w:r>
            <w:r>
              <w:rPr>
                <w:rFonts w:hint="eastAsia" w:ascii="宋体" w:hAnsi="宋体" w:cs="宋体"/>
                <w:color w:val="000000"/>
                <w:kern w:val="0"/>
                <w:sz w:val="16"/>
                <w:szCs w:val="16"/>
              </w:rPr>
              <w:t>种；乡村医生收入稳定；药品质量合格率达到</w:t>
            </w:r>
            <w:r>
              <w:rPr>
                <w:rFonts w:ascii="宋体" w:hAnsi="宋体" w:cs="宋体"/>
                <w:color w:val="000000"/>
                <w:kern w:val="0"/>
                <w:sz w:val="16"/>
                <w:szCs w:val="16"/>
              </w:rPr>
              <w:t>100%</w:t>
            </w:r>
            <w:r>
              <w:rPr>
                <w:rFonts w:hint="eastAsia" w:ascii="宋体" w:hAnsi="宋体" w:cs="宋体"/>
                <w:color w:val="000000"/>
                <w:kern w:val="0"/>
                <w:sz w:val="16"/>
                <w:szCs w:val="16"/>
              </w:rPr>
              <w:t>；资金拨付时间在</w:t>
            </w:r>
            <w:r>
              <w:rPr>
                <w:rFonts w:ascii="宋体" w:hAnsi="宋体" w:cs="宋体"/>
                <w:color w:val="000000"/>
                <w:kern w:val="0"/>
                <w:sz w:val="16"/>
                <w:szCs w:val="16"/>
              </w:rPr>
              <w:t>30</w:t>
            </w:r>
            <w:r>
              <w:rPr>
                <w:rFonts w:hint="eastAsia" w:ascii="宋体" w:hAnsi="宋体" w:cs="宋体"/>
                <w:color w:val="000000"/>
                <w:kern w:val="0"/>
                <w:sz w:val="16"/>
                <w:szCs w:val="16"/>
              </w:rPr>
              <w:t>工作日内；有效降低就医群众经济负担；基本药物零差率销售</w:t>
            </w:r>
            <w:r>
              <w:rPr>
                <w:rFonts w:ascii="宋体" w:hAnsi="宋体" w:cs="宋体"/>
                <w:color w:val="000000"/>
                <w:kern w:val="0"/>
                <w:sz w:val="16"/>
                <w:szCs w:val="16"/>
              </w:rPr>
              <w:t>100%</w:t>
            </w:r>
            <w:r>
              <w:rPr>
                <w:rFonts w:hint="eastAsia" w:ascii="宋体" w:hAnsi="宋体" w:cs="宋体"/>
                <w:color w:val="000000"/>
                <w:kern w:val="0"/>
                <w:sz w:val="16"/>
                <w:szCs w:val="16"/>
              </w:rPr>
              <w:t>；有效降低患者的医疗费用；服务对象满意度达到</w:t>
            </w:r>
            <w:r>
              <w:rPr>
                <w:rFonts w:ascii="宋体" w:hAnsi="宋体" w:cs="宋体"/>
                <w:color w:val="000000"/>
                <w:kern w:val="0"/>
                <w:sz w:val="16"/>
                <w:szCs w:val="16"/>
              </w:rPr>
              <w:t>92%</w:t>
            </w: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8" w:hRule="atLeast"/>
        </w:trPr>
        <w:tc>
          <w:tcPr>
            <w:tcW w:w="554"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45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79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1942"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165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516"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51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28"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942"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1651"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516"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518"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79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：实施基本药物制度的政府办基层医疗卫生机构比例</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等于</w:t>
            </w:r>
            <w:r>
              <w:rPr>
                <w:rFonts w:ascii="宋体" w:hAnsi="宋体" w:cs="宋体"/>
                <w:color w:val="000000"/>
                <w:kern w:val="0"/>
                <w:sz w:val="16"/>
                <w:szCs w:val="16"/>
              </w:rPr>
              <w:t>100%</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：村卫生室实施国家基本药物制度覆盖率</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等于</w:t>
            </w:r>
            <w:r>
              <w:rPr>
                <w:rFonts w:ascii="宋体" w:hAnsi="宋体" w:cs="宋体"/>
                <w:color w:val="000000"/>
                <w:kern w:val="0"/>
                <w:sz w:val="16"/>
                <w:szCs w:val="16"/>
              </w:rPr>
              <w:t>100%</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942" w:type="dxa"/>
            <w:gridSpan w:val="3"/>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：村卫生室基本药物品种配备数</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80</w:t>
            </w:r>
            <w:r>
              <w:rPr>
                <w:rFonts w:hint="eastAsia" w:ascii="宋体" w:hAnsi="宋体" w:cs="宋体"/>
                <w:color w:val="000000"/>
                <w:kern w:val="0"/>
                <w:sz w:val="16"/>
                <w:szCs w:val="16"/>
              </w:rPr>
              <w:t>种</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80</w:t>
            </w:r>
            <w:r>
              <w:rPr>
                <w:rFonts w:hint="eastAsia" w:ascii="宋体" w:hAnsi="宋体" w:cs="宋体"/>
                <w:color w:val="000000"/>
                <w:kern w:val="0"/>
                <w:sz w:val="16"/>
                <w:szCs w:val="16"/>
              </w:rPr>
              <w:t>种</w:t>
            </w:r>
          </w:p>
        </w:tc>
        <w:tc>
          <w:tcPr>
            <w:tcW w:w="1651"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8"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01"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：乡村医生收入</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稳定</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稳定</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67"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：药品质量合格率</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等于</w:t>
            </w:r>
            <w:r>
              <w:rPr>
                <w:rFonts w:ascii="宋体" w:hAnsi="宋体" w:cs="宋体"/>
                <w:color w:val="000000"/>
                <w:kern w:val="0"/>
                <w:sz w:val="16"/>
                <w:szCs w:val="16"/>
              </w:rPr>
              <w:t>100%</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：资金拨付时间</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30</w:t>
            </w:r>
            <w:r>
              <w:rPr>
                <w:rFonts w:hint="eastAsia" w:ascii="宋体" w:hAnsi="宋体" w:cs="宋体"/>
                <w:color w:val="000000"/>
                <w:kern w:val="0"/>
                <w:sz w:val="16"/>
                <w:szCs w:val="16"/>
              </w:rPr>
              <w:t>个工作日</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w:t>
            </w:r>
            <w:r>
              <w:rPr>
                <w:rFonts w:hint="eastAsia" w:ascii="宋体" w:hAnsi="宋体" w:cs="宋体"/>
                <w:color w:val="000000"/>
                <w:kern w:val="0"/>
                <w:sz w:val="16"/>
                <w:szCs w:val="16"/>
              </w:rPr>
              <w:t>个工作日</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：降低就医群众经济负担</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有效</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有效</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790"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：基本药物零差率销售</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等于</w:t>
            </w:r>
            <w:r>
              <w:rPr>
                <w:rFonts w:ascii="宋体" w:hAnsi="宋体" w:cs="宋体"/>
                <w:color w:val="000000"/>
                <w:kern w:val="0"/>
                <w:sz w:val="16"/>
                <w:szCs w:val="16"/>
              </w:rPr>
              <w:t>100%</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90"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：降低患者的医疗费用</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有效</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有效</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45" w:hRule="atLeast"/>
        </w:trPr>
        <w:tc>
          <w:tcPr>
            <w:tcW w:w="554"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453"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79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1942"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：服务对象满意度</w:t>
            </w:r>
          </w:p>
        </w:tc>
        <w:tc>
          <w:tcPr>
            <w:tcW w:w="95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75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92%</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86" w:hRule="atLeast"/>
        </w:trPr>
        <w:tc>
          <w:tcPr>
            <w:tcW w:w="5443"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16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51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51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10080" w:type="dxa"/>
        <w:tblInd w:w="0" w:type="dxa"/>
        <w:tblLayout w:type="fixed"/>
        <w:tblCellMar>
          <w:top w:w="0" w:type="dxa"/>
          <w:left w:w="108" w:type="dxa"/>
          <w:bottom w:w="0" w:type="dxa"/>
          <w:right w:w="108" w:type="dxa"/>
        </w:tblCellMar>
      </w:tblPr>
      <w:tblGrid>
        <w:gridCol w:w="391"/>
        <w:gridCol w:w="512"/>
        <w:gridCol w:w="1298"/>
        <w:gridCol w:w="972"/>
        <w:gridCol w:w="484"/>
        <w:gridCol w:w="558"/>
        <w:gridCol w:w="1191"/>
        <w:gridCol w:w="1385"/>
        <w:gridCol w:w="776"/>
        <w:gridCol w:w="611"/>
        <w:gridCol w:w="661"/>
        <w:gridCol w:w="460"/>
        <w:gridCol w:w="781"/>
      </w:tblGrid>
      <w:tr>
        <w:tblPrEx>
          <w:tblLayout w:type="fixed"/>
          <w:tblCellMar>
            <w:top w:w="0" w:type="dxa"/>
            <w:left w:w="108" w:type="dxa"/>
            <w:bottom w:w="0" w:type="dxa"/>
            <w:right w:w="108" w:type="dxa"/>
          </w:tblCellMar>
        </w:tblPrEx>
        <w:trPr>
          <w:trHeight w:val="144" w:hRule="atLeast"/>
        </w:trPr>
        <w:tc>
          <w:tcPr>
            <w:tcW w:w="10080" w:type="dxa"/>
            <w:gridSpan w:val="13"/>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奖扶资金支出绩效自评表</w:t>
            </w:r>
          </w:p>
        </w:tc>
      </w:tr>
      <w:tr>
        <w:tblPrEx>
          <w:tblLayout w:type="fixed"/>
          <w:tblCellMar>
            <w:top w:w="0" w:type="dxa"/>
            <w:left w:w="108" w:type="dxa"/>
            <w:bottom w:w="0" w:type="dxa"/>
            <w:right w:w="108" w:type="dxa"/>
          </w:tblCellMar>
        </w:tblPrEx>
        <w:trPr>
          <w:trHeight w:val="144" w:hRule="atLeast"/>
        </w:trPr>
        <w:tc>
          <w:tcPr>
            <w:tcW w:w="10080" w:type="dxa"/>
            <w:gridSpan w:val="13"/>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95" w:hRule="atLeast"/>
        </w:trPr>
        <w:tc>
          <w:tcPr>
            <w:tcW w:w="90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9177" w:type="dxa"/>
            <w:gridSpan w:val="11"/>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计划生育奖扶资金</w:t>
            </w:r>
          </w:p>
        </w:tc>
      </w:tr>
      <w:tr>
        <w:tblPrEx>
          <w:tblLayout w:type="fixed"/>
          <w:tblCellMar>
            <w:top w:w="0" w:type="dxa"/>
            <w:left w:w="108" w:type="dxa"/>
            <w:bottom w:w="0" w:type="dxa"/>
            <w:right w:w="108" w:type="dxa"/>
          </w:tblCellMar>
        </w:tblPrEx>
        <w:trPr>
          <w:trHeight w:val="95" w:hRule="atLeast"/>
        </w:trPr>
        <w:tc>
          <w:tcPr>
            <w:tcW w:w="90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503"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昌吉州卫生健康委员会</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289"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r>
      <w:tr>
        <w:tblPrEx>
          <w:tblLayout w:type="fixed"/>
          <w:tblCellMar>
            <w:top w:w="0" w:type="dxa"/>
            <w:left w:w="108" w:type="dxa"/>
            <w:bottom w:w="0" w:type="dxa"/>
            <w:right w:w="108" w:type="dxa"/>
          </w:tblCellMar>
        </w:tblPrEx>
        <w:trPr>
          <w:trHeight w:val="95" w:hRule="atLeast"/>
        </w:trPr>
        <w:tc>
          <w:tcPr>
            <w:tcW w:w="903"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22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42"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191"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3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1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95" w:hRule="atLeast"/>
        </w:trPr>
        <w:tc>
          <w:tcPr>
            <w:tcW w:w="903"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27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042"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191" w:type="dxa"/>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3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1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95" w:hRule="atLeast"/>
        </w:trPr>
        <w:tc>
          <w:tcPr>
            <w:tcW w:w="903"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2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042"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191" w:type="dxa"/>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240.9</w:t>
            </w:r>
          </w:p>
        </w:tc>
        <w:tc>
          <w:tcPr>
            <w:tcW w:w="13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1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95" w:hRule="atLeast"/>
        </w:trPr>
        <w:tc>
          <w:tcPr>
            <w:tcW w:w="903"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2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042"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1"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1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95" w:hRule="atLeast"/>
        </w:trPr>
        <w:tc>
          <w:tcPr>
            <w:tcW w:w="903"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2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042"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1"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1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95" w:hRule="atLeast"/>
        </w:trPr>
        <w:tc>
          <w:tcPr>
            <w:tcW w:w="39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5015"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674"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287" w:hRule="atLeast"/>
        </w:trPr>
        <w:tc>
          <w:tcPr>
            <w:tcW w:w="39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5015"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在计划生育专项资金的实施过程中，坚持统一把关，按照文件规定的程序、条件和奖励扶助标准制定实施意见，达到公开透明，切实保障群众的合法权益，确保政策的一致性，力争做到一个不错、一个不漏。</w:t>
            </w:r>
          </w:p>
        </w:tc>
        <w:tc>
          <w:tcPr>
            <w:tcW w:w="4674" w:type="dxa"/>
            <w:gridSpan w:val="6"/>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ascii="宋体" w:hAnsi="宋体" w:cs="宋体"/>
                <w:color w:val="000000"/>
                <w:kern w:val="0"/>
                <w:sz w:val="16"/>
                <w:szCs w:val="16"/>
              </w:rPr>
              <w:t>1</w:t>
            </w:r>
            <w:r>
              <w:rPr>
                <w:rFonts w:hint="eastAsia" w:ascii="宋体" w:hAnsi="宋体" w:cs="宋体"/>
                <w:color w:val="000000"/>
                <w:kern w:val="0"/>
                <w:sz w:val="16"/>
                <w:szCs w:val="16"/>
              </w:rPr>
              <w:t>、农村部分计划生育家庭奖励扶助对象</w:t>
            </w:r>
            <w:r>
              <w:rPr>
                <w:rFonts w:ascii="宋体" w:cs="宋体"/>
                <w:color w:val="000000"/>
                <w:kern w:val="0"/>
                <w:sz w:val="16"/>
                <w:szCs w:val="16"/>
              </w:rPr>
              <w:t>,</w:t>
            </w:r>
            <w:r>
              <w:rPr>
                <w:rFonts w:hint="eastAsia" w:ascii="宋体" w:hAnsi="宋体" w:cs="宋体"/>
                <w:color w:val="000000"/>
                <w:kern w:val="0"/>
                <w:sz w:val="16"/>
                <w:szCs w:val="16"/>
              </w:rPr>
              <w:t>每人每月</w:t>
            </w:r>
            <w:r>
              <w:rPr>
                <w:rFonts w:ascii="宋体" w:hAnsi="宋体" w:cs="宋体"/>
                <w:color w:val="000000"/>
                <w:kern w:val="0"/>
                <w:sz w:val="16"/>
                <w:szCs w:val="16"/>
              </w:rPr>
              <w:t>80</w:t>
            </w:r>
            <w:r>
              <w:rPr>
                <w:rFonts w:hint="eastAsia" w:ascii="宋体" w:hAnsi="宋体" w:cs="宋体"/>
                <w:color w:val="000000"/>
                <w:kern w:val="0"/>
                <w:sz w:val="16"/>
                <w:szCs w:val="16"/>
              </w:rPr>
              <w:t>元</w:t>
            </w:r>
            <w:r>
              <w:rPr>
                <w:rFonts w:ascii="宋体" w:cs="宋体"/>
                <w:color w:val="000000"/>
                <w:kern w:val="0"/>
                <w:sz w:val="16"/>
                <w:szCs w:val="16"/>
              </w:rPr>
              <w:t>,</w:t>
            </w:r>
            <w:r>
              <w:rPr>
                <w:rFonts w:hint="eastAsia" w:ascii="宋体" w:hAnsi="宋体" w:cs="宋体"/>
                <w:color w:val="000000"/>
                <w:kern w:val="0"/>
                <w:sz w:val="16"/>
                <w:szCs w:val="16"/>
              </w:rPr>
              <w:t>按国家</w:t>
            </w:r>
            <w:r>
              <w:rPr>
                <w:rFonts w:ascii="宋体" w:hAnsi="宋体" w:cs="宋体"/>
                <w:color w:val="000000"/>
                <w:kern w:val="0"/>
                <w:sz w:val="16"/>
                <w:szCs w:val="16"/>
              </w:rPr>
              <w:t>80%</w:t>
            </w:r>
            <w:r>
              <w:rPr>
                <w:rFonts w:hint="eastAsia" w:ascii="宋体" w:hAnsi="宋体" w:cs="宋体"/>
                <w:color w:val="000000"/>
                <w:kern w:val="0"/>
                <w:sz w:val="16"/>
                <w:szCs w:val="16"/>
              </w:rPr>
              <w:t>、区</w:t>
            </w:r>
            <w:r>
              <w:rPr>
                <w:rFonts w:ascii="宋体" w:hAnsi="宋体" w:cs="宋体"/>
                <w:color w:val="000000"/>
                <w:kern w:val="0"/>
                <w:sz w:val="16"/>
                <w:szCs w:val="16"/>
              </w:rPr>
              <w:t>14%</w:t>
            </w:r>
            <w:r>
              <w:rPr>
                <w:rFonts w:hint="eastAsia" w:ascii="宋体" w:hAnsi="宋体" w:cs="宋体"/>
                <w:color w:val="000000"/>
                <w:kern w:val="0"/>
                <w:sz w:val="16"/>
                <w:szCs w:val="16"/>
              </w:rPr>
              <w:t>、州</w:t>
            </w:r>
            <w:r>
              <w:rPr>
                <w:rFonts w:ascii="宋体" w:hAnsi="宋体" w:cs="宋体"/>
                <w:color w:val="000000"/>
                <w:kern w:val="0"/>
                <w:sz w:val="16"/>
                <w:szCs w:val="16"/>
              </w:rPr>
              <w:t>2%</w:t>
            </w:r>
            <w:r>
              <w:rPr>
                <w:rFonts w:hint="eastAsia" w:ascii="宋体" w:hAnsi="宋体" w:cs="宋体"/>
                <w:color w:val="000000"/>
                <w:kern w:val="0"/>
                <w:sz w:val="16"/>
                <w:szCs w:val="16"/>
              </w:rPr>
              <w:t>、县</w:t>
            </w:r>
            <w:r>
              <w:rPr>
                <w:rFonts w:ascii="宋体" w:hAnsi="宋体" w:cs="宋体"/>
                <w:color w:val="000000"/>
                <w:kern w:val="0"/>
                <w:sz w:val="16"/>
                <w:szCs w:val="16"/>
              </w:rPr>
              <w:t>4%</w:t>
            </w:r>
            <w:r>
              <w:rPr>
                <w:rFonts w:hint="eastAsia" w:ascii="宋体" w:hAnsi="宋体" w:cs="宋体"/>
                <w:color w:val="000000"/>
                <w:kern w:val="0"/>
                <w:sz w:val="16"/>
                <w:szCs w:val="16"/>
              </w:rPr>
              <w:t>配套</w:t>
            </w:r>
            <w:r>
              <w:rPr>
                <w:rFonts w:ascii="宋体" w:hAnsi="宋体" w:cs="宋体"/>
                <w:color w:val="000000"/>
                <w:kern w:val="0"/>
                <w:sz w:val="16"/>
                <w:szCs w:val="16"/>
              </w:rPr>
              <w:t>;2020</w:t>
            </w:r>
            <w:r>
              <w:rPr>
                <w:rFonts w:hint="eastAsia" w:ascii="宋体" w:hAnsi="宋体" w:cs="宋体"/>
                <w:color w:val="000000"/>
                <w:kern w:val="0"/>
                <w:sz w:val="16"/>
                <w:szCs w:val="16"/>
              </w:rPr>
              <w:t>年确认</w:t>
            </w:r>
            <w:r>
              <w:rPr>
                <w:rFonts w:ascii="宋体" w:hAnsi="宋体" w:cs="宋体"/>
                <w:color w:val="000000"/>
                <w:kern w:val="0"/>
                <w:sz w:val="16"/>
                <w:szCs w:val="16"/>
              </w:rPr>
              <w:t>941</w:t>
            </w:r>
            <w:r>
              <w:rPr>
                <w:rFonts w:hint="eastAsia" w:ascii="宋体" w:hAnsi="宋体" w:cs="宋体"/>
                <w:color w:val="000000"/>
                <w:kern w:val="0"/>
                <w:sz w:val="16"/>
                <w:szCs w:val="16"/>
              </w:rPr>
              <w:t>人，预算资金</w:t>
            </w:r>
            <w:r>
              <w:rPr>
                <w:rFonts w:ascii="宋体" w:hAnsi="宋体" w:cs="宋体"/>
                <w:color w:val="000000"/>
                <w:kern w:val="0"/>
                <w:sz w:val="16"/>
                <w:szCs w:val="16"/>
              </w:rPr>
              <w:t>90.336</w:t>
            </w:r>
            <w:r>
              <w:rPr>
                <w:rFonts w:hint="eastAsia" w:ascii="宋体" w:hAnsi="宋体" w:cs="宋体"/>
                <w:color w:val="000000"/>
                <w:kern w:val="0"/>
                <w:sz w:val="16"/>
                <w:szCs w:val="16"/>
              </w:rPr>
              <w:t>万元，全部发放；</w:t>
            </w:r>
            <w:r>
              <w:rPr>
                <w:rFonts w:ascii="宋体" w:hAnsi="宋体" w:cs="宋体"/>
                <w:color w:val="000000"/>
                <w:kern w:val="0"/>
                <w:sz w:val="16"/>
                <w:szCs w:val="16"/>
              </w:rPr>
              <w:t>2</w:t>
            </w:r>
            <w:r>
              <w:rPr>
                <w:rFonts w:hint="eastAsia" w:ascii="宋体" w:hAnsi="宋体" w:cs="宋体"/>
                <w:color w:val="000000"/>
                <w:kern w:val="0"/>
                <w:sz w:val="16"/>
                <w:szCs w:val="16"/>
              </w:rPr>
              <w:t>、西部地区计划生育“少生快富”工程项目</w:t>
            </w:r>
            <w:r>
              <w:rPr>
                <w:rFonts w:ascii="宋体" w:cs="宋体"/>
                <w:color w:val="000000"/>
                <w:kern w:val="0"/>
                <w:sz w:val="16"/>
                <w:szCs w:val="16"/>
              </w:rPr>
              <w:t>,</w:t>
            </w:r>
            <w:r>
              <w:rPr>
                <w:rFonts w:hint="eastAsia" w:ascii="宋体" w:hAnsi="宋体" w:cs="宋体"/>
                <w:color w:val="000000"/>
                <w:kern w:val="0"/>
                <w:sz w:val="16"/>
                <w:szCs w:val="16"/>
              </w:rPr>
              <w:t>一次性奖励每户</w:t>
            </w:r>
            <w:r>
              <w:rPr>
                <w:rFonts w:ascii="宋体" w:hAnsi="宋体" w:cs="宋体"/>
                <w:color w:val="000000"/>
                <w:kern w:val="0"/>
                <w:sz w:val="16"/>
                <w:szCs w:val="16"/>
              </w:rPr>
              <w:t>3000</w:t>
            </w:r>
            <w:r>
              <w:rPr>
                <w:rFonts w:hint="eastAsia" w:ascii="宋体" w:hAnsi="宋体" w:cs="宋体"/>
                <w:color w:val="000000"/>
                <w:kern w:val="0"/>
                <w:sz w:val="16"/>
                <w:szCs w:val="16"/>
              </w:rPr>
              <w:t>元</w:t>
            </w:r>
            <w:r>
              <w:rPr>
                <w:rFonts w:ascii="宋体" w:cs="宋体"/>
                <w:color w:val="000000"/>
                <w:kern w:val="0"/>
                <w:sz w:val="16"/>
                <w:szCs w:val="16"/>
              </w:rPr>
              <w:t>,</w:t>
            </w:r>
            <w:r>
              <w:rPr>
                <w:rFonts w:hint="eastAsia" w:ascii="宋体" w:hAnsi="宋体" w:cs="宋体"/>
                <w:color w:val="000000"/>
                <w:kern w:val="0"/>
                <w:sz w:val="16"/>
                <w:szCs w:val="16"/>
              </w:rPr>
              <w:t>按国家</w:t>
            </w:r>
            <w:r>
              <w:rPr>
                <w:rFonts w:ascii="宋体" w:hAnsi="宋体" w:cs="宋体"/>
                <w:color w:val="000000"/>
                <w:kern w:val="0"/>
                <w:sz w:val="16"/>
                <w:szCs w:val="16"/>
              </w:rPr>
              <w:t>80%</w:t>
            </w:r>
            <w:r>
              <w:rPr>
                <w:rFonts w:hint="eastAsia" w:ascii="宋体" w:hAnsi="宋体" w:cs="宋体"/>
                <w:color w:val="000000"/>
                <w:kern w:val="0"/>
                <w:sz w:val="16"/>
                <w:szCs w:val="16"/>
              </w:rPr>
              <w:t>、区</w:t>
            </w:r>
            <w:r>
              <w:rPr>
                <w:rFonts w:ascii="宋体" w:hAnsi="宋体" w:cs="宋体"/>
                <w:color w:val="000000"/>
                <w:kern w:val="0"/>
                <w:sz w:val="16"/>
                <w:szCs w:val="16"/>
              </w:rPr>
              <w:t>14%</w:t>
            </w:r>
            <w:r>
              <w:rPr>
                <w:rFonts w:hint="eastAsia" w:ascii="宋体" w:hAnsi="宋体" w:cs="宋体"/>
                <w:color w:val="000000"/>
                <w:kern w:val="0"/>
                <w:sz w:val="16"/>
                <w:szCs w:val="16"/>
              </w:rPr>
              <w:t>、州</w:t>
            </w:r>
            <w:r>
              <w:rPr>
                <w:rFonts w:ascii="宋体" w:hAnsi="宋体" w:cs="宋体"/>
                <w:color w:val="000000"/>
                <w:kern w:val="0"/>
                <w:sz w:val="16"/>
                <w:szCs w:val="16"/>
              </w:rPr>
              <w:t>2%</w:t>
            </w:r>
            <w:r>
              <w:rPr>
                <w:rFonts w:hint="eastAsia" w:ascii="宋体" w:hAnsi="宋体" w:cs="宋体"/>
                <w:color w:val="000000"/>
                <w:kern w:val="0"/>
                <w:sz w:val="16"/>
                <w:szCs w:val="16"/>
              </w:rPr>
              <w:t>、县</w:t>
            </w:r>
            <w:r>
              <w:rPr>
                <w:rFonts w:ascii="宋体" w:hAnsi="宋体" w:cs="宋体"/>
                <w:color w:val="000000"/>
                <w:kern w:val="0"/>
                <w:sz w:val="16"/>
                <w:szCs w:val="16"/>
              </w:rPr>
              <w:t>4%</w:t>
            </w:r>
            <w:r>
              <w:rPr>
                <w:rFonts w:hint="eastAsia" w:ascii="宋体" w:hAnsi="宋体" w:cs="宋体"/>
                <w:color w:val="000000"/>
                <w:kern w:val="0"/>
                <w:sz w:val="16"/>
                <w:szCs w:val="16"/>
              </w:rPr>
              <w:t>配套</w:t>
            </w:r>
            <w:r>
              <w:rPr>
                <w:rFonts w:ascii="宋体" w:hAnsi="宋体" w:cs="宋体"/>
                <w:color w:val="000000"/>
                <w:kern w:val="0"/>
                <w:sz w:val="16"/>
                <w:szCs w:val="16"/>
              </w:rPr>
              <w:t>;2020</w:t>
            </w:r>
            <w:r>
              <w:rPr>
                <w:rFonts w:hint="eastAsia" w:ascii="宋体" w:hAnsi="宋体" w:cs="宋体"/>
                <w:color w:val="000000"/>
                <w:kern w:val="0"/>
                <w:sz w:val="16"/>
                <w:szCs w:val="16"/>
              </w:rPr>
              <w:t>年确认</w:t>
            </w:r>
            <w:r>
              <w:rPr>
                <w:rFonts w:ascii="宋体" w:hAnsi="宋体" w:cs="宋体"/>
                <w:color w:val="000000"/>
                <w:kern w:val="0"/>
                <w:sz w:val="16"/>
                <w:szCs w:val="16"/>
              </w:rPr>
              <w:t>38</w:t>
            </w:r>
            <w:r>
              <w:rPr>
                <w:rFonts w:hint="eastAsia" w:ascii="宋体" w:hAnsi="宋体" w:cs="宋体"/>
                <w:color w:val="000000"/>
                <w:kern w:val="0"/>
                <w:sz w:val="16"/>
                <w:szCs w:val="16"/>
              </w:rPr>
              <w:t>户，预算资金</w:t>
            </w:r>
            <w:r>
              <w:rPr>
                <w:rFonts w:ascii="宋体" w:hAnsi="宋体" w:cs="宋体"/>
                <w:color w:val="000000"/>
                <w:kern w:val="0"/>
                <w:sz w:val="16"/>
                <w:szCs w:val="16"/>
              </w:rPr>
              <w:t>11.4</w:t>
            </w:r>
            <w:r>
              <w:rPr>
                <w:rFonts w:hint="eastAsia" w:ascii="宋体" w:hAnsi="宋体" w:cs="宋体"/>
                <w:color w:val="000000"/>
                <w:kern w:val="0"/>
                <w:sz w:val="16"/>
                <w:szCs w:val="16"/>
              </w:rPr>
              <w:t>万元，全部发放；</w:t>
            </w:r>
            <w:r>
              <w:rPr>
                <w:rFonts w:ascii="宋体" w:hAnsi="宋体" w:cs="宋体"/>
                <w:color w:val="000000"/>
                <w:kern w:val="0"/>
                <w:sz w:val="16"/>
                <w:szCs w:val="16"/>
              </w:rPr>
              <w:t>3</w:t>
            </w:r>
            <w:r>
              <w:rPr>
                <w:rFonts w:hint="eastAsia" w:ascii="宋体" w:hAnsi="宋体" w:cs="宋体"/>
                <w:color w:val="000000"/>
                <w:kern w:val="0"/>
                <w:sz w:val="16"/>
                <w:szCs w:val="16"/>
              </w:rPr>
              <w:t>、计划生育家庭特别扶助</w:t>
            </w:r>
            <w:r>
              <w:rPr>
                <w:rFonts w:ascii="宋体" w:cs="宋体"/>
                <w:color w:val="000000"/>
                <w:kern w:val="0"/>
                <w:sz w:val="16"/>
                <w:szCs w:val="16"/>
              </w:rPr>
              <w:t>,</w:t>
            </w:r>
            <w:r>
              <w:rPr>
                <w:rFonts w:hint="eastAsia" w:ascii="宋体" w:hAnsi="宋体" w:cs="宋体"/>
                <w:color w:val="000000"/>
                <w:kern w:val="0"/>
                <w:sz w:val="16"/>
                <w:szCs w:val="16"/>
              </w:rPr>
              <w:t>独生子女伤残</w:t>
            </w:r>
            <w:r>
              <w:rPr>
                <w:rFonts w:ascii="宋体" w:hAnsi="宋体" w:cs="宋体"/>
                <w:color w:val="000000"/>
                <w:kern w:val="0"/>
                <w:sz w:val="16"/>
                <w:szCs w:val="16"/>
              </w:rPr>
              <w:t>350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月</w:t>
            </w:r>
            <w:r>
              <w:rPr>
                <w:rFonts w:ascii="宋体" w:hAnsi="宋体" w:cs="宋体"/>
                <w:color w:val="000000"/>
                <w:kern w:val="0"/>
                <w:sz w:val="16"/>
                <w:szCs w:val="16"/>
              </w:rPr>
              <w:t>/</w:t>
            </w:r>
            <w:r>
              <w:rPr>
                <w:rFonts w:hint="eastAsia" w:ascii="宋体" w:hAnsi="宋体" w:cs="宋体"/>
                <w:color w:val="000000"/>
                <w:kern w:val="0"/>
                <w:sz w:val="16"/>
                <w:szCs w:val="16"/>
              </w:rPr>
              <w:t>人、死亡</w:t>
            </w:r>
            <w:r>
              <w:rPr>
                <w:rFonts w:ascii="宋体" w:hAnsi="宋体" w:cs="宋体"/>
                <w:color w:val="000000"/>
                <w:kern w:val="0"/>
                <w:sz w:val="16"/>
                <w:szCs w:val="16"/>
              </w:rPr>
              <w:t>450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月</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cs="宋体"/>
                <w:color w:val="000000"/>
                <w:kern w:val="0"/>
                <w:sz w:val="16"/>
                <w:szCs w:val="16"/>
              </w:rPr>
              <w:t>,</w:t>
            </w:r>
            <w:r>
              <w:rPr>
                <w:rFonts w:hint="eastAsia" w:ascii="宋体" w:hAnsi="宋体" w:cs="宋体"/>
                <w:color w:val="000000"/>
                <w:kern w:val="0"/>
                <w:sz w:val="16"/>
                <w:szCs w:val="16"/>
              </w:rPr>
              <w:t>按国家</w:t>
            </w:r>
            <w:r>
              <w:rPr>
                <w:rFonts w:ascii="宋体" w:hAnsi="宋体" w:cs="宋体"/>
                <w:color w:val="000000"/>
                <w:kern w:val="0"/>
                <w:sz w:val="16"/>
                <w:szCs w:val="16"/>
              </w:rPr>
              <w:t>80%</w:t>
            </w:r>
            <w:r>
              <w:rPr>
                <w:rFonts w:hint="eastAsia" w:ascii="宋体" w:hAnsi="宋体" w:cs="宋体"/>
                <w:color w:val="000000"/>
                <w:kern w:val="0"/>
                <w:sz w:val="16"/>
                <w:szCs w:val="16"/>
              </w:rPr>
              <w:t>、区</w:t>
            </w:r>
            <w:r>
              <w:rPr>
                <w:rFonts w:ascii="宋体" w:hAnsi="宋体" w:cs="宋体"/>
                <w:color w:val="000000"/>
                <w:kern w:val="0"/>
                <w:sz w:val="16"/>
                <w:szCs w:val="16"/>
              </w:rPr>
              <w:t>14%</w:t>
            </w:r>
            <w:r>
              <w:rPr>
                <w:rFonts w:hint="eastAsia" w:ascii="宋体" w:hAnsi="宋体" w:cs="宋体"/>
                <w:color w:val="000000"/>
                <w:kern w:val="0"/>
                <w:sz w:val="16"/>
                <w:szCs w:val="16"/>
              </w:rPr>
              <w:t>、州</w:t>
            </w:r>
            <w:r>
              <w:rPr>
                <w:rFonts w:ascii="宋体" w:hAnsi="宋体" w:cs="宋体"/>
                <w:color w:val="000000"/>
                <w:kern w:val="0"/>
                <w:sz w:val="16"/>
                <w:szCs w:val="16"/>
              </w:rPr>
              <w:t>2%</w:t>
            </w:r>
            <w:r>
              <w:rPr>
                <w:rFonts w:hint="eastAsia" w:ascii="宋体" w:hAnsi="宋体" w:cs="宋体"/>
                <w:color w:val="000000"/>
                <w:kern w:val="0"/>
                <w:sz w:val="16"/>
                <w:szCs w:val="16"/>
              </w:rPr>
              <w:t>、县</w:t>
            </w:r>
            <w:r>
              <w:rPr>
                <w:rFonts w:ascii="宋体" w:hAnsi="宋体" w:cs="宋体"/>
                <w:color w:val="000000"/>
                <w:kern w:val="0"/>
                <w:sz w:val="16"/>
                <w:szCs w:val="16"/>
              </w:rPr>
              <w:t>4%</w:t>
            </w:r>
            <w:r>
              <w:rPr>
                <w:rFonts w:hint="eastAsia" w:ascii="宋体" w:hAnsi="宋体" w:cs="宋体"/>
                <w:color w:val="000000"/>
                <w:kern w:val="0"/>
                <w:sz w:val="16"/>
                <w:szCs w:val="16"/>
              </w:rPr>
              <w:t>配套</w:t>
            </w:r>
            <w:r>
              <w:rPr>
                <w:rFonts w:ascii="宋体" w:cs="宋体"/>
                <w:color w:val="000000"/>
                <w:kern w:val="0"/>
                <w:sz w:val="16"/>
                <w:szCs w:val="16"/>
              </w:rPr>
              <w:t>,</w:t>
            </w:r>
            <w:r>
              <w:rPr>
                <w:rFonts w:hint="eastAsia" w:ascii="宋体" w:hAnsi="宋体" w:cs="宋体"/>
                <w:color w:val="000000"/>
                <w:kern w:val="0"/>
                <w:sz w:val="16"/>
                <w:szCs w:val="16"/>
              </w:rPr>
              <w:t>昌吉州提标</w:t>
            </w:r>
            <w:r>
              <w:rPr>
                <w:rFonts w:ascii="宋体" w:hAnsi="宋体" w:cs="宋体"/>
                <w:color w:val="000000"/>
                <w:kern w:val="0"/>
                <w:sz w:val="16"/>
                <w:szCs w:val="16"/>
              </w:rPr>
              <w:t>100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月</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cs="宋体"/>
                <w:color w:val="000000"/>
                <w:kern w:val="0"/>
                <w:sz w:val="16"/>
                <w:szCs w:val="16"/>
              </w:rPr>
              <w:t>,</w:t>
            </w:r>
            <w:r>
              <w:rPr>
                <w:rFonts w:hint="eastAsia" w:ascii="宋体" w:hAnsi="宋体" w:cs="宋体"/>
                <w:color w:val="000000"/>
                <w:kern w:val="0"/>
                <w:sz w:val="16"/>
                <w:szCs w:val="16"/>
              </w:rPr>
              <w:t>按州</w:t>
            </w:r>
            <w:r>
              <w:rPr>
                <w:rFonts w:ascii="宋体" w:hAnsi="宋体" w:cs="宋体"/>
                <w:color w:val="000000"/>
                <w:kern w:val="0"/>
                <w:sz w:val="16"/>
                <w:szCs w:val="16"/>
              </w:rPr>
              <w:t>40%</w:t>
            </w:r>
            <w:r>
              <w:rPr>
                <w:rFonts w:hint="eastAsia" w:ascii="宋体" w:hAnsi="宋体" w:cs="宋体"/>
                <w:color w:val="000000"/>
                <w:kern w:val="0"/>
                <w:sz w:val="16"/>
                <w:szCs w:val="16"/>
              </w:rPr>
              <w:t>、县</w:t>
            </w:r>
            <w:r>
              <w:rPr>
                <w:rFonts w:ascii="宋体" w:hAnsi="宋体" w:cs="宋体"/>
                <w:color w:val="000000"/>
                <w:kern w:val="0"/>
                <w:sz w:val="16"/>
                <w:szCs w:val="16"/>
              </w:rPr>
              <w:t>60%</w:t>
            </w:r>
            <w:r>
              <w:rPr>
                <w:rFonts w:hint="eastAsia" w:ascii="宋体" w:hAnsi="宋体" w:cs="宋体"/>
                <w:color w:val="000000"/>
                <w:kern w:val="0"/>
                <w:sz w:val="16"/>
                <w:szCs w:val="16"/>
              </w:rPr>
              <w:t>配套</w:t>
            </w:r>
            <w:r>
              <w:rPr>
                <w:rFonts w:ascii="宋体" w:hAnsi="宋体" w:cs="宋体"/>
                <w:color w:val="000000"/>
                <w:kern w:val="0"/>
                <w:sz w:val="16"/>
                <w:szCs w:val="16"/>
              </w:rPr>
              <w:t>;2020</w:t>
            </w:r>
            <w:r>
              <w:rPr>
                <w:rFonts w:hint="eastAsia" w:ascii="宋体" w:hAnsi="宋体" w:cs="宋体"/>
                <w:color w:val="000000"/>
                <w:kern w:val="0"/>
                <w:sz w:val="16"/>
                <w:szCs w:val="16"/>
              </w:rPr>
              <w:t>年确认</w:t>
            </w:r>
            <w:r>
              <w:rPr>
                <w:rFonts w:ascii="宋体" w:hAnsi="宋体" w:cs="宋体"/>
                <w:color w:val="000000"/>
                <w:kern w:val="0"/>
                <w:sz w:val="16"/>
                <w:szCs w:val="16"/>
              </w:rPr>
              <w:t>92</w:t>
            </w:r>
            <w:r>
              <w:rPr>
                <w:rFonts w:hint="eastAsia" w:ascii="宋体" w:hAnsi="宋体" w:cs="宋体"/>
                <w:color w:val="000000"/>
                <w:kern w:val="0"/>
                <w:sz w:val="16"/>
                <w:szCs w:val="16"/>
              </w:rPr>
              <w:t>人，预算资金</w:t>
            </w:r>
            <w:r>
              <w:rPr>
                <w:rFonts w:ascii="宋体" w:hAnsi="宋体" w:cs="宋体"/>
                <w:color w:val="000000"/>
                <w:kern w:val="0"/>
                <w:sz w:val="16"/>
                <w:szCs w:val="16"/>
              </w:rPr>
              <w:t>56.64</w:t>
            </w:r>
            <w:r>
              <w:rPr>
                <w:rFonts w:hint="eastAsia" w:ascii="宋体" w:hAnsi="宋体" w:cs="宋体"/>
                <w:color w:val="000000"/>
                <w:kern w:val="0"/>
                <w:sz w:val="16"/>
                <w:szCs w:val="16"/>
              </w:rPr>
              <w:t>万元。全部发放完毕。</w:t>
            </w:r>
          </w:p>
        </w:tc>
      </w:tr>
      <w:tr>
        <w:tblPrEx>
          <w:tblLayout w:type="fixed"/>
          <w:tblCellMar>
            <w:top w:w="0" w:type="dxa"/>
            <w:left w:w="108" w:type="dxa"/>
            <w:bottom w:w="0" w:type="dxa"/>
            <w:right w:w="108" w:type="dxa"/>
          </w:tblCellMar>
        </w:tblPrEx>
        <w:trPr>
          <w:trHeight w:val="95" w:hRule="atLeast"/>
        </w:trPr>
        <w:tc>
          <w:tcPr>
            <w:tcW w:w="391"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1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129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1456"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7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27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24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776" w:type="dxa"/>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272"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241"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129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145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扶助独生子女伤残家庭人数</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34</w:t>
            </w:r>
            <w:r>
              <w:rPr>
                <w:rFonts w:hint="eastAsia" w:ascii="宋体" w:hAnsi="宋体" w:cs="宋体"/>
                <w:color w:val="000000"/>
                <w:kern w:val="0"/>
                <w:sz w:val="16"/>
                <w:szCs w:val="16"/>
              </w:rPr>
              <w:t>人</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34</w:t>
            </w:r>
            <w:r>
              <w:rPr>
                <w:rFonts w:hint="eastAsia" w:ascii="宋体" w:hAnsi="宋体" w:cs="宋体"/>
                <w:color w:val="000000"/>
                <w:kern w:val="0"/>
                <w:sz w:val="16"/>
                <w:szCs w:val="16"/>
              </w:rPr>
              <w:t>人</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扶助独生子女死亡家庭人数</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58</w:t>
            </w:r>
            <w:r>
              <w:rPr>
                <w:rFonts w:hint="eastAsia" w:ascii="宋体" w:hAnsi="宋体" w:cs="宋体"/>
                <w:color w:val="000000"/>
                <w:kern w:val="0"/>
                <w:sz w:val="16"/>
                <w:szCs w:val="16"/>
              </w:rPr>
              <w:t>人</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58</w:t>
            </w:r>
            <w:r>
              <w:rPr>
                <w:rFonts w:hint="eastAsia" w:ascii="宋体" w:hAnsi="宋体" w:cs="宋体"/>
                <w:color w:val="000000"/>
                <w:kern w:val="0"/>
                <w:sz w:val="16"/>
                <w:szCs w:val="16"/>
              </w:rPr>
              <w:t>人</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扶助计生手术并发症一级二级三级</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22</w:t>
            </w:r>
            <w:r>
              <w:rPr>
                <w:rFonts w:hint="eastAsia" w:ascii="宋体" w:hAnsi="宋体" w:cs="宋体"/>
                <w:color w:val="000000"/>
                <w:kern w:val="0"/>
                <w:sz w:val="16"/>
                <w:szCs w:val="16"/>
              </w:rPr>
              <w:t>人</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w:t>
            </w:r>
            <w:r>
              <w:rPr>
                <w:rFonts w:hint="eastAsia" w:ascii="宋体" w:hAnsi="宋体" w:cs="宋体"/>
                <w:color w:val="000000"/>
                <w:kern w:val="0"/>
                <w:sz w:val="16"/>
                <w:szCs w:val="16"/>
              </w:rPr>
              <w:t>人</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460"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9"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农村部分计划生育家庭奖励扶助人数</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941</w:t>
            </w:r>
            <w:r>
              <w:rPr>
                <w:rFonts w:hint="eastAsia" w:ascii="宋体" w:hAnsi="宋体" w:cs="宋体"/>
                <w:color w:val="000000"/>
                <w:kern w:val="0"/>
                <w:sz w:val="16"/>
                <w:szCs w:val="16"/>
              </w:rPr>
              <w:t>人</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941</w:t>
            </w:r>
            <w:r>
              <w:rPr>
                <w:rFonts w:hint="eastAsia" w:ascii="宋体" w:hAnsi="宋体" w:cs="宋体"/>
                <w:color w:val="000000"/>
                <w:kern w:val="0"/>
                <w:sz w:val="16"/>
                <w:szCs w:val="16"/>
              </w:rPr>
              <w:t>人</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460"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8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国家少生快富工程奖励家庭</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38</w:t>
            </w:r>
            <w:r>
              <w:rPr>
                <w:rFonts w:hint="eastAsia" w:ascii="宋体" w:hAnsi="宋体" w:cs="宋体"/>
                <w:color w:val="000000"/>
                <w:kern w:val="0"/>
                <w:sz w:val="16"/>
                <w:szCs w:val="16"/>
              </w:rPr>
              <w:t>户</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38</w:t>
            </w:r>
            <w:r>
              <w:rPr>
                <w:rFonts w:hint="eastAsia" w:ascii="宋体" w:hAnsi="宋体" w:cs="宋体"/>
                <w:color w:val="000000"/>
                <w:kern w:val="0"/>
                <w:sz w:val="16"/>
                <w:szCs w:val="16"/>
              </w:rPr>
              <w:t>户</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145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符合条件申报对象覆盖率</w:t>
            </w:r>
          </w:p>
        </w:tc>
        <w:tc>
          <w:tcPr>
            <w:tcW w:w="1749" w:type="dxa"/>
            <w:gridSpan w:val="2"/>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95"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1456" w:type="dxa"/>
            <w:gridSpan w:val="2"/>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奖励和扶助资金到位率</w:t>
            </w:r>
          </w:p>
        </w:tc>
        <w:tc>
          <w:tcPr>
            <w:tcW w:w="1749" w:type="dxa"/>
            <w:gridSpan w:val="2"/>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独生子女伤残家庭扶助标准</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=4200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hAnsi="宋体" w:cs="宋体"/>
                <w:color w:val="000000"/>
                <w:kern w:val="0"/>
                <w:sz w:val="16"/>
                <w:szCs w:val="16"/>
              </w:rPr>
              <w:t>/</w:t>
            </w:r>
            <w:r>
              <w:rPr>
                <w:rFonts w:hint="eastAsia" w:ascii="宋体" w:hAnsi="宋体" w:cs="宋体"/>
                <w:color w:val="000000"/>
                <w:kern w:val="0"/>
                <w:sz w:val="16"/>
                <w:szCs w:val="16"/>
              </w:rPr>
              <w:t>年</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4200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hAnsi="宋体" w:cs="宋体"/>
                <w:color w:val="000000"/>
                <w:kern w:val="0"/>
                <w:sz w:val="16"/>
                <w:szCs w:val="16"/>
              </w:rPr>
              <w:t>/</w:t>
            </w:r>
            <w:r>
              <w:rPr>
                <w:rFonts w:hint="eastAsia" w:ascii="宋体" w:hAnsi="宋体" w:cs="宋体"/>
                <w:color w:val="000000"/>
                <w:kern w:val="0"/>
                <w:sz w:val="16"/>
                <w:szCs w:val="16"/>
              </w:rPr>
              <w:t>年</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独生子女死亡家庭扶助标准</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=5400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hAnsi="宋体" w:cs="宋体"/>
                <w:color w:val="000000"/>
                <w:kern w:val="0"/>
                <w:sz w:val="16"/>
                <w:szCs w:val="16"/>
              </w:rPr>
              <w:t>/</w:t>
            </w:r>
            <w:r>
              <w:rPr>
                <w:rFonts w:hint="eastAsia" w:ascii="宋体" w:hAnsi="宋体" w:cs="宋体"/>
                <w:color w:val="000000"/>
                <w:kern w:val="0"/>
                <w:sz w:val="16"/>
                <w:szCs w:val="16"/>
              </w:rPr>
              <w:t>年</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5400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hAnsi="宋体" w:cs="宋体"/>
                <w:color w:val="000000"/>
                <w:kern w:val="0"/>
                <w:sz w:val="16"/>
                <w:szCs w:val="16"/>
              </w:rPr>
              <w:t>/</w:t>
            </w:r>
            <w:r>
              <w:rPr>
                <w:rFonts w:hint="eastAsia" w:ascii="宋体" w:hAnsi="宋体" w:cs="宋体"/>
                <w:color w:val="000000"/>
                <w:kern w:val="0"/>
                <w:sz w:val="16"/>
                <w:szCs w:val="16"/>
              </w:rPr>
              <w:t>年</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国家少生快富工程发放标准</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户</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户</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1298"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1456" w:type="dxa"/>
            <w:gridSpan w:val="2"/>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　</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restart"/>
            <w:tcBorders>
              <w:top w:val="single" w:color="auto" w:sz="4" w:space="0"/>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家庭发展能力</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逐步提升</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逐步提升</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vMerge w:val="continue"/>
            <w:tcBorders>
              <w:top w:val="single" w:color="auto" w:sz="4" w:space="0"/>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社会稳定水平</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74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3"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298"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稳定低生育水平</w:t>
            </w:r>
          </w:p>
        </w:tc>
        <w:tc>
          <w:tcPr>
            <w:tcW w:w="1749" w:type="dxa"/>
            <w:gridSpan w:val="2"/>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逐年下降</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逐年下降</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90" w:hRule="atLeast"/>
        </w:trPr>
        <w:tc>
          <w:tcPr>
            <w:tcW w:w="391"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2"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12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1456" w:type="dxa"/>
            <w:gridSpan w:val="2"/>
            <w:tcBorders>
              <w:top w:val="single" w:color="000000" w:sz="4" w:space="0"/>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w:t>
            </w:r>
          </w:p>
        </w:tc>
        <w:tc>
          <w:tcPr>
            <w:tcW w:w="1749" w:type="dxa"/>
            <w:gridSpan w:val="2"/>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38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72" w:hRule="atLeast"/>
        </w:trPr>
        <w:tc>
          <w:tcPr>
            <w:tcW w:w="6791"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776"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24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8856" w:type="dxa"/>
        <w:tblInd w:w="0" w:type="dxa"/>
        <w:tblLayout w:type="fixed"/>
        <w:tblCellMar>
          <w:top w:w="0" w:type="dxa"/>
          <w:left w:w="108" w:type="dxa"/>
          <w:bottom w:w="0" w:type="dxa"/>
          <w:right w:w="108" w:type="dxa"/>
        </w:tblCellMar>
      </w:tblPr>
      <w:tblGrid>
        <w:gridCol w:w="626"/>
        <w:gridCol w:w="514"/>
        <w:gridCol w:w="893"/>
        <w:gridCol w:w="891"/>
        <w:gridCol w:w="992"/>
        <w:gridCol w:w="314"/>
        <w:gridCol w:w="778"/>
        <w:gridCol w:w="825"/>
        <w:gridCol w:w="315"/>
        <w:gridCol w:w="478"/>
        <w:gridCol w:w="579"/>
        <w:gridCol w:w="182"/>
        <w:gridCol w:w="778"/>
        <w:gridCol w:w="691"/>
      </w:tblGrid>
      <w:tr>
        <w:tblPrEx>
          <w:tblLayout w:type="fixed"/>
          <w:tblCellMar>
            <w:top w:w="0" w:type="dxa"/>
            <w:left w:w="108" w:type="dxa"/>
            <w:bottom w:w="0" w:type="dxa"/>
            <w:right w:w="108" w:type="dxa"/>
          </w:tblCellMar>
        </w:tblPrEx>
        <w:trPr>
          <w:trHeight w:val="405" w:hRule="atLeast"/>
        </w:trPr>
        <w:tc>
          <w:tcPr>
            <w:tcW w:w="8856"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405" w:hRule="atLeast"/>
        </w:trPr>
        <w:tc>
          <w:tcPr>
            <w:tcW w:w="8856"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319" w:hRule="atLeast"/>
        </w:trPr>
        <w:tc>
          <w:tcPr>
            <w:tcW w:w="11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7716"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玛纳斯县医疗卫生建设项目</w:t>
            </w:r>
          </w:p>
        </w:tc>
      </w:tr>
      <w:tr>
        <w:tblPrEx>
          <w:tblLayout w:type="fixed"/>
          <w:tblCellMar>
            <w:top w:w="0" w:type="dxa"/>
            <w:left w:w="108" w:type="dxa"/>
            <w:bottom w:w="0" w:type="dxa"/>
            <w:right w:w="108" w:type="dxa"/>
          </w:tblCellMar>
        </w:tblPrEx>
        <w:trPr>
          <w:trHeight w:val="319" w:hRule="atLeast"/>
        </w:trPr>
        <w:tc>
          <w:tcPr>
            <w:tcW w:w="11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386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270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玛纳斯县人民医院</w:t>
            </w:r>
          </w:p>
        </w:tc>
      </w:tr>
      <w:tr>
        <w:tblPrEx>
          <w:tblLayout w:type="fixed"/>
          <w:tblCellMar>
            <w:top w:w="0" w:type="dxa"/>
            <w:left w:w="108" w:type="dxa"/>
            <w:bottom w:w="0" w:type="dxa"/>
            <w:right w:w="108" w:type="dxa"/>
          </w:tblCellMar>
        </w:tblPrEx>
        <w:trPr>
          <w:trHeight w:val="319" w:hRule="atLeast"/>
        </w:trPr>
        <w:tc>
          <w:tcPr>
            <w:tcW w:w="1140"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78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9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0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05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9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69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319" w:hRule="atLeast"/>
        </w:trPr>
        <w:tc>
          <w:tcPr>
            <w:tcW w:w="114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84"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99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0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05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9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69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319" w:hRule="atLeast"/>
        </w:trPr>
        <w:tc>
          <w:tcPr>
            <w:tcW w:w="114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8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99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0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9000</w:t>
            </w:r>
          </w:p>
        </w:tc>
        <w:tc>
          <w:tcPr>
            <w:tcW w:w="105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69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319" w:hRule="atLeast"/>
        </w:trPr>
        <w:tc>
          <w:tcPr>
            <w:tcW w:w="114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8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99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9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319" w:hRule="atLeast"/>
        </w:trPr>
        <w:tc>
          <w:tcPr>
            <w:tcW w:w="114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784"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99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9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4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5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69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319" w:hRule="atLeast"/>
        </w:trPr>
        <w:tc>
          <w:tcPr>
            <w:tcW w:w="626"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382"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3848"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880" w:hRule="atLeast"/>
        </w:trPr>
        <w:tc>
          <w:tcPr>
            <w:tcW w:w="62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382"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完成急内科楼辅助配套设施及内部装修招标及支付，医疗设备购置招标及支付</w:t>
            </w:r>
          </w:p>
        </w:tc>
        <w:tc>
          <w:tcPr>
            <w:tcW w:w="3848" w:type="dxa"/>
            <w:gridSpan w:val="7"/>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完成设备采购数量</w:t>
            </w:r>
            <w:r>
              <w:rPr>
                <w:rFonts w:ascii="宋体" w:hAnsi="宋体" w:cs="宋体"/>
                <w:color w:val="000000"/>
                <w:kern w:val="0"/>
                <w:sz w:val="16"/>
                <w:szCs w:val="16"/>
              </w:rPr>
              <w:t>19</w:t>
            </w:r>
            <w:r>
              <w:rPr>
                <w:rFonts w:hint="eastAsia" w:ascii="宋体" w:hAnsi="宋体" w:cs="宋体"/>
                <w:color w:val="000000"/>
                <w:kern w:val="0"/>
                <w:sz w:val="16"/>
                <w:szCs w:val="16"/>
              </w:rPr>
              <w:t>台，已全部验收，正常使用，提高诊疗水平。</w:t>
            </w:r>
            <w:r>
              <w:rPr>
                <w:rFonts w:ascii="宋体" w:cs="宋体"/>
                <w:color w:val="000000"/>
                <w:kern w:val="0"/>
                <w:sz w:val="16"/>
                <w:szCs w:val="16"/>
              </w:rPr>
              <w:br w:type="textWrapping"/>
            </w:r>
            <w:r>
              <w:rPr>
                <w:rFonts w:hint="eastAsia" w:ascii="宋体" w:hAnsi="宋体" w:cs="宋体"/>
                <w:color w:val="000000"/>
                <w:kern w:val="0"/>
                <w:sz w:val="16"/>
                <w:szCs w:val="16"/>
              </w:rPr>
              <w:t>完成急内科楼辅助配套设施及内部装修</w:t>
            </w:r>
            <w:r>
              <w:rPr>
                <w:rFonts w:ascii="宋体" w:cs="宋体"/>
                <w:color w:val="000000"/>
                <w:kern w:val="0"/>
                <w:sz w:val="16"/>
                <w:szCs w:val="16"/>
              </w:rPr>
              <w:t>,</w:t>
            </w:r>
            <w:r>
              <w:rPr>
                <w:rFonts w:hint="eastAsia" w:ascii="宋体" w:hAnsi="宋体" w:cs="宋体"/>
                <w:color w:val="000000"/>
                <w:kern w:val="0"/>
                <w:sz w:val="16"/>
                <w:szCs w:val="16"/>
              </w:rPr>
              <w:t>改善就医环境。</w:t>
            </w:r>
          </w:p>
        </w:tc>
      </w:tr>
      <w:tr>
        <w:tblPrEx>
          <w:tblLayout w:type="fixed"/>
          <w:tblCellMar>
            <w:top w:w="0" w:type="dxa"/>
            <w:left w:w="108" w:type="dxa"/>
            <w:bottom w:w="0" w:type="dxa"/>
            <w:right w:w="108" w:type="dxa"/>
          </w:tblCellMar>
        </w:tblPrEx>
        <w:trPr>
          <w:trHeight w:val="319" w:hRule="atLeast"/>
        </w:trPr>
        <w:tc>
          <w:tcPr>
            <w:tcW w:w="626"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14"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89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197"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77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8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79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76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46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31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197"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77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8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793"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761"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469"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89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 xml:space="preserve">1 </w:t>
            </w:r>
            <w:r>
              <w:rPr>
                <w:rFonts w:hint="eastAsia" w:ascii="宋体" w:hAnsi="宋体" w:cs="宋体"/>
                <w:color w:val="000000"/>
                <w:kern w:val="0"/>
                <w:sz w:val="16"/>
                <w:szCs w:val="16"/>
              </w:rPr>
              <w:t>采购设备数量</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=19</w:t>
            </w:r>
            <w:r>
              <w:rPr>
                <w:rFonts w:hint="eastAsia" w:ascii="宋体" w:hAnsi="宋体" w:cs="宋体"/>
                <w:color w:val="000000"/>
                <w:kern w:val="0"/>
                <w:sz w:val="16"/>
                <w:szCs w:val="16"/>
              </w:rPr>
              <w:t>台</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19</w:t>
            </w:r>
            <w:r>
              <w:rPr>
                <w:rFonts w:hint="eastAsia" w:ascii="宋体" w:hAnsi="宋体" w:cs="宋体"/>
                <w:color w:val="000000"/>
                <w:kern w:val="0"/>
                <w:sz w:val="16"/>
                <w:szCs w:val="16"/>
              </w:rPr>
              <w:t>台</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：采购设备验收合格率</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：设备使用率</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：采购完成及时性</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及时</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及时</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：资金拨付时间</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w:t>
            </w:r>
            <w:r>
              <w:rPr>
                <w:rFonts w:hint="eastAsia" w:ascii="宋体" w:hAnsi="宋体" w:cs="宋体"/>
                <w:color w:val="000000"/>
                <w:kern w:val="0"/>
                <w:sz w:val="16"/>
                <w:szCs w:val="16"/>
              </w:rPr>
              <w:t>个工作日</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w:t>
            </w:r>
            <w:r>
              <w:rPr>
                <w:rFonts w:hint="eastAsia" w:ascii="宋体" w:hAnsi="宋体" w:cs="宋体"/>
                <w:color w:val="000000"/>
                <w:kern w:val="0"/>
                <w:sz w:val="16"/>
                <w:szCs w:val="16"/>
              </w:rPr>
              <w:t>个工作日</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：设备采购成本</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=2000</w:t>
            </w:r>
            <w:r>
              <w:rPr>
                <w:rFonts w:hint="eastAsia" w:ascii="宋体" w:hAnsi="宋体" w:cs="宋体"/>
                <w:color w:val="000000"/>
                <w:kern w:val="0"/>
                <w:sz w:val="16"/>
                <w:szCs w:val="16"/>
              </w:rPr>
              <w:t>万</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2000</w:t>
            </w:r>
            <w:r>
              <w:rPr>
                <w:rFonts w:hint="eastAsia" w:ascii="宋体" w:hAnsi="宋体" w:cs="宋体"/>
                <w:color w:val="000000"/>
                <w:kern w:val="0"/>
                <w:sz w:val="16"/>
                <w:szCs w:val="16"/>
              </w:rPr>
              <w:t>万</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93"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：内科大楼辅助配套设施及内部装修</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1000</w:t>
            </w:r>
            <w:r>
              <w:rPr>
                <w:rFonts w:hint="eastAsia" w:ascii="宋体" w:hAnsi="宋体" w:cs="宋体"/>
                <w:color w:val="000000"/>
                <w:kern w:val="0"/>
                <w:sz w:val="16"/>
                <w:szCs w:val="16"/>
              </w:rPr>
              <w:t>万</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7000</w:t>
            </w:r>
            <w:r>
              <w:rPr>
                <w:rFonts w:hint="eastAsia" w:ascii="宋体" w:hAnsi="宋体" w:cs="宋体"/>
                <w:color w:val="000000"/>
                <w:kern w:val="0"/>
                <w:sz w:val="16"/>
                <w:szCs w:val="16"/>
              </w:rPr>
              <w:t>万</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93"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：医生满意度</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2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14"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8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197"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：患者满意度</w:t>
            </w:r>
          </w:p>
        </w:tc>
        <w:tc>
          <w:tcPr>
            <w:tcW w:w="77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82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19" w:hRule="atLeast"/>
        </w:trPr>
        <w:tc>
          <w:tcPr>
            <w:tcW w:w="5833"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79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6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4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pPr>
        <w:spacing w:line="600" w:lineRule="exact"/>
        <w:ind w:firstLine="640"/>
      </w:pPr>
      <w:r>
        <w:br w:type="page"/>
      </w:r>
    </w:p>
    <w:tbl>
      <w:tblPr>
        <w:tblStyle w:val="4"/>
        <w:tblW w:w="9384" w:type="dxa"/>
        <w:tblInd w:w="0" w:type="dxa"/>
        <w:tblLayout w:type="fixed"/>
        <w:tblCellMar>
          <w:top w:w="0" w:type="dxa"/>
          <w:left w:w="108" w:type="dxa"/>
          <w:bottom w:w="0" w:type="dxa"/>
          <w:right w:w="108" w:type="dxa"/>
        </w:tblCellMar>
      </w:tblPr>
      <w:tblGrid>
        <w:gridCol w:w="649"/>
        <w:gridCol w:w="527"/>
        <w:gridCol w:w="925"/>
        <w:gridCol w:w="927"/>
        <w:gridCol w:w="1028"/>
        <w:gridCol w:w="319"/>
        <w:gridCol w:w="931"/>
        <w:gridCol w:w="858"/>
        <w:gridCol w:w="321"/>
        <w:gridCol w:w="492"/>
        <w:gridCol w:w="597"/>
        <w:gridCol w:w="278"/>
        <w:gridCol w:w="792"/>
        <w:gridCol w:w="740"/>
      </w:tblGrid>
      <w:tr>
        <w:tblPrEx>
          <w:tblLayout w:type="fixed"/>
          <w:tblCellMar>
            <w:top w:w="0" w:type="dxa"/>
            <w:left w:w="108" w:type="dxa"/>
            <w:bottom w:w="0" w:type="dxa"/>
            <w:right w:w="108" w:type="dxa"/>
          </w:tblCellMar>
        </w:tblPrEx>
        <w:trPr>
          <w:trHeight w:val="347" w:hRule="atLeast"/>
        </w:trPr>
        <w:tc>
          <w:tcPr>
            <w:tcW w:w="9384"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347" w:hRule="atLeast"/>
        </w:trPr>
        <w:tc>
          <w:tcPr>
            <w:tcW w:w="9384"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273" w:hRule="atLeast"/>
        </w:trPr>
        <w:tc>
          <w:tcPr>
            <w:tcW w:w="11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208"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全民体检</w:t>
            </w:r>
          </w:p>
        </w:tc>
      </w:tr>
      <w:tr>
        <w:tblPrEx>
          <w:tblLayout w:type="fixed"/>
          <w:tblCellMar>
            <w:top w:w="0" w:type="dxa"/>
            <w:left w:w="108" w:type="dxa"/>
            <w:bottom w:w="0" w:type="dxa"/>
            <w:right w:w="108" w:type="dxa"/>
          </w:tblCellMar>
        </w:tblPrEx>
        <w:trPr>
          <w:trHeight w:val="273" w:hRule="atLeast"/>
        </w:trPr>
        <w:tc>
          <w:tcPr>
            <w:tcW w:w="11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130"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17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2899"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县医院、中医院及</w:t>
            </w:r>
            <w:r>
              <w:rPr>
                <w:rFonts w:ascii="宋体" w:hAnsi="宋体" w:cs="宋体"/>
                <w:color w:val="000000"/>
                <w:kern w:val="0"/>
                <w:sz w:val="16"/>
                <w:szCs w:val="16"/>
              </w:rPr>
              <w:t>11</w:t>
            </w:r>
            <w:r>
              <w:rPr>
                <w:rFonts w:hint="eastAsia" w:ascii="宋体" w:hAnsi="宋体" w:cs="宋体"/>
                <w:color w:val="000000"/>
                <w:kern w:val="0"/>
                <w:sz w:val="16"/>
                <w:szCs w:val="16"/>
              </w:rPr>
              <w:t>家卫生院</w:t>
            </w:r>
          </w:p>
        </w:tc>
      </w:tr>
      <w:tr>
        <w:tblPrEx>
          <w:tblLayout w:type="fixed"/>
          <w:tblCellMar>
            <w:top w:w="0" w:type="dxa"/>
            <w:left w:w="108" w:type="dxa"/>
            <w:bottom w:w="0" w:type="dxa"/>
            <w:right w:w="108" w:type="dxa"/>
          </w:tblCellMar>
        </w:tblPrEx>
        <w:trPr>
          <w:trHeight w:val="273" w:hRule="atLeast"/>
        </w:trPr>
        <w:tc>
          <w:tcPr>
            <w:tcW w:w="1176"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85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2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25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17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7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73" w:hRule="atLeast"/>
        </w:trPr>
        <w:tc>
          <w:tcPr>
            <w:tcW w:w="117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52"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02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25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179"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273" w:hRule="atLeast"/>
        </w:trPr>
        <w:tc>
          <w:tcPr>
            <w:tcW w:w="117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5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02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25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179"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12.06</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117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5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02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5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7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117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85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02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5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7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40"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64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657"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078"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304" w:hRule="atLeast"/>
        </w:trPr>
        <w:tc>
          <w:tcPr>
            <w:tcW w:w="64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657"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完成全县新疆户籍城乡居民的全民健康体检，建立完备、适用的城乡居民健康档案，全面掌握我县城乡居民健康状况，分析影响城乡居民健康的主要因素，制定科学准确的疾病谱，</w:t>
            </w:r>
            <w:r>
              <w:rPr>
                <w:rFonts w:ascii="宋体" w:hAnsi="宋体" w:cs="宋体"/>
                <w:color w:val="000000"/>
                <w:kern w:val="0"/>
                <w:sz w:val="16"/>
                <w:szCs w:val="16"/>
              </w:rPr>
              <w:t>2020</w:t>
            </w:r>
            <w:r>
              <w:rPr>
                <w:rFonts w:hint="eastAsia" w:ascii="宋体" w:hAnsi="宋体" w:cs="宋体"/>
                <w:color w:val="000000"/>
                <w:kern w:val="0"/>
                <w:sz w:val="16"/>
                <w:szCs w:val="16"/>
              </w:rPr>
              <w:t>年全民体检任务书</w:t>
            </w:r>
            <w:r>
              <w:rPr>
                <w:rFonts w:ascii="宋体" w:hAnsi="宋体" w:cs="宋体"/>
                <w:color w:val="000000"/>
                <w:kern w:val="0"/>
                <w:sz w:val="16"/>
                <w:szCs w:val="16"/>
              </w:rPr>
              <w:t>77396</w:t>
            </w:r>
            <w:r>
              <w:rPr>
                <w:rFonts w:hint="eastAsia" w:ascii="宋体" w:hAnsi="宋体" w:cs="宋体"/>
                <w:color w:val="000000"/>
                <w:kern w:val="0"/>
                <w:sz w:val="16"/>
                <w:szCs w:val="16"/>
              </w:rPr>
              <w:t>人。</w:t>
            </w:r>
          </w:p>
        </w:tc>
        <w:tc>
          <w:tcPr>
            <w:tcW w:w="4078"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于</w:t>
            </w:r>
            <w:r>
              <w:rPr>
                <w:rFonts w:ascii="宋体" w:hAnsi="宋体" w:cs="宋体"/>
                <w:color w:val="000000"/>
                <w:kern w:val="0"/>
                <w:sz w:val="16"/>
                <w:szCs w:val="16"/>
              </w:rPr>
              <w:t>11</w:t>
            </w:r>
            <w:r>
              <w:rPr>
                <w:rFonts w:hint="eastAsia" w:ascii="宋体" w:hAnsi="宋体" w:cs="宋体"/>
                <w:color w:val="000000"/>
                <w:kern w:val="0"/>
                <w:sz w:val="16"/>
                <w:szCs w:val="16"/>
              </w:rPr>
              <w:t>月</w:t>
            </w:r>
            <w:r>
              <w:rPr>
                <w:rFonts w:ascii="宋体" w:hAnsi="宋体" w:cs="宋体"/>
                <w:color w:val="000000"/>
                <w:kern w:val="0"/>
                <w:sz w:val="16"/>
                <w:szCs w:val="16"/>
              </w:rPr>
              <w:t>26</w:t>
            </w:r>
            <w:r>
              <w:rPr>
                <w:rFonts w:hint="eastAsia" w:ascii="宋体" w:hAnsi="宋体" w:cs="宋体"/>
                <w:color w:val="000000"/>
                <w:kern w:val="0"/>
                <w:sz w:val="16"/>
                <w:szCs w:val="16"/>
              </w:rPr>
              <w:t>日全面完成辖区</w:t>
            </w:r>
            <w:r>
              <w:rPr>
                <w:rFonts w:ascii="宋体" w:hAnsi="宋体" w:cs="宋体"/>
                <w:color w:val="000000"/>
                <w:kern w:val="0"/>
                <w:sz w:val="16"/>
                <w:szCs w:val="16"/>
              </w:rPr>
              <w:t>78160</w:t>
            </w:r>
            <w:r>
              <w:rPr>
                <w:rFonts w:hint="eastAsia" w:ascii="宋体" w:hAnsi="宋体" w:cs="宋体"/>
                <w:color w:val="000000"/>
                <w:kern w:val="0"/>
                <w:sz w:val="16"/>
                <w:szCs w:val="16"/>
              </w:rPr>
              <w:t>人的体检及信息录入工作；体检人员信息全部录入系统；体检结果符合标准达到</w:t>
            </w:r>
            <w:r>
              <w:rPr>
                <w:rFonts w:ascii="宋体" w:hAnsi="宋体" w:cs="宋体"/>
                <w:color w:val="000000"/>
                <w:kern w:val="0"/>
                <w:sz w:val="16"/>
                <w:szCs w:val="16"/>
              </w:rPr>
              <w:t>100%</w:t>
            </w:r>
            <w:r>
              <w:rPr>
                <w:rFonts w:hint="eastAsia" w:ascii="宋体" w:hAnsi="宋体" w:cs="宋体"/>
                <w:color w:val="000000"/>
                <w:kern w:val="0"/>
                <w:sz w:val="16"/>
                <w:szCs w:val="16"/>
              </w:rPr>
              <w:t>；人均体检费用标准为</w:t>
            </w:r>
            <w:r>
              <w:rPr>
                <w:rFonts w:ascii="宋体" w:hAnsi="宋体" w:cs="宋体"/>
                <w:color w:val="000000"/>
                <w:kern w:val="0"/>
                <w:sz w:val="16"/>
                <w:szCs w:val="16"/>
              </w:rPr>
              <w:t>0-6</w:t>
            </w:r>
            <w:r>
              <w:rPr>
                <w:rFonts w:hint="eastAsia" w:ascii="宋体" w:hAnsi="宋体" w:cs="宋体"/>
                <w:color w:val="000000"/>
                <w:kern w:val="0"/>
                <w:sz w:val="16"/>
                <w:szCs w:val="16"/>
              </w:rPr>
              <w:t>岁儿童</w:t>
            </w:r>
            <w:r>
              <w:rPr>
                <w:rFonts w:ascii="宋体" w:hAnsi="宋体" w:cs="宋体"/>
                <w:color w:val="000000"/>
                <w:kern w:val="0"/>
                <w:sz w:val="16"/>
                <w:szCs w:val="16"/>
              </w:rPr>
              <w:t>29</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r>
              <w:rPr>
                <w:rFonts w:ascii="宋体" w:hAnsi="宋体" w:cs="宋体"/>
                <w:color w:val="000000"/>
                <w:kern w:val="0"/>
                <w:sz w:val="16"/>
                <w:szCs w:val="16"/>
              </w:rPr>
              <w:t>80</w:t>
            </w:r>
            <w:r>
              <w:rPr>
                <w:rFonts w:hint="eastAsia" w:ascii="宋体" w:hAnsi="宋体" w:cs="宋体"/>
                <w:color w:val="000000"/>
                <w:kern w:val="0"/>
                <w:sz w:val="16"/>
                <w:szCs w:val="16"/>
              </w:rPr>
              <w:t>岁以上老年人</w:t>
            </w:r>
            <w:r>
              <w:rPr>
                <w:rFonts w:ascii="宋体" w:hAnsi="宋体" w:cs="宋体"/>
                <w:color w:val="000000"/>
                <w:kern w:val="0"/>
                <w:sz w:val="16"/>
                <w:szCs w:val="16"/>
              </w:rPr>
              <w:t>132</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人、学生</w:t>
            </w:r>
            <w:r>
              <w:rPr>
                <w:rFonts w:ascii="宋体" w:hAnsi="宋体" w:cs="宋体"/>
                <w:color w:val="000000"/>
                <w:kern w:val="0"/>
                <w:sz w:val="16"/>
                <w:szCs w:val="16"/>
              </w:rPr>
              <w:t>33</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人、其他人群</w:t>
            </w:r>
            <w:r>
              <w:rPr>
                <w:rFonts w:ascii="宋体" w:hAnsi="宋体" w:cs="宋体"/>
                <w:color w:val="000000"/>
                <w:kern w:val="0"/>
                <w:sz w:val="16"/>
                <w:szCs w:val="16"/>
              </w:rPr>
              <w:t>100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人；有效降低居民体检检查费用；对危害群众健康的各类大病“早发现、早诊断、治疗、早预防”有效降低大病发生率；免费体检服务水平不断提高；体检人员满意度达到</w:t>
            </w:r>
            <w:r>
              <w:rPr>
                <w:rFonts w:ascii="宋体" w:hAnsi="宋体" w:cs="宋体"/>
                <w:color w:val="000000"/>
                <w:kern w:val="0"/>
                <w:sz w:val="16"/>
                <w:szCs w:val="16"/>
              </w:rPr>
              <w:t>92%</w:t>
            </w: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649"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2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92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274"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93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81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87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53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73"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74"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3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813"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875"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532"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92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：为全县各族群众提供体检</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=77396</w:t>
            </w:r>
            <w:r>
              <w:rPr>
                <w:rFonts w:hint="eastAsia" w:ascii="宋体" w:hAnsi="宋体" w:cs="宋体"/>
                <w:color w:val="000000"/>
                <w:kern w:val="0"/>
                <w:sz w:val="16"/>
                <w:szCs w:val="16"/>
              </w:rPr>
              <w:t>人</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78160</w:t>
            </w:r>
            <w:r>
              <w:rPr>
                <w:rFonts w:hint="eastAsia" w:ascii="宋体" w:hAnsi="宋体" w:cs="宋体"/>
                <w:color w:val="000000"/>
                <w:kern w:val="0"/>
                <w:sz w:val="16"/>
                <w:szCs w:val="16"/>
              </w:rPr>
              <w:t>人</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：体检人员信息全部录入系统</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98%</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：体检结果符合标准</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：体检及信息录入完成时限</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r>
              <w:rPr>
                <w:rFonts w:hint="eastAsia" w:ascii="宋体" w:hAnsi="宋体" w:cs="宋体"/>
                <w:color w:val="000000"/>
                <w:kern w:val="0"/>
                <w:sz w:val="16"/>
                <w:szCs w:val="16"/>
              </w:rPr>
              <w:t>月</w:t>
            </w:r>
            <w:r>
              <w:rPr>
                <w:rFonts w:ascii="宋体" w:hAnsi="宋体" w:cs="宋体"/>
                <w:color w:val="000000"/>
                <w:kern w:val="0"/>
                <w:sz w:val="16"/>
                <w:szCs w:val="16"/>
              </w:rPr>
              <w:t>31</w:t>
            </w:r>
            <w:r>
              <w:rPr>
                <w:rFonts w:hint="eastAsia" w:ascii="宋体" w:hAnsi="宋体" w:cs="宋体"/>
                <w:color w:val="000000"/>
                <w:kern w:val="0"/>
                <w:sz w:val="16"/>
                <w:szCs w:val="16"/>
              </w:rPr>
              <w:t>日</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11</w:t>
            </w:r>
            <w:r>
              <w:rPr>
                <w:rFonts w:hint="eastAsia" w:ascii="宋体" w:hAnsi="宋体" w:cs="宋体"/>
                <w:color w:val="000000"/>
                <w:kern w:val="0"/>
                <w:sz w:val="16"/>
                <w:szCs w:val="16"/>
              </w:rPr>
              <w:t>月</w:t>
            </w:r>
            <w:r>
              <w:rPr>
                <w:rFonts w:ascii="宋体" w:hAnsi="宋体" w:cs="宋体"/>
                <w:color w:val="000000"/>
                <w:kern w:val="0"/>
                <w:sz w:val="16"/>
                <w:szCs w:val="16"/>
              </w:rPr>
              <w:t>26</w:t>
            </w:r>
            <w:r>
              <w:rPr>
                <w:rFonts w:hint="eastAsia" w:ascii="宋体" w:hAnsi="宋体" w:cs="宋体"/>
                <w:color w:val="000000"/>
                <w:kern w:val="0"/>
                <w:sz w:val="16"/>
                <w:szCs w:val="16"/>
              </w:rPr>
              <w:t>日</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受封闭影响进度，后期加快组织完成任务</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：人均体检费用标准</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100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人</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925"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：降低居民体检检查费用</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：对危害群众健康的各类大病“早发现、早诊断、早治疗、早预防”有效降低大病发生率</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逐步下降</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逐步下降</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93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2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：免费体检服务水平</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不断提高</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不断提高</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9" w:hRule="atLeast"/>
        </w:trPr>
        <w:tc>
          <w:tcPr>
            <w:tcW w:w="64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27"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92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274"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：体检人员满意度逐步上升</w:t>
            </w:r>
          </w:p>
        </w:tc>
        <w:tc>
          <w:tcPr>
            <w:tcW w:w="931"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8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92%</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3" w:hRule="atLeast"/>
        </w:trPr>
        <w:tc>
          <w:tcPr>
            <w:tcW w:w="6164"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8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w:t>
            </w:r>
          </w:p>
        </w:tc>
        <w:tc>
          <w:tcPr>
            <w:tcW w:w="15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9743" w:type="dxa"/>
        <w:tblInd w:w="0" w:type="dxa"/>
        <w:tblLayout w:type="fixed"/>
        <w:tblCellMar>
          <w:top w:w="0" w:type="dxa"/>
          <w:left w:w="108" w:type="dxa"/>
          <w:bottom w:w="0" w:type="dxa"/>
          <w:right w:w="108" w:type="dxa"/>
        </w:tblCellMar>
      </w:tblPr>
      <w:tblGrid>
        <w:gridCol w:w="688"/>
        <w:gridCol w:w="561"/>
        <w:gridCol w:w="978"/>
        <w:gridCol w:w="978"/>
        <w:gridCol w:w="1087"/>
        <w:gridCol w:w="343"/>
        <w:gridCol w:w="852"/>
        <w:gridCol w:w="906"/>
        <w:gridCol w:w="343"/>
        <w:gridCol w:w="526"/>
        <w:gridCol w:w="633"/>
        <w:gridCol w:w="199"/>
        <w:gridCol w:w="852"/>
        <w:gridCol w:w="797"/>
      </w:tblGrid>
      <w:tr>
        <w:tblPrEx>
          <w:tblLayout w:type="fixed"/>
          <w:tblCellMar>
            <w:top w:w="0" w:type="dxa"/>
            <w:left w:w="108" w:type="dxa"/>
            <w:bottom w:w="0" w:type="dxa"/>
            <w:right w:w="108" w:type="dxa"/>
          </w:tblCellMar>
        </w:tblPrEx>
        <w:trPr>
          <w:trHeight w:val="286" w:hRule="atLeast"/>
        </w:trPr>
        <w:tc>
          <w:tcPr>
            <w:tcW w:w="9743"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86" w:hRule="atLeast"/>
        </w:trPr>
        <w:tc>
          <w:tcPr>
            <w:tcW w:w="9743"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225" w:hRule="atLeast"/>
        </w:trPr>
        <w:tc>
          <w:tcPr>
            <w:tcW w:w="12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494"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乡村医生补助</w:t>
            </w:r>
          </w:p>
        </w:tc>
      </w:tr>
      <w:tr>
        <w:tblPrEx>
          <w:tblLayout w:type="fixed"/>
          <w:tblCellMar>
            <w:top w:w="0" w:type="dxa"/>
            <w:left w:w="108" w:type="dxa"/>
            <w:bottom w:w="0" w:type="dxa"/>
            <w:right w:w="108" w:type="dxa"/>
          </w:tblCellMar>
        </w:tblPrEx>
        <w:trPr>
          <w:trHeight w:val="225" w:hRule="atLeast"/>
        </w:trPr>
        <w:tc>
          <w:tcPr>
            <w:tcW w:w="12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23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007"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各乡镇卫生院</w:t>
            </w:r>
          </w:p>
        </w:tc>
      </w:tr>
      <w:tr>
        <w:tblPrEx>
          <w:tblLayout w:type="fixed"/>
          <w:tblCellMar>
            <w:top w:w="0" w:type="dxa"/>
            <w:left w:w="108" w:type="dxa"/>
            <w:bottom w:w="0" w:type="dxa"/>
            <w:right w:w="108" w:type="dxa"/>
          </w:tblCellMar>
        </w:tblPrEx>
        <w:trPr>
          <w:trHeight w:val="225" w:hRule="atLeast"/>
        </w:trPr>
        <w:tc>
          <w:tcPr>
            <w:tcW w:w="1249"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95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15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79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25" w:hRule="atLeast"/>
        </w:trPr>
        <w:tc>
          <w:tcPr>
            <w:tcW w:w="124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56"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0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15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r>
      <w:tr>
        <w:tblPrEx>
          <w:tblLayout w:type="fixed"/>
          <w:tblCellMar>
            <w:top w:w="0" w:type="dxa"/>
            <w:left w:w="108" w:type="dxa"/>
            <w:bottom w:w="0" w:type="dxa"/>
            <w:right w:w="108" w:type="dxa"/>
          </w:tblCellMar>
        </w:tblPrEx>
        <w:trPr>
          <w:trHeight w:val="225" w:hRule="atLeast"/>
        </w:trPr>
        <w:tc>
          <w:tcPr>
            <w:tcW w:w="124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5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0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30.9</w:t>
            </w:r>
          </w:p>
        </w:tc>
        <w:tc>
          <w:tcPr>
            <w:tcW w:w="115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5" w:hRule="atLeast"/>
        </w:trPr>
        <w:tc>
          <w:tcPr>
            <w:tcW w:w="124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5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0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5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9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5" w:hRule="atLeast"/>
        </w:trPr>
        <w:tc>
          <w:tcPr>
            <w:tcW w:w="1249"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5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08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5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97"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5" w:hRule="atLeast"/>
        </w:trPr>
        <w:tc>
          <w:tcPr>
            <w:tcW w:w="68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799"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256"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965" w:hRule="atLeast"/>
        </w:trPr>
        <w:tc>
          <w:tcPr>
            <w:tcW w:w="68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799" w:type="dxa"/>
            <w:gridSpan w:val="6"/>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按照保基本、强基层、建机制的要求，从实际出发，明确乡村医生职责，健全培训制度，规范执业行为，强化管理指导，提高乡村医生服务水平，为农村居民提供安全有效、方便价廉的基本医疗卫生服务。</w:t>
            </w:r>
          </w:p>
        </w:tc>
        <w:tc>
          <w:tcPr>
            <w:tcW w:w="4256"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现有具备执业助理及以上资格乡村医生</w:t>
            </w:r>
            <w:r>
              <w:rPr>
                <w:rFonts w:ascii="宋体" w:hAnsi="宋体" w:cs="宋体"/>
                <w:color w:val="000000"/>
                <w:kern w:val="0"/>
                <w:sz w:val="16"/>
                <w:szCs w:val="16"/>
              </w:rPr>
              <w:t>35</w:t>
            </w:r>
            <w:r>
              <w:rPr>
                <w:rFonts w:hint="eastAsia" w:ascii="宋体" w:hAnsi="宋体" w:cs="宋体"/>
                <w:color w:val="000000"/>
                <w:kern w:val="0"/>
                <w:sz w:val="16"/>
                <w:szCs w:val="16"/>
              </w:rPr>
              <w:t>人，具有乡村医生资格的乡村医生</w:t>
            </w:r>
            <w:r>
              <w:rPr>
                <w:rFonts w:ascii="宋体" w:hAnsi="宋体" w:cs="宋体"/>
                <w:color w:val="000000"/>
                <w:kern w:val="0"/>
                <w:sz w:val="16"/>
                <w:szCs w:val="16"/>
              </w:rPr>
              <w:t>25</w:t>
            </w:r>
            <w:r>
              <w:rPr>
                <w:rFonts w:hint="eastAsia" w:ascii="宋体" w:hAnsi="宋体" w:cs="宋体"/>
                <w:color w:val="000000"/>
                <w:kern w:val="0"/>
                <w:sz w:val="16"/>
                <w:szCs w:val="16"/>
              </w:rPr>
              <w:t>人，在村卫生室从事基本医疗和公共卫生工作，能够为农村居民提供安全有效、方便价廉的基本医疗卫生服务。</w:t>
            </w:r>
          </w:p>
        </w:tc>
      </w:tr>
      <w:tr>
        <w:tblPrEx>
          <w:tblLayout w:type="fixed"/>
          <w:tblCellMar>
            <w:top w:w="0" w:type="dxa"/>
            <w:left w:w="108" w:type="dxa"/>
            <w:bottom w:w="0" w:type="dxa"/>
            <w:right w:w="108" w:type="dxa"/>
          </w:tblCellMar>
        </w:tblPrEx>
        <w:trPr>
          <w:trHeight w:val="225" w:hRule="atLeast"/>
        </w:trPr>
        <w:tc>
          <w:tcPr>
            <w:tcW w:w="688"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6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97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408"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86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83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64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2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08"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869"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832"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649"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97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：取得执业助理及以上资格人数</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23</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35</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一部分持有乡村医生资质人员通过考试取得执业助理资格</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：取得乡村医生资格证人数</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=39</w:t>
            </w:r>
            <w:r>
              <w:rPr>
                <w:rFonts w:hint="eastAsia" w:ascii="宋体" w:hAnsi="宋体" w:cs="宋体"/>
                <w:color w:val="000000"/>
                <w:kern w:val="0"/>
                <w:sz w:val="16"/>
                <w:szCs w:val="16"/>
              </w:rPr>
              <w:t>人</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=39</w:t>
            </w:r>
            <w:r>
              <w:rPr>
                <w:rFonts w:hint="eastAsia" w:ascii="宋体" w:hAnsi="宋体" w:cs="宋体"/>
                <w:color w:val="000000"/>
                <w:kern w:val="0"/>
                <w:sz w:val="16"/>
                <w:szCs w:val="16"/>
              </w:rPr>
              <w:t>人</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一部分持有乡村医生资质人员通过考试取得执业助理资格</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r>
              <w:rPr>
                <w:rFonts w:ascii="宋体" w:hAnsi="宋体" w:cs="宋体"/>
                <w:color w:val="000000"/>
                <w:kern w:val="0"/>
                <w:sz w:val="16"/>
                <w:szCs w:val="16"/>
              </w:rPr>
              <w:t>60</w:t>
            </w:r>
            <w:r>
              <w:rPr>
                <w:rFonts w:hint="eastAsia" w:ascii="宋体" w:hAnsi="宋体" w:cs="宋体"/>
                <w:color w:val="000000"/>
                <w:kern w:val="0"/>
                <w:sz w:val="16"/>
                <w:szCs w:val="16"/>
              </w:rPr>
              <w:t>个乡村医生规范开展基本医疗和公共卫生服务</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=60</w:t>
            </w:r>
            <w:r>
              <w:rPr>
                <w:rFonts w:hint="eastAsia" w:ascii="宋体" w:hAnsi="宋体" w:cs="宋体"/>
                <w:color w:val="000000"/>
                <w:kern w:val="0"/>
                <w:sz w:val="16"/>
                <w:szCs w:val="16"/>
              </w:rPr>
              <w:t>人</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=60</w:t>
            </w:r>
            <w:r>
              <w:rPr>
                <w:rFonts w:hint="eastAsia" w:ascii="宋体" w:hAnsi="宋体" w:cs="宋体"/>
                <w:color w:val="000000"/>
                <w:kern w:val="0"/>
                <w:sz w:val="16"/>
                <w:szCs w:val="16"/>
              </w:rPr>
              <w:t>人</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：资金拨付时间</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及时</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及时</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：有执业医师资格证的每月补助标准</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=3500</w:t>
            </w:r>
            <w:r>
              <w:rPr>
                <w:rFonts w:hint="eastAsia" w:ascii="宋体" w:hAnsi="宋体" w:cs="宋体"/>
                <w:color w:val="000000"/>
                <w:kern w:val="0"/>
                <w:sz w:val="16"/>
                <w:szCs w:val="16"/>
              </w:rPr>
              <w:t>元</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=3500</w:t>
            </w:r>
            <w:r>
              <w:rPr>
                <w:rFonts w:hint="eastAsia" w:ascii="宋体" w:hAnsi="宋体" w:cs="宋体"/>
                <w:color w:val="000000"/>
                <w:kern w:val="0"/>
                <w:sz w:val="16"/>
                <w:szCs w:val="16"/>
              </w:rPr>
              <w:t>元</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：执业助理资格人员每人</w:t>
            </w:r>
            <w:r>
              <w:rPr>
                <w:rFonts w:ascii="宋体" w:hAnsi="宋体" w:cs="宋体"/>
                <w:color w:val="000000"/>
                <w:kern w:val="0"/>
                <w:sz w:val="16"/>
                <w:szCs w:val="16"/>
              </w:rPr>
              <w:t>/</w:t>
            </w:r>
            <w:r>
              <w:rPr>
                <w:rFonts w:hint="eastAsia" w:ascii="宋体" w:hAnsi="宋体" w:cs="宋体"/>
                <w:color w:val="000000"/>
                <w:kern w:val="0"/>
                <w:sz w:val="16"/>
                <w:szCs w:val="16"/>
              </w:rPr>
              <w:t>每月补助标准</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=3000</w:t>
            </w:r>
            <w:r>
              <w:rPr>
                <w:rFonts w:hint="eastAsia" w:ascii="宋体" w:hAnsi="宋体" w:cs="宋体"/>
                <w:color w:val="000000"/>
                <w:kern w:val="0"/>
                <w:sz w:val="16"/>
                <w:szCs w:val="16"/>
              </w:rPr>
              <w:t>元</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=3000</w:t>
            </w:r>
            <w:r>
              <w:rPr>
                <w:rFonts w:hint="eastAsia" w:ascii="宋体" w:hAnsi="宋体" w:cs="宋体"/>
                <w:color w:val="000000"/>
                <w:kern w:val="0"/>
                <w:sz w:val="16"/>
                <w:szCs w:val="16"/>
              </w:rPr>
              <w:t>元</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乡村医生资格人员每人</w:t>
            </w:r>
            <w:r>
              <w:rPr>
                <w:rFonts w:ascii="宋体" w:hAnsi="宋体" w:cs="宋体"/>
                <w:color w:val="000000"/>
                <w:kern w:val="0"/>
                <w:sz w:val="16"/>
                <w:szCs w:val="16"/>
              </w:rPr>
              <w:t>/</w:t>
            </w:r>
            <w:r>
              <w:rPr>
                <w:rFonts w:hint="eastAsia" w:ascii="宋体" w:hAnsi="宋体" w:cs="宋体"/>
                <w:color w:val="000000"/>
                <w:kern w:val="0"/>
                <w:sz w:val="16"/>
                <w:szCs w:val="16"/>
              </w:rPr>
              <w:t>每月补助标准</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=2500</w:t>
            </w:r>
            <w:r>
              <w:rPr>
                <w:rFonts w:hint="eastAsia" w:ascii="宋体" w:hAnsi="宋体" w:cs="宋体"/>
                <w:color w:val="000000"/>
                <w:kern w:val="0"/>
                <w:sz w:val="16"/>
                <w:szCs w:val="16"/>
              </w:rPr>
              <w:t>元</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=2500</w:t>
            </w:r>
            <w:r>
              <w:rPr>
                <w:rFonts w:hint="eastAsia" w:ascii="宋体" w:hAnsi="宋体" w:cs="宋体"/>
                <w:color w:val="000000"/>
                <w:kern w:val="0"/>
                <w:sz w:val="16"/>
                <w:szCs w:val="16"/>
              </w:rPr>
              <w:t>元</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978"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：辖区内农牧民可享受便捷、价廉的医疗保健和公共卫生服务</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78"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：乡村医生补助水平不断提高</w:t>
            </w:r>
          </w:p>
        </w:tc>
        <w:tc>
          <w:tcPr>
            <w:tcW w:w="85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中长期</w:t>
            </w:r>
          </w:p>
        </w:tc>
        <w:tc>
          <w:tcPr>
            <w:tcW w:w="906"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中长期</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8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1"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97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40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：乡村医生满意度</w:t>
            </w:r>
          </w:p>
        </w:tc>
        <w:tc>
          <w:tcPr>
            <w:tcW w:w="852"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80%</w:t>
            </w:r>
          </w:p>
        </w:tc>
        <w:tc>
          <w:tcPr>
            <w:tcW w:w="906"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85%</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95" w:hRule="atLeast"/>
        </w:trPr>
        <w:tc>
          <w:tcPr>
            <w:tcW w:w="6393"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86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49"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pPr>
        <w:spacing w:line="600" w:lineRule="exact"/>
        <w:ind w:firstLine="640"/>
      </w:pPr>
      <w:r>
        <w:br w:type="page"/>
      </w:r>
    </w:p>
    <w:tbl>
      <w:tblPr>
        <w:tblStyle w:val="4"/>
        <w:tblW w:w="9814" w:type="dxa"/>
        <w:tblInd w:w="0" w:type="dxa"/>
        <w:tblLayout w:type="fixed"/>
        <w:tblCellMar>
          <w:top w:w="0" w:type="dxa"/>
          <w:left w:w="108" w:type="dxa"/>
          <w:bottom w:w="0" w:type="dxa"/>
          <w:right w:w="108" w:type="dxa"/>
        </w:tblCellMar>
      </w:tblPr>
      <w:tblGrid>
        <w:gridCol w:w="695"/>
        <w:gridCol w:w="565"/>
        <w:gridCol w:w="985"/>
        <w:gridCol w:w="985"/>
        <w:gridCol w:w="1095"/>
        <w:gridCol w:w="345"/>
        <w:gridCol w:w="858"/>
        <w:gridCol w:w="913"/>
        <w:gridCol w:w="345"/>
        <w:gridCol w:w="530"/>
        <w:gridCol w:w="636"/>
        <w:gridCol w:w="202"/>
        <w:gridCol w:w="856"/>
        <w:gridCol w:w="804"/>
      </w:tblGrid>
      <w:tr>
        <w:tblPrEx>
          <w:tblLayout w:type="fixed"/>
          <w:tblCellMar>
            <w:top w:w="0" w:type="dxa"/>
            <w:left w:w="108" w:type="dxa"/>
            <w:bottom w:w="0" w:type="dxa"/>
            <w:right w:w="108" w:type="dxa"/>
          </w:tblCellMar>
        </w:tblPrEx>
        <w:trPr>
          <w:trHeight w:val="346" w:hRule="atLeast"/>
        </w:trPr>
        <w:tc>
          <w:tcPr>
            <w:tcW w:w="9814"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346" w:hRule="atLeast"/>
        </w:trPr>
        <w:tc>
          <w:tcPr>
            <w:tcW w:w="9814"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273"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554"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中央医疗服务与保障能力提升补助资金</w:t>
            </w:r>
          </w:p>
        </w:tc>
      </w:tr>
      <w:tr>
        <w:tblPrEx>
          <w:tblLayout w:type="fixed"/>
          <w:tblCellMar>
            <w:top w:w="0" w:type="dxa"/>
            <w:left w:w="108" w:type="dxa"/>
            <w:bottom w:w="0" w:type="dxa"/>
            <w:right w:w="108" w:type="dxa"/>
          </w:tblCellMar>
        </w:tblPrEx>
        <w:trPr>
          <w:trHeight w:val="273"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26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02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r>
      <w:tr>
        <w:tblPrEx>
          <w:tblLayout w:type="fixed"/>
          <w:tblCellMar>
            <w:top w:w="0" w:type="dxa"/>
            <w:left w:w="108" w:type="dxa"/>
            <w:bottom w:w="0" w:type="dxa"/>
            <w:right w:w="108" w:type="dxa"/>
          </w:tblCellMar>
        </w:tblPrEx>
        <w:trPr>
          <w:trHeight w:val="273" w:hRule="atLeast"/>
        </w:trPr>
        <w:tc>
          <w:tcPr>
            <w:tcW w:w="1260"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19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2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16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0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80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73" w:hRule="atLeast"/>
        </w:trPr>
        <w:tc>
          <w:tcPr>
            <w:tcW w:w="126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7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0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2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16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0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0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273" w:hRule="atLeast"/>
        </w:trPr>
        <w:tc>
          <w:tcPr>
            <w:tcW w:w="126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0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2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18</w:t>
            </w:r>
          </w:p>
        </w:tc>
        <w:tc>
          <w:tcPr>
            <w:tcW w:w="116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0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126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0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6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0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126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197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09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6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5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0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73" w:hRule="atLeast"/>
        </w:trPr>
        <w:tc>
          <w:tcPr>
            <w:tcW w:w="69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833"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286"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705" w:hRule="atLeast"/>
        </w:trPr>
        <w:tc>
          <w:tcPr>
            <w:tcW w:w="69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833"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在基层医疗卫生机构建设</w:t>
            </w:r>
            <w:r>
              <w:rPr>
                <w:rFonts w:ascii="宋体" w:hAnsi="宋体" w:cs="宋体"/>
                <w:color w:val="000000"/>
                <w:kern w:val="0"/>
                <w:sz w:val="16"/>
                <w:szCs w:val="16"/>
              </w:rPr>
              <w:t>1</w:t>
            </w:r>
            <w:r>
              <w:rPr>
                <w:rFonts w:hint="eastAsia" w:ascii="宋体" w:hAnsi="宋体" w:cs="宋体"/>
                <w:color w:val="000000"/>
                <w:kern w:val="0"/>
                <w:sz w:val="16"/>
                <w:szCs w:val="16"/>
              </w:rPr>
              <w:t>个中医综合服务区（中医馆），提升基层中医药服务能力，促进中医药特色优势的发挥。</w:t>
            </w:r>
          </w:p>
        </w:tc>
        <w:tc>
          <w:tcPr>
            <w:tcW w:w="4286"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北五岔卫生院、六户地卫生院建设中医馆，提升基层中医药服务能力</w:t>
            </w:r>
          </w:p>
        </w:tc>
      </w:tr>
      <w:tr>
        <w:tblPrEx>
          <w:tblLayout w:type="fixed"/>
          <w:tblCellMar>
            <w:top w:w="0" w:type="dxa"/>
            <w:left w:w="108" w:type="dxa"/>
            <w:bottom w:w="0" w:type="dxa"/>
            <w:right w:w="108" w:type="dxa"/>
          </w:tblCellMar>
        </w:tblPrEx>
        <w:trPr>
          <w:trHeight w:val="273" w:hRule="atLeast"/>
        </w:trPr>
        <w:tc>
          <w:tcPr>
            <w:tcW w:w="695"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6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98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425"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87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83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66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73"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25"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875"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838"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660"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9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：基层医疗卫生机构中医综合服务区（中医馆）建设</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r>
              <w:rPr>
                <w:rFonts w:hint="eastAsia" w:ascii="宋体" w:hAnsi="宋体" w:cs="宋体"/>
                <w:color w:val="000000"/>
                <w:kern w:val="0"/>
                <w:sz w:val="16"/>
                <w:szCs w:val="16"/>
              </w:rPr>
              <w:t>个</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w:t>
            </w:r>
            <w:r>
              <w:rPr>
                <w:rFonts w:hint="eastAsia" w:ascii="宋体" w:hAnsi="宋体" w:cs="宋体"/>
                <w:color w:val="000000"/>
                <w:kern w:val="0"/>
                <w:sz w:val="16"/>
                <w:szCs w:val="16"/>
              </w:rPr>
              <w:t>个</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：建设项目合格率</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：项目周期</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1</w:t>
            </w:r>
            <w:r>
              <w:rPr>
                <w:rFonts w:hint="eastAsia" w:ascii="宋体" w:hAnsi="宋体" w:cs="宋体"/>
                <w:color w:val="000000"/>
                <w:kern w:val="0"/>
                <w:sz w:val="16"/>
                <w:szCs w:val="16"/>
              </w:rPr>
              <w:t>年</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w:t>
            </w:r>
            <w:r>
              <w:rPr>
                <w:rFonts w:hint="eastAsia" w:ascii="宋体" w:hAnsi="宋体" w:cs="宋体"/>
                <w:color w:val="000000"/>
                <w:kern w:val="0"/>
                <w:sz w:val="16"/>
                <w:szCs w:val="16"/>
              </w:rPr>
              <w:t>年</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：及时完成率</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　</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985"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：乡镇卫生院中医药诊疗收入提高</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vMerge w:val="restart"/>
            <w:tcBorders>
              <w:top w:val="single" w:color="auto" w:sz="4" w:space="0"/>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：中医药服务能力提高</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vMerge w:val="continue"/>
            <w:tcBorders>
              <w:top w:val="single" w:color="auto" w:sz="4" w:space="0"/>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：中医药人才技术水平</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明显提高</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　</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985"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　</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62" w:hRule="atLeast"/>
        </w:trPr>
        <w:tc>
          <w:tcPr>
            <w:tcW w:w="69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65"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98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42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：服务对象满意度指标</w:t>
            </w:r>
          </w:p>
        </w:tc>
        <w:tc>
          <w:tcPr>
            <w:tcW w:w="8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80%</w:t>
            </w:r>
          </w:p>
        </w:tc>
        <w:tc>
          <w:tcPr>
            <w:tcW w:w="91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80%</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3" w:hRule="atLeast"/>
        </w:trPr>
        <w:tc>
          <w:tcPr>
            <w:tcW w:w="6441"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87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3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66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10866" w:type="dxa"/>
        <w:tblInd w:w="-601" w:type="dxa"/>
        <w:tblLayout w:type="fixed"/>
        <w:tblCellMar>
          <w:top w:w="0" w:type="dxa"/>
          <w:left w:w="108" w:type="dxa"/>
          <w:bottom w:w="0" w:type="dxa"/>
          <w:right w:w="108" w:type="dxa"/>
        </w:tblCellMar>
      </w:tblPr>
      <w:tblGrid>
        <w:gridCol w:w="376"/>
        <w:gridCol w:w="921"/>
        <w:gridCol w:w="1519"/>
        <w:gridCol w:w="861"/>
        <w:gridCol w:w="961"/>
        <w:gridCol w:w="293"/>
        <w:gridCol w:w="1058"/>
        <w:gridCol w:w="798"/>
        <w:gridCol w:w="289"/>
        <w:gridCol w:w="454"/>
        <w:gridCol w:w="559"/>
        <w:gridCol w:w="156"/>
        <w:gridCol w:w="756"/>
        <w:gridCol w:w="1865"/>
      </w:tblGrid>
      <w:tr>
        <w:tblPrEx>
          <w:tblLayout w:type="fixed"/>
          <w:tblCellMar>
            <w:top w:w="0" w:type="dxa"/>
            <w:left w:w="108" w:type="dxa"/>
            <w:bottom w:w="0" w:type="dxa"/>
            <w:right w:w="108" w:type="dxa"/>
          </w:tblCellMar>
        </w:tblPrEx>
        <w:trPr>
          <w:trHeight w:val="143" w:hRule="atLeast"/>
        </w:trPr>
        <w:tc>
          <w:tcPr>
            <w:tcW w:w="10866"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143" w:hRule="atLeast"/>
        </w:trPr>
        <w:tc>
          <w:tcPr>
            <w:tcW w:w="10866"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112"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9569"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中央医疗服务与保障能力提升公立医疗综合改革补助资金</w:t>
            </w:r>
          </w:p>
        </w:tc>
      </w:tr>
      <w:tr>
        <w:tblPrEx>
          <w:tblLayout w:type="fixed"/>
          <w:tblCellMar>
            <w:top w:w="0" w:type="dxa"/>
            <w:left w:w="108" w:type="dxa"/>
            <w:bottom w:w="0" w:type="dxa"/>
            <w:right w:w="108" w:type="dxa"/>
          </w:tblCellMar>
        </w:tblPrEx>
        <w:trPr>
          <w:trHeight w:val="112"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692"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790"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r>
      <w:tr>
        <w:tblPrEx>
          <w:tblLayout w:type="fixed"/>
          <w:tblCellMar>
            <w:top w:w="0" w:type="dxa"/>
            <w:left w:w="108" w:type="dxa"/>
            <w:bottom w:w="0" w:type="dxa"/>
            <w:right w:w="108" w:type="dxa"/>
          </w:tblCellMar>
        </w:tblPrEx>
        <w:trPr>
          <w:trHeight w:val="112" w:hRule="atLeast"/>
        </w:trPr>
        <w:tc>
          <w:tcPr>
            <w:tcW w:w="1297"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23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6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3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91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12" w:hRule="atLeast"/>
        </w:trPr>
        <w:tc>
          <w:tcPr>
            <w:tcW w:w="129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96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3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91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12" w:hRule="atLeast"/>
        </w:trPr>
        <w:tc>
          <w:tcPr>
            <w:tcW w:w="129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96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3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282.04</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1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12" w:hRule="atLeast"/>
        </w:trPr>
        <w:tc>
          <w:tcPr>
            <w:tcW w:w="129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96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1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12" w:hRule="atLeast"/>
        </w:trPr>
        <w:tc>
          <w:tcPr>
            <w:tcW w:w="129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96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5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8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91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12" w:hRule="atLeast"/>
        </w:trPr>
        <w:tc>
          <w:tcPr>
            <w:tcW w:w="376"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5613"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877"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597" w:hRule="atLeast"/>
        </w:trPr>
        <w:tc>
          <w:tcPr>
            <w:tcW w:w="376"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5613"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按照《中共中央国务院关于全面实施预算绩效管理的意见》的要求，完善绩效目标管理，做好绩效监控和绩效评价，确保财政资金安全有效。</w:t>
            </w:r>
          </w:p>
        </w:tc>
        <w:tc>
          <w:tcPr>
            <w:tcW w:w="4877"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已完成的指标</w:t>
            </w:r>
            <w:r>
              <w:rPr>
                <w:rFonts w:ascii="宋体" w:hAnsi="宋体" w:cs="宋体"/>
                <w:color w:val="000000"/>
                <w:kern w:val="0"/>
                <w:sz w:val="16"/>
                <w:szCs w:val="16"/>
              </w:rPr>
              <w:t>:</w:t>
            </w:r>
            <w:r>
              <w:rPr>
                <w:rFonts w:hint="eastAsia" w:ascii="宋体" w:hAnsi="宋体" w:cs="宋体"/>
                <w:color w:val="000000"/>
                <w:kern w:val="0"/>
                <w:sz w:val="16"/>
                <w:szCs w:val="16"/>
              </w:rPr>
              <w:t>公立医院医疗服务收入（不含药品、耗材、检查、化验收入）</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29.8%</w:t>
            </w:r>
            <w:r>
              <w:rPr>
                <w:rFonts w:hint="eastAsia" w:ascii="宋体" w:hAnsi="宋体" w:cs="宋体"/>
                <w:color w:val="000000"/>
                <w:kern w:val="0"/>
                <w:sz w:val="16"/>
                <w:szCs w:val="16"/>
              </w:rPr>
              <w:t>，实际值：≥</w:t>
            </w:r>
            <w:r>
              <w:rPr>
                <w:rFonts w:ascii="宋体" w:hAnsi="宋体" w:cs="宋体"/>
                <w:color w:val="000000"/>
                <w:kern w:val="0"/>
                <w:sz w:val="16"/>
                <w:szCs w:val="16"/>
              </w:rPr>
              <w:t>29.8%)</w:t>
            </w:r>
            <w:r>
              <w:rPr>
                <w:rFonts w:hint="eastAsia" w:ascii="宋体" w:hAnsi="宋体" w:cs="宋体"/>
                <w:color w:val="000000"/>
                <w:kern w:val="0"/>
                <w:sz w:val="16"/>
                <w:szCs w:val="16"/>
              </w:rPr>
              <w:t>公立医院人员支出占业务支出比例</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34.3%</w:t>
            </w:r>
            <w:r>
              <w:rPr>
                <w:rFonts w:hint="eastAsia" w:ascii="宋体" w:hAnsi="宋体" w:cs="宋体"/>
                <w:color w:val="000000"/>
                <w:kern w:val="0"/>
                <w:sz w:val="16"/>
                <w:szCs w:val="16"/>
              </w:rPr>
              <w:t>，实际值：≥</w:t>
            </w:r>
            <w:r>
              <w:rPr>
                <w:rFonts w:ascii="宋体" w:hAnsi="宋体" w:cs="宋体"/>
                <w:color w:val="000000"/>
                <w:kern w:val="0"/>
                <w:sz w:val="16"/>
                <w:szCs w:val="16"/>
              </w:rPr>
              <w:t>34.3%)</w:t>
            </w:r>
            <w:r>
              <w:rPr>
                <w:rFonts w:hint="eastAsia" w:ascii="宋体" w:hAnsi="宋体" w:cs="宋体"/>
                <w:color w:val="000000"/>
                <w:kern w:val="0"/>
                <w:sz w:val="16"/>
                <w:szCs w:val="16"/>
              </w:rPr>
              <w:t>公立医院财政补助收入占总支出比例</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16.78%</w:t>
            </w:r>
            <w:r>
              <w:rPr>
                <w:rFonts w:hint="eastAsia" w:ascii="宋体" w:hAnsi="宋体" w:cs="宋体"/>
                <w:color w:val="000000"/>
                <w:kern w:val="0"/>
                <w:sz w:val="16"/>
                <w:szCs w:val="16"/>
              </w:rPr>
              <w:t>，实际值：≥</w:t>
            </w:r>
            <w:r>
              <w:rPr>
                <w:rFonts w:ascii="宋体" w:hAnsi="宋体" w:cs="宋体"/>
                <w:color w:val="000000"/>
                <w:kern w:val="0"/>
                <w:sz w:val="16"/>
                <w:szCs w:val="16"/>
              </w:rPr>
              <w:t>16.78%)</w:t>
            </w:r>
            <w:r>
              <w:rPr>
                <w:rFonts w:hint="eastAsia" w:ascii="宋体" w:hAnsi="宋体" w:cs="宋体"/>
                <w:color w:val="000000"/>
                <w:kern w:val="0"/>
                <w:sz w:val="16"/>
                <w:szCs w:val="16"/>
              </w:rPr>
              <w:t>公立医院负债率</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40.8%</w:t>
            </w:r>
            <w:r>
              <w:rPr>
                <w:rFonts w:hint="eastAsia" w:ascii="宋体" w:hAnsi="宋体" w:cs="宋体"/>
                <w:color w:val="000000"/>
                <w:kern w:val="0"/>
                <w:sz w:val="16"/>
                <w:szCs w:val="16"/>
              </w:rPr>
              <w:t>，实际值：≤</w:t>
            </w:r>
            <w:r>
              <w:rPr>
                <w:rFonts w:ascii="宋体" w:hAnsi="宋体" w:cs="宋体"/>
                <w:color w:val="000000"/>
                <w:kern w:val="0"/>
                <w:sz w:val="16"/>
                <w:szCs w:val="16"/>
              </w:rPr>
              <w:t>40.8%)</w:t>
            </w:r>
            <w:r>
              <w:rPr>
                <w:rFonts w:hint="eastAsia" w:ascii="宋体" w:hAnsi="宋体" w:cs="宋体"/>
                <w:color w:val="000000"/>
                <w:kern w:val="0"/>
                <w:sz w:val="16"/>
                <w:szCs w:val="16"/>
              </w:rPr>
              <w:t>公立医院平均住院日</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9.7%</w:t>
            </w:r>
            <w:r>
              <w:rPr>
                <w:rFonts w:hint="eastAsia" w:ascii="宋体" w:hAnsi="宋体" w:cs="宋体"/>
                <w:color w:val="000000"/>
                <w:kern w:val="0"/>
                <w:sz w:val="16"/>
                <w:szCs w:val="16"/>
              </w:rPr>
              <w:t>，实际值：≤</w:t>
            </w:r>
            <w:r>
              <w:rPr>
                <w:rFonts w:ascii="宋体" w:hAnsi="宋体" w:cs="宋体"/>
                <w:color w:val="000000"/>
                <w:kern w:val="0"/>
                <w:sz w:val="16"/>
                <w:szCs w:val="16"/>
              </w:rPr>
              <w:t>9.7%)</w:t>
            </w:r>
            <w:r>
              <w:rPr>
                <w:rFonts w:hint="eastAsia" w:ascii="宋体" w:hAnsi="宋体" w:cs="宋体"/>
                <w:color w:val="000000"/>
                <w:kern w:val="0"/>
                <w:sz w:val="16"/>
                <w:szCs w:val="16"/>
              </w:rPr>
              <w:t>按时落实</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=100%</w:t>
            </w:r>
            <w:r>
              <w:rPr>
                <w:rFonts w:hint="eastAsia" w:ascii="宋体" w:hAnsi="宋体" w:cs="宋体"/>
                <w:color w:val="000000"/>
                <w:kern w:val="0"/>
                <w:sz w:val="16"/>
                <w:szCs w:val="16"/>
              </w:rPr>
              <w:t>，实际值：</w:t>
            </w:r>
            <w:r>
              <w:rPr>
                <w:rFonts w:ascii="宋体" w:hAnsi="宋体" w:cs="宋体"/>
                <w:color w:val="000000"/>
                <w:kern w:val="0"/>
                <w:sz w:val="16"/>
                <w:szCs w:val="16"/>
              </w:rPr>
              <w:t>=100%)</w:t>
            </w:r>
            <w:r>
              <w:rPr>
                <w:rFonts w:hint="eastAsia" w:ascii="宋体" w:hAnsi="宋体" w:cs="宋体"/>
                <w:color w:val="000000"/>
                <w:kern w:val="0"/>
                <w:sz w:val="16"/>
                <w:szCs w:val="16"/>
              </w:rPr>
              <w:t>公立医院百元医疗收入的医疗支出（不含药品收入）</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117.74</w:t>
            </w:r>
            <w:r>
              <w:rPr>
                <w:rFonts w:hint="eastAsia" w:ascii="宋体" w:hAnsi="宋体" w:cs="宋体"/>
                <w:color w:val="000000"/>
                <w:kern w:val="0"/>
                <w:sz w:val="16"/>
                <w:szCs w:val="16"/>
              </w:rPr>
              <w:t>，实际值：≤</w:t>
            </w:r>
            <w:r>
              <w:rPr>
                <w:rFonts w:ascii="宋体" w:hAnsi="宋体" w:cs="宋体"/>
                <w:color w:val="000000"/>
                <w:kern w:val="0"/>
                <w:sz w:val="16"/>
                <w:szCs w:val="16"/>
              </w:rPr>
              <w:t>117.74)</w:t>
            </w:r>
            <w:r>
              <w:rPr>
                <w:rFonts w:hint="eastAsia" w:ascii="宋体" w:hAnsi="宋体" w:cs="宋体"/>
                <w:color w:val="000000"/>
                <w:kern w:val="0"/>
                <w:sz w:val="16"/>
                <w:szCs w:val="16"/>
              </w:rPr>
              <w:t>提高医疗卫生服务质量</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=100%</w:t>
            </w:r>
            <w:r>
              <w:rPr>
                <w:rFonts w:hint="eastAsia" w:ascii="宋体" w:hAnsi="宋体" w:cs="宋体"/>
                <w:color w:val="000000"/>
                <w:kern w:val="0"/>
                <w:sz w:val="16"/>
                <w:szCs w:val="16"/>
              </w:rPr>
              <w:t>，实际值：</w:t>
            </w:r>
            <w:r>
              <w:rPr>
                <w:rFonts w:ascii="宋体" w:hAnsi="宋体" w:cs="宋体"/>
                <w:color w:val="000000"/>
                <w:kern w:val="0"/>
                <w:sz w:val="16"/>
                <w:szCs w:val="16"/>
              </w:rPr>
              <w:t>=100%)</w:t>
            </w:r>
            <w:r>
              <w:rPr>
                <w:rFonts w:hint="eastAsia" w:ascii="宋体" w:hAnsi="宋体" w:cs="宋体"/>
                <w:color w:val="000000"/>
                <w:kern w:val="0"/>
                <w:sz w:val="16"/>
                <w:szCs w:val="16"/>
              </w:rPr>
              <w:t>基层医疗卫生机构诊疗人次数占医疗卫生机构诊疗人次数的比例</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46.27%</w:t>
            </w:r>
            <w:r>
              <w:rPr>
                <w:rFonts w:hint="eastAsia" w:ascii="宋体" w:hAnsi="宋体" w:cs="宋体"/>
                <w:color w:val="000000"/>
                <w:kern w:val="0"/>
                <w:sz w:val="16"/>
                <w:szCs w:val="16"/>
              </w:rPr>
              <w:t>，实际值：≥</w:t>
            </w:r>
            <w:r>
              <w:rPr>
                <w:rFonts w:ascii="宋体" w:hAnsi="宋体" w:cs="宋体"/>
                <w:color w:val="000000"/>
                <w:kern w:val="0"/>
                <w:sz w:val="16"/>
                <w:szCs w:val="16"/>
              </w:rPr>
              <w:t>46.27%)</w:t>
            </w:r>
            <w:r>
              <w:rPr>
                <w:rFonts w:hint="eastAsia" w:ascii="宋体" w:hAnsi="宋体" w:cs="宋体"/>
                <w:color w:val="000000"/>
                <w:kern w:val="0"/>
                <w:sz w:val="16"/>
                <w:szCs w:val="16"/>
              </w:rPr>
              <w:t>实现收支平衡的公立医院占公立医院总数的比例</w:t>
            </w:r>
            <w:r>
              <w:rPr>
                <w:rFonts w:ascii="宋体" w:hAnsi="宋体" w:cs="宋体"/>
                <w:color w:val="000000"/>
                <w:kern w:val="0"/>
                <w:sz w:val="16"/>
                <w:szCs w:val="16"/>
              </w:rPr>
              <w:t>(</w:t>
            </w:r>
            <w:r>
              <w:rPr>
                <w:rFonts w:hint="eastAsia" w:ascii="宋体" w:hAnsi="宋体" w:cs="宋体"/>
                <w:color w:val="000000"/>
                <w:kern w:val="0"/>
                <w:sz w:val="16"/>
                <w:szCs w:val="16"/>
              </w:rPr>
              <w:t>跟踪目标值：≥</w:t>
            </w:r>
            <w:r>
              <w:rPr>
                <w:rFonts w:ascii="宋体" w:hAnsi="宋体" w:cs="宋体"/>
                <w:color w:val="000000"/>
                <w:kern w:val="0"/>
                <w:sz w:val="16"/>
                <w:szCs w:val="16"/>
              </w:rPr>
              <w:t>76.78%</w:t>
            </w: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12" w:hRule="atLeast"/>
        </w:trPr>
        <w:tc>
          <w:tcPr>
            <w:tcW w:w="376"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92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151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115"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74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71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262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356"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115"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743"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715"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2621"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1519" w:type="dxa"/>
            <w:vMerge w:val="restart"/>
            <w:tcBorders>
              <w:top w:val="nil"/>
              <w:left w:val="single" w:color="auto" w:sz="4" w:space="0"/>
              <w:bottom w:val="single" w:color="000000"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：公立医院医疗服务收入（不含药品、耗材、检查、化验收入）</w:t>
            </w: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29.8%</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29.80%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vMerge w:val="continue"/>
            <w:tcBorders>
              <w:top w:val="nil"/>
              <w:left w:val="single" w:color="auto" w:sz="4" w:space="0"/>
              <w:bottom w:val="single" w:color="000000" w:sz="4" w:space="0"/>
              <w:right w:val="single" w:color="auto" w:sz="4" w:space="0"/>
            </w:tcBorders>
            <w:vAlign w:val="center"/>
          </w:tcPr>
          <w:p>
            <w:pPr>
              <w:jc w:val="left"/>
              <w:rPr>
                <w:rFonts w:ascii="宋体" w:cs="宋体"/>
                <w:color w:val="000000"/>
                <w:kern w:val="0"/>
                <w:sz w:val="16"/>
                <w:szCs w:val="16"/>
              </w:rPr>
            </w:pP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：公立医院人员支出占业务支出比例</w:t>
            </w: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34.3%</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34.30%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vMerge w:val="continue"/>
            <w:tcBorders>
              <w:top w:val="nil"/>
              <w:left w:val="single" w:color="auto" w:sz="4" w:space="0"/>
              <w:bottom w:val="single" w:color="000000" w:sz="4" w:space="0"/>
              <w:right w:val="single" w:color="auto" w:sz="4" w:space="0"/>
            </w:tcBorders>
            <w:vAlign w:val="center"/>
          </w:tcPr>
          <w:p>
            <w:pPr>
              <w:jc w:val="left"/>
              <w:rPr>
                <w:rFonts w:ascii="宋体" w:cs="宋体"/>
                <w:color w:val="000000"/>
                <w:kern w:val="0"/>
                <w:sz w:val="16"/>
                <w:szCs w:val="16"/>
              </w:rPr>
            </w:pPr>
          </w:p>
        </w:tc>
        <w:tc>
          <w:tcPr>
            <w:tcW w:w="2115" w:type="dxa"/>
            <w:gridSpan w:val="3"/>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：公立医院财政补助收入占总支出比例</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16.78%</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16.78%</w:t>
            </w:r>
          </w:p>
        </w:tc>
        <w:tc>
          <w:tcPr>
            <w:tcW w:w="743"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15"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2621"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2"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vMerge w:val="continue"/>
            <w:tcBorders>
              <w:top w:val="nil"/>
              <w:left w:val="single" w:color="auto" w:sz="4" w:space="0"/>
              <w:bottom w:val="single" w:color="000000" w:sz="4" w:space="0"/>
              <w:right w:val="single" w:color="auto" w:sz="4" w:space="0"/>
            </w:tcBorders>
            <w:vAlign w:val="center"/>
          </w:tcPr>
          <w:p>
            <w:pPr>
              <w:jc w:val="left"/>
              <w:rPr>
                <w:rFonts w:ascii="宋体" w:cs="宋体"/>
                <w:color w:val="000000"/>
                <w:kern w:val="0"/>
                <w:sz w:val="16"/>
                <w:szCs w:val="16"/>
              </w:rPr>
            </w:pPr>
          </w:p>
        </w:tc>
        <w:tc>
          <w:tcPr>
            <w:tcW w:w="2115" w:type="dxa"/>
            <w:gridSpan w:val="3"/>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：公立医院负债率</w:t>
            </w: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40.8%</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40.80%</w:t>
            </w:r>
          </w:p>
        </w:tc>
        <w:tc>
          <w:tcPr>
            <w:tcW w:w="743"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15"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756"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86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：公立医院平均住院日</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9.7%</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9.70%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：按时落实</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：公立医院百元医疗收入的医疗支出（不含药品收入）</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117.74</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117.74</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1519"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：提高医疗卫生服务质量</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：基层医疗卫生机构诊疗人次数占医疗卫生机构诊疗人次数的比例</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46.27%</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46.27%</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　</w:t>
            </w:r>
          </w:p>
        </w:tc>
        <w:tc>
          <w:tcPr>
            <w:tcW w:w="105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9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519"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：实现收支平衡的公立医院占公立医院总数的比例</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76.78%</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76.78%</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75" w:hRule="atLeast"/>
        </w:trPr>
        <w:tc>
          <w:tcPr>
            <w:tcW w:w="376"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921"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151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115"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：公立医院职工、门诊患者、住院患者满意度</w:t>
            </w:r>
          </w:p>
        </w:tc>
        <w:tc>
          <w:tcPr>
            <w:tcW w:w="105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84.8%</w:t>
            </w:r>
          </w:p>
        </w:tc>
        <w:tc>
          <w:tcPr>
            <w:tcW w:w="798"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84.80%</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90" w:hRule="atLeast"/>
        </w:trPr>
        <w:tc>
          <w:tcPr>
            <w:tcW w:w="678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74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262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10006" w:type="dxa"/>
        <w:tblInd w:w="0" w:type="dxa"/>
        <w:tblLayout w:type="fixed"/>
        <w:tblCellMar>
          <w:top w:w="0" w:type="dxa"/>
          <w:left w:w="108" w:type="dxa"/>
          <w:bottom w:w="0" w:type="dxa"/>
          <w:right w:w="108" w:type="dxa"/>
        </w:tblCellMar>
      </w:tblPr>
      <w:tblGrid>
        <w:gridCol w:w="708"/>
        <w:gridCol w:w="582"/>
        <w:gridCol w:w="1011"/>
        <w:gridCol w:w="1009"/>
        <w:gridCol w:w="1123"/>
        <w:gridCol w:w="356"/>
        <w:gridCol w:w="879"/>
        <w:gridCol w:w="935"/>
        <w:gridCol w:w="356"/>
        <w:gridCol w:w="542"/>
        <w:gridCol w:w="654"/>
        <w:gridCol w:w="148"/>
        <w:gridCol w:w="879"/>
        <w:gridCol w:w="824"/>
      </w:tblGrid>
      <w:tr>
        <w:tblPrEx>
          <w:tblLayout w:type="fixed"/>
          <w:tblCellMar>
            <w:top w:w="0" w:type="dxa"/>
            <w:left w:w="108" w:type="dxa"/>
            <w:bottom w:w="0" w:type="dxa"/>
            <w:right w:w="108" w:type="dxa"/>
          </w:tblCellMar>
        </w:tblPrEx>
        <w:trPr>
          <w:trHeight w:val="210" w:hRule="atLeast"/>
        </w:trPr>
        <w:tc>
          <w:tcPr>
            <w:tcW w:w="10006" w:type="dxa"/>
            <w:gridSpan w:val="14"/>
            <w:tcBorders>
              <w:top w:val="nil"/>
              <w:left w:val="nil"/>
              <w:bottom w:val="nil"/>
              <w:right w:val="nil"/>
            </w:tcBorders>
            <w:vAlign w:val="center"/>
          </w:tcPr>
          <w:p>
            <w:pPr>
              <w:jc w:val="center"/>
              <w:rPr>
                <w:rFonts w:asci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10" w:hRule="atLeast"/>
        </w:trPr>
        <w:tc>
          <w:tcPr>
            <w:tcW w:w="10006"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165" w:hRule="atLeast"/>
        </w:trPr>
        <w:tc>
          <w:tcPr>
            <w:tcW w:w="12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716"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重大公共卫生服务</w:t>
            </w:r>
          </w:p>
        </w:tc>
      </w:tr>
      <w:tr>
        <w:tblPrEx>
          <w:tblLayout w:type="fixed"/>
          <w:tblCellMar>
            <w:top w:w="0" w:type="dxa"/>
            <w:left w:w="108" w:type="dxa"/>
            <w:bottom w:w="0" w:type="dxa"/>
            <w:right w:w="108" w:type="dxa"/>
          </w:tblCellMar>
        </w:tblPrEx>
        <w:trPr>
          <w:trHeight w:val="352" w:hRule="atLeast"/>
        </w:trPr>
        <w:tc>
          <w:tcPr>
            <w:tcW w:w="12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378"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047"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疾控中心、妇计中心、县医院、中医院及各乡镇卫生院</w:t>
            </w:r>
          </w:p>
        </w:tc>
      </w:tr>
      <w:tr>
        <w:tblPrEx>
          <w:tblLayout w:type="fixed"/>
          <w:tblCellMar>
            <w:top w:w="0" w:type="dxa"/>
            <w:left w:w="108" w:type="dxa"/>
            <w:bottom w:w="0" w:type="dxa"/>
            <w:right w:w="108" w:type="dxa"/>
          </w:tblCellMar>
        </w:tblPrEx>
        <w:trPr>
          <w:trHeight w:val="165" w:hRule="atLeast"/>
        </w:trPr>
        <w:tc>
          <w:tcPr>
            <w:tcW w:w="1290"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20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2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2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19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02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65" w:hRule="atLeast"/>
        </w:trPr>
        <w:tc>
          <w:tcPr>
            <w:tcW w:w="129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20"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12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2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19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02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65" w:hRule="atLeast"/>
        </w:trPr>
        <w:tc>
          <w:tcPr>
            <w:tcW w:w="129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12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2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138.47</w:t>
            </w:r>
          </w:p>
        </w:tc>
        <w:tc>
          <w:tcPr>
            <w:tcW w:w="119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2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65" w:hRule="atLeast"/>
        </w:trPr>
        <w:tc>
          <w:tcPr>
            <w:tcW w:w="129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12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2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65" w:hRule="atLeast"/>
        </w:trPr>
        <w:tc>
          <w:tcPr>
            <w:tcW w:w="1290"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2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123"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3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91"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27"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65" w:hRule="atLeast"/>
        </w:trPr>
        <w:tc>
          <w:tcPr>
            <w:tcW w:w="708"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4960"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338"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1278" w:hRule="atLeast"/>
        </w:trPr>
        <w:tc>
          <w:tcPr>
            <w:tcW w:w="708"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4960" w:type="dxa"/>
            <w:gridSpan w:val="6"/>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完成结核病防治培训、宣传、督导指标，督促乡村级做好结核病筛查和病人管理工作，使</w:t>
            </w:r>
            <w:r>
              <w:rPr>
                <w:rFonts w:ascii="宋体" w:hAnsi="宋体" w:cs="宋体"/>
                <w:color w:val="000000"/>
                <w:kern w:val="0"/>
                <w:sz w:val="16"/>
                <w:szCs w:val="16"/>
              </w:rPr>
              <w:t>90%</w:t>
            </w:r>
            <w:r>
              <w:rPr>
                <w:rFonts w:hint="eastAsia" w:ascii="宋体" w:hAnsi="宋体" w:cs="宋体"/>
                <w:color w:val="000000"/>
                <w:kern w:val="0"/>
                <w:sz w:val="16"/>
                <w:szCs w:val="16"/>
              </w:rPr>
              <w:t>以上的结核病患者得到发现，先发现的结核病患者</w:t>
            </w:r>
            <w:r>
              <w:rPr>
                <w:rFonts w:ascii="宋体" w:hAnsi="宋体" w:cs="宋体"/>
                <w:color w:val="000000"/>
                <w:kern w:val="0"/>
                <w:sz w:val="16"/>
                <w:szCs w:val="16"/>
              </w:rPr>
              <w:t>100%</w:t>
            </w:r>
            <w:r>
              <w:rPr>
                <w:rFonts w:hint="eastAsia" w:ascii="宋体" w:hAnsi="宋体" w:cs="宋体"/>
                <w:color w:val="000000"/>
                <w:kern w:val="0"/>
                <w:sz w:val="16"/>
                <w:szCs w:val="16"/>
              </w:rPr>
              <w:t>得到治疗；探索完善诊断、治疗、管理“三位一体”的布病综合防治模式。通过加强人间布病监测，早期发现、诊断和治疗布病患者，实行规范化管理治疗，并积极开展健康教育和行为干预，降低布病发病率，提高布病及时诊断率、规范治疗率，减少布病慢性化和疾病负担。开展重大传染疾病预防，按照国家实行的有计划的预防接种制度，结核病防治工作，精神卫生、包虫病工作、儿童口腔疾病工作制度，推广扩大免疫规划、结核病、包虫病等国家优惠政策，让医疗惠民与民生健康结合在一起，提高辖区居民身心健康，加大宣传力度，预防为主，做好重大疾病预防为社会服务的大工程。</w:t>
            </w:r>
          </w:p>
        </w:tc>
        <w:tc>
          <w:tcPr>
            <w:tcW w:w="4338"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完成全县</w:t>
            </w:r>
            <w:r>
              <w:rPr>
                <w:rFonts w:ascii="宋体" w:hAnsi="宋体" w:cs="宋体"/>
                <w:color w:val="000000"/>
                <w:kern w:val="0"/>
                <w:sz w:val="16"/>
                <w:szCs w:val="16"/>
              </w:rPr>
              <w:t>2000</w:t>
            </w:r>
            <w:r>
              <w:rPr>
                <w:rFonts w:hint="eastAsia" w:ascii="宋体" w:hAnsi="宋体" w:cs="宋体"/>
                <w:color w:val="000000"/>
                <w:kern w:val="0"/>
                <w:sz w:val="16"/>
                <w:szCs w:val="16"/>
              </w:rPr>
              <w:t>名儿童的窝沟封闭任务；适龄儿童预防接种建卡、建证率达到</w:t>
            </w:r>
            <w:r>
              <w:rPr>
                <w:rFonts w:ascii="宋体" w:hAnsi="宋体" w:cs="宋体"/>
                <w:color w:val="000000"/>
                <w:kern w:val="0"/>
                <w:sz w:val="16"/>
                <w:szCs w:val="16"/>
              </w:rPr>
              <w:t>98%</w:t>
            </w:r>
            <w:r>
              <w:rPr>
                <w:rFonts w:hint="eastAsia" w:ascii="宋体" w:hAnsi="宋体" w:cs="宋体"/>
                <w:color w:val="000000"/>
                <w:kern w:val="0"/>
                <w:sz w:val="16"/>
                <w:szCs w:val="16"/>
              </w:rPr>
              <w:t>；儿童免疫规划疫苗接种率达到</w:t>
            </w:r>
            <w:r>
              <w:rPr>
                <w:rFonts w:ascii="宋体" w:hAnsi="宋体" w:cs="宋体"/>
                <w:color w:val="000000"/>
                <w:kern w:val="0"/>
                <w:sz w:val="16"/>
                <w:szCs w:val="16"/>
              </w:rPr>
              <w:t>90%</w:t>
            </w:r>
            <w:r>
              <w:rPr>
                <w:rFonts w:hint="eastAsia" w:ascii="宋体" w:hAnsi="宋体" w:cs="宋体"/>
                <w:color w:val="000000"/>
                <w:kern w:val="0"/>
                <w:sz w:val="16"/>
                <w:szCs w:val="16"/>
              </w:rPr>
              <w:t>；艾滋病病毒抗体筛查人数占当地人口比例达到</w:t>
            </w:r>
            <w:r>
              <w:rPr>
                <w:rFonts w:ascii="宋体" w:hAnsi="宋体" w:cs="宋体"/>
                <w:color w:val="000000"/>
                <w:kern w:val="0"/>
                <w:sz w:val="16"/>
                <w:szCs w:val="16"/>
              </w:rPr>
              <w:t>60%</w:t>
            </w:r>
            <w:r>
              <w:rPr>
                <w:rFonts w:hint="eastAsia" w:ascii="宋体" w:hAnsi="宋体" w:cs="宋体"/>
                <w:color w:val="000000"/>
                <w:kern w:val="0"/>
                <w:sz w:val="16"/>
                <w:szCs w:val="16"/>
              </w:rPr>
              <w:t>；登记在册的严重精神障碍患者健康规范管理率达到</w:t>
            </w:r>
            <w:r>
              <w:rPr>
                <w:rFonts w:ascii="宋体" w:hAnsi="宋体" w:cs="宋体"/>
                <w:color w:val="000000"/>
                <w:kern w:val="0"/>
                <w:sz w:val="16"/>
                <w:szCs w:val="16"/>
              </w:rPr>
              <w:t>95.08%</w:t>
            </w:r>
            <w:r>
              <w:rPr>
                <w:rFonts w:hint="eastAsia" w:ascii="宋体" w:hAnsi="宋体" w:cs="宋体"/>
                <w:color w:val="000000"/>
                <w:kern w:val="0"/>
                <w:sz w:val="16"/>
                <w:szCs w:val="16"/>
              </w:rPr>
              <w:t>；肺结核患者管理率达到</w:t>
            </w:r>
            <w:r>
              <w:rPr>
                <w:rFonts w:ascii="宋体" w:hAnsi="宋体" w:cs="宋体"/>
                <w:color w:val="000000"/>
                <w:kern w:val="0"/>
                <w:sz w:val="16"/>
                <w:szCs w:val="16"/>
              </w:rPr>
              <w:t>100%</w:t>
            </w:r>
            <w:r>
              <w:rPr>
                <w:rFonts w:hint="eastAsia" w:ascii="宋体" w:hAnsi="宋体" w:cs="宋体"/>
                <w:color w:val="000000"/>
                <w:kern w:val="0"/>
                <w:sz w:val="16"/>
                <w:szCs w:val="16"/>
              </w:rPr>
              <w:t>；定期开展各类健康宣教活动；完成区州包虫病人群普查及传染源监测任务；预防接种工作人员接针刺费达到</w:t>
            </w:r>
            <w:r>
              <w:rPr>
                <w:rFonts w:ascii="宋体" w:hAnsi="宋体" w:cs="宋体"/>
                <w:color w:val="000000"/>
                <w:kern w:val="0"/>
                <w:sz w:val="16"/>
                <w:szCs w:val="16"/>
              </w:rPr>
              <w:t>9</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剂次；儿童窝沟封闭数任务数</w:t>
            </w:r>
            <w:r>
              <w:rPr>
                <w:rFonts w:ascii="宋体" w:hAnsi="宋体" w:cs="宋体"/>
                <w:color w:val="000000"/>
                <w:kern w:val="0"/>
                <w:sz w:val="16"/>
                <w:szCs w:val="16"/>
              </w:rPr>
              <w:t>27</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每颗牙；遏制重大传染疾病的扩散，防控传染，及时治疗和随访，提高人民群众身心健康；居民健康水平逐步提高；居民对公共卫生服务满意度达到</w:t>
            </w:r>
            <w:r>
              <w:rPr>
                <w:rFonts w:ascii="宋体" w:hAnsi="宋体" w:cs="宋体"/>
                <w:color w:val="000000"/>
                <w:kern w:val="0"/>
                <w:sz w:val="16"/>
                <w:szCs w:val="16"/>
              </w:rPr>
              <w:t>92%</w:t>
            </w: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65" w:hRule="atLeast"/>
        </w:trPr>
        <w:tc>
          <w:tcPr>
            <w:tcW w:w="708"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8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101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2488"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89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80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70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165"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898"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802"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703"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101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：儿童窝沟封闭数</w:t>
            </w:r>
          </w:p>
        </w:tc>
        <w:tc>
          <w:tcPr>
            <w:tcW w:w="879"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=2000</w:t>
            </w:r>
            <w:r>
              <w:rPr>
                <w:rFonts w:hint="eastAsia" w:ascii="宋体" w:hAnsi="宋体" w:cs="宋体"/>
                <w:color w:val="000000"/>
                <w:kern w:val="0"/>
                <w:sz w:val="16"/>
                <w:szCs w:val="16"/>
              </w:rPr>
              <w:t>人</w:t>
            </w:r>
          </w:p>
        </w:tc>
        <w:tc>
          <w:tcPr>
            <w:tcW w:w="93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=2000</w:t>
            </w:r>
            <w:r>
              <w:rPr>
                <w:rFonts w:hint="eastAsia" w:ascii="宋体" w:hAnsi="宋体" w:cs="宋体"/>
                <w:color w:val="000000"/>
                <w:kern w:val="0"/>
                <w:sz w:val="16"/>
                <w:szCs w:val="16"/>
              </w:rPr>
              <w:t>人</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：适龄儿童预防接种建卡、建证率</w:t>
            </w:r>
          </w:p>
        </w:tc>
        <w:tc>
          <w:tcPr>
            <w:tcW w:w="879"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98%</w:t>
            </w:r>
          </w:p>
        </w:tc>
        <w:tc>
          <w:tcPr>
            <w:tcW w:w="93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98%</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3</w:t>
            </w:r>
            <w:r>
              <w:rPr>
                <w:rFonts w:hint="eastAsia" w:ascii="宋体" w:hAnsi="宋体" w:cs="宋体"/>
                <w:color w:val="000000"/>
                <w:kern w:val="0"/>
                <w:sz w:val="16"/>
                <w:szCs w:val="16"/>
              </w:rPr>
              <w:t>：儿童免疫规划疫苗接种率</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79" w:type="dxa"/>
            <w:tcBorders>
              <w:top w:val="nil"/>
              <w:left w:val="nil"/>
              <w:bottom w:val="single" w:color="auto" w:sz="4" w:space="0"/>
              <w:right w:val="nil"/>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24"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000000"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4</w:t>
            </w:r>
            <w:r>
              <w:rPr>
                <w:rFonts w:hint="eastAsia" w:ascii="宋体" w:hAnsi="宋体" w:cs="宋体"/>
                <w:color w:val="000000"/>
                <w:kern w:val="0"/>
                <w:sz w:val="16"/>
                <w:szCs w:val="16"/>
              </w:rPr>
              <w:t>：艾滋病病毒抗体筛查人数占当地人口比例</w:t>
            </w:r>
          </w:p>
        </w:tc>
        <w:tc>
          <w:tcPr>
            <w:tcW w:w="879"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60%</w:t>
            </w:r>
          </w:p>
        </w:tc>
        <w:tc>
          <w:tcPr>
            <w:tcW w:w="93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60%</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：登记在册的严重精神障碍患者健康规范管理率</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75%</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95.08%</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：肺结核患者管理率</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：开展健康宣教活动</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每个宣传日</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每个宣传日</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：包虫病人群普查及传染源监测</w:t>
            </w:r>
          </w:p>
        </w:tc>
        <w:tc>
          <w:tcPr>
            <w:tcW w:w="879"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完成区州任务</w:t>
            </w:r>
          </w:p>
        </w:tc>
        <w:tc>
          <w:tcPr>
            <w:tcW w:w="935" w:type="dxa"/>
            <w:tcBorders>
              <w:top w:val="nil"/>
              <w:left w:val="nil"/>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完成区州任务</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：预防接种工作人员</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剂次</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剂次</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2</w:t>
            </w:r>
            <w:r>
              <w:rPr>
                <w:rFonts w:hint="eastAsia" w:ascii="宋体" w:hAnsi="宋体" w:cs="宋体"/>
                <w:color w:val="000000"/>
                <w:kern w:val="0"/>
                <w:sz w:val="16"/>
                <w:szCs w:val="16"/>
              </w:rPr>
              <w:t>：儿童窝沟封闭数任务数</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=27</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每颗牙</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=27</w:t>
            </w:r>
            <w:r>
              <w:rPr>
                <w:rFonts w:hint="eastAsia" w:ascii="宋体" w:hAnsi="宋体" w:cs="宋体"/>
                <w:color w:val="000000"/>
                <w:kern w:val="0"/>
                <w:sz w:val="16"/>
                <w:szCs w:val="16"/>
              </w:rPr>
              <w:t>元</w:t>
            </w:r>
            <w:r>
              <w:rPr>
                <w:rFonts w:ascii="宋体" w:hAnsi="宋体" w:cs="宋体"/>
                <w:color w:val="000000"/>
                <w:kern w:val="0"/>
                <w:sz w:val="16"/>
                <w:szCs w:val="16"/>
              </w:rPr>
              <w:t>/</w:t>
            </w:r>
            <w:r>
              <w:rPr>
                <w:rFonts w:hint="eastAsia" w:ascii="宋体" w:hAnsi="宋体" w:cs="宋体"/>
                <w:color w:val="000000"/>
                <w:kern w:val="0"/>
                <w:sz w:val="16"/>
                <w:szCs w:val="16"/>
              </w:rPr>
              <w:t>每颗牙</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1011"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：遏制重大传染疾病的扩散，防控传染，及时治疗和随访，提高人民群众身心健康</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逐步增加</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逐步增加</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11"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：居民健康水平提高</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中长期</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中长期</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8" w:hRule="atLeast"/>
        </w:trPr>
        <w:tc>
          <w:tcPr>
            <w:tcW w:w="708"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82"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1011"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2488" w:type="dxa"/>
            <w:gridSpan w:val="3"/>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指标</w:t>
            </w:r>
            <w:r>
              <w:rPr>
                <w:rFonts w:ascii="宋体" w:hAnsi="宋体" w:cs="宋体"/>
                <w:color w:val="000000"/>
                <w:kern w:val="0"/>
                <w:sz w:val="16"/>
                <w:szCs w:val="16"/>
              </w:rPr>
              <w:t>1</w:t>
            </w:r>
            <w:r>
              <w:rPr>
                <w:rFonts w:hint="eastAsia" w:ascii="宋体" w:hAnsi="宋体" w:cs="宋体"/>
                <w:color w:val="000000"/>
                <w:kern w:val="0"/>
                <w:sz w:val="16"/>
                <w:szCs w:val="16"/>
              </w:rPr>
              <w:t>：居民对公共卫生服务满意度</w:t>
            </w:r>
          </w:p>
        </w:tc>
        <w:tc>
          <w:tcPr>
            <w:tcW w:w="879"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935"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92%</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65" w:hRule="atLeast"/>
        </w:trPr>
        <w:tc>
          <w:tcPr>
            <w:tcW w:w="6603"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898"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02"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703"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pPr>
        <w:spacing w:line="600" w:lineRule="exact"/>
        <w:ind w:firstLine="640"/>
      </w:pPr>
      <w:r>
        <w:br w:type="page"/>
      </w:r>
    </w:p>
    <w:tbl>
      <w:tblPr>
        <w:tblStyle w:val="4"/>
        <w:tblW w:w="10021" w:type="dxa"/>
        <w:tblInd w:w="0" w:type="dxa"/>
        <w:tblLayout w:type="fixed"/>
        <w:tblCellMar>
          <w:top w:w="0" w:type="dxa"/>
          <w:left w:w="108" w:type="dxa"/>
          <w:bottom w:w="0" w:type="dxa"/>
          <w:right w:w="108" w:type="dxa"/>
        </w:tblCellMar>
      </w:tblPr>
      <w:tblGrid>
        <w:gridCol w:w="705"/>
        <w:gridCol w:w="579"/>
        <w:gridCol w:w="1002"/>
        <w:gridCol w:w="1004"/>
        <w:gridCol w:w="860"/>
        <w:gridCol w:w="259"/>
        <w:gridCol w:w="1377"/>
        <w:gridCol w:w="1142"/>
        <w:gridCol w:w="345"/>
        <w:gridCol w:w="850"/>
        <w:gridCol w:w="40"/>
        <w:gridCol w:w="593"/>
        <w:gridCol w:w="447"/>
        <w:gridCol w:w="818"/>
      </w:tblGrid>
      <w:tr>
        <w:tblPrEx>
          <w:tblLayout w:type="fixed"/>
          <w:tblCellMar>
            <w:top w:w="0" w:type="dxa"/>
            <w:left w:w="108" w:type="dxa"/>
            <w:bottom w:w="0" w:type="dxa"/>
            <w:right w:w="108" w:type="dxa"/>
          </w:tblCellMar>
        </w:tblPrEx>
        <w:trPr>
          <w:trHeight w:val="198" w:hRule="atLeast"/>
        </w:trPr>
        <w:tc>
          <w:tcPr>
            <w:tcW w:w="10021" w:type="dxa"/>
            <w:gridSpan w:val="14"/>
            <w:tcBorders>
              <w:top w:val="nil"/>
              <w:left w:val="nil"/>
              <w:bottom w:val="nil"/>
              <w:right w:val="nil"/>
            </w:tcBorders>
            <w:vAlign w:val="center"/>
          </w:tcPr>
          <w:p>
            <w:pPr>
              <w:jc w:val="center"/>
              <w:rPr>
                <w:rFonts w:ascii="宋体" w:cs="宋体"/>
                <w:b/>
                <w:bCs/>
                <w:color w:val="000000"/>
                <w:kern w:val="0"/>
                <w:sz w:val="24"/>
                <w:szCs w:val="24"/>
              </w:rPr>
            </w:pPr>
            <w:r>
              <w:rPr>
                <w:rFonts w:hint="eastAsia" w:ascii="宋体" w:hAnsi="宋体" w:cs="宋体"/>
                <w:b/>
                <w:bCs/>
                <w:color w:val="000000"/>
                <w:kern w:val="0"/>
                <w:sz w:val="24"/>
                <w:szCs w:val="24"/>
              </w:rPr>
              <w:t>项目支出绩效自评表</w:t>
            </w:r>
          </w:p>
        </w:tc>
      </w:tr>
      <w:tr>
        <w:tblPrEx>
          <w:tblLayout w:type="fixed"/>
          <w:tblCellMar>
            <w:top w:w="0" w:type="dxa"/>
            <w:left w:w="108" w:type="dxa"/>
            <w:bottom w:w="0" w:type="dxa"/>
            <w:right w:w="108" w:type="dxa"/>
          </w:tblCellMar>
        </w:tblPrEx>
        <w:trPr>
          <w:trHeight w:val="198" w:hRule="atLeast"/>
        </w:trPr>
        <w:tc>
          <w:tcPr>
            <w:tcW w:w="10021" w:type="dxa"/>
            <w:gridSpan w:val="14"/>
            <w:tcBorders>
              <w:top w:val="nil"/>
              <w:left w:val="nil"/>
              <w:bottom w:val="nil"/>
              <w:right w:val="nil"/>
            </w:tcBorders>
            <w:vAlign w:val="center"/>
          </w:tcPr>
          <w:p>
            <w:pPr>
              <w:jc w:val="center"/>
              <w:rPr>
                <w:rFonts w:ascii="宋体" w:cs="宋体"/>
                <w:color w:val="000000"/>
                <w:kern w:val="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2020</w:t>
            </w:r>
            <w:r>
              <w:rPr>
                <w:rFonts w:hint="eastAsia" w:ascii="宋体" w:hAnsi="宋体" w:cs="宋体"/>
                <w:color w:val="000000"/>
                <w:kern w:val="0"/>
                <w:sz w:val="22"/>
                <w:szCs w:val="22"/>
              </w:rPr>
              <w:t>年度）</w:t>
            </w:r>
          </w:p>
        </w:tc>
      </w:tr>
      <w:tr>
        <w:tblPrEx>
          <w:tblLayout w:type="fixed"/>
          <w:tblCellMar>
            <w:top w:w="0" w:type="dxa"/>
            <w:left w:w="108" w:type="dxa"/>
            <w:bottom w:w="0" w:type="dxa"/>
            <w:right w:w="108" w:type="dxa"/>
          </w:tblCellMar>
        </w:tblPrEx>
        <w:trPr>
          <w:trHeight w:val="155" w:hRule="atLeast"/>
        </w:trPr>
        <w:tc>
          <w:tcPr>
            <w:tcW w:w="128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项目名称</w:t>
            </w:r>
          </w:p>
        </w:tc>
        <w:tc>
          <w:tcPr>
            <w:tcW w:w="8737" w:type="dxa"/>
            <w:gridSpan w:val="1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自治区计划生育服务补助资金</w:t>
            </w:r>
          </w:p>
        </w:tc>
      </w:tr>
      <w:tr>
        <w:tblPrEx>
          <w:tblLayout w:type="fixed"/>
          <w:tblCellMar>
            <w:top w:w="0" w:type="dxa"/>
            <w:left w:w="108" w:type="dxa"/>
            <w:bottom w:w="0" w:type="dxa"/>
            <w:right w:w="108" w:type="dxa"/>
          </w:tblCellMar>
        </w:tblPrEx>
        <w:trPr>
          <w:trHeight w:val="155" w:hRule="atLeast"/>
        </w:trPr>
        <w:tc>
          <w:tcPr>
            <w:tcW w:w="128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主管部门</w:t>
            </w:r>
          </w:p>
        </w:tc>
        <w:tc>
          <w:tcPr>
            <w:tcW w:w="4502" w:type="dxa"/>
            <w:gridSpan w:val="5"/>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昌吉州卫生健康委员会</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实施单位</w:t>
            </w:r>
          </w:p>
        </w:tc>
        <w:tc>
          <w:tcPr>
            <w:tcW w:w="3093"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玛纳斯县卫生健康委员会</w:t>
            </w:r>
          </w:p>
        </w:tc>
      </w:tr>
      <w:tr>
        <w:tblPrEx>
          <w:tblLayout w:type="fixed"/>
          <w:tblCellMar>
            <w:top w:w="0" w:type="dxa"/>
            <w:left w:w="108" w:type="dxa"/>
            <w:bottom w:w="0" w:type="dxa"/>
            <w:right w:w="108" w:type="dxa"/>
          </w:tblCellMar>
        </w:tblPrEx>
        <w:trPr>
          <w:trHeight w:val="155" w:hRule="atLeast"/>
        </w:trPr>
        <w:tc>
          <w:tcPr>
            <w:tcW w:w="1284" w:type="dxa"/>
            <w:gridSpan w:val="2"/>
            <w:vMerge w:val="restart"/>
            <w:tcBorders>
              <w:top w:val="single" w:color="auto" w:sz="4" w:space="0"/>
              <w:left w:val="single" w:color="auto" w:sz="4" w:space="0"/>
              <w:bottom w:val="single" w:color="000000"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项目资金（万元）</w:t>
            </w:r>
          </w:p>
        </w:tc>
        <w:tc>
          <w:tcPr>
            <w:tcW w:w="200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1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年初预算数</w:t>
            </w:r>
          </w:p>
        </w:tc>
        <w:tc>
          <w:tcPr>
            <w:tcW w:w="137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全年预算数</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全年执行数</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1080"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执行率</w:t>
            </w:r>
          </w:p>
        </w:tc>
        <w:tc>
          <w:tcPr>
            <w:tcW w:w="81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55" w:hRule="atLeast"/>
        </w:trPr>
        <w:tc>
          <w:tcPr>
            <w:tcW w:w="128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06" w:type="dxa"/>
            <w:gridSpan w:val="2"/>
            <w:tcBorders>
              <w:top w:val="single" w:color="auto" w:sz="4" w:space="0"/>
              <w:left w:val="nil"/>
              <w:bottom w:val="single" w:color="auto" w:sz="4" w:space="0"/>
              <w:right w:val="single" w:color="auto" w:sz="4" w:space="0"/>
            </w:tcBorders>
            <w:vAlign w:val="center"/>
          </w:tcPr>
          <w:p>
            <w:pPr>
              <w:rPr>
                <w:rFonts w:ascii="宋体" w:cs="宋体"/>
                <w:color w:val="000000"/>
                <w:kern w:val="0"/>
                <w:sz w:val="16"/>
                <w:szCs w:val="16"/>
              </w:rPr>
            </w:pPr>
            <w:r>
              <w:rPr>
                <w:rFonts w:hint="eastAsia" w:ascii="宋体" w:hAnsi="宋体" w:cs="宋体"/>
                <w:color w:val="000000"/>
                <w:kern w:val="0"/>
                <w:sz w:val="16"/>
                <w:szCs w:val="16"/>
              </w:rPr>
              <w:t>年度资金总额</w:t>
            </w:r>
          </w:p>
        </w:tc>
        <w:tc>
          <w:tcPr>
            <w:tcW w:w="111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377" w:type="dxa"/>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c>
          <w:tcPr>
            <w:tcW w:w="1080"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81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55" w:hRule="atLeast"/>
        </w:trPr>
        <w:tc>
          <w:tcPr>
            <w:tcW w:w="128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0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其中：当年财政拨款</w:t>
            </w:r>
          </w:p>
        </w:tc>
        <w:tc>
          <w:tcPr>
            <w:tcW w:w="111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377" w:type="dxa"/>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2.24</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80"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1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55" w:hRule="atLeast"/>
        </w:trPr>
        <w:tc>
          <w:tcPr>
            <w:tcW w:w="128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0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上年结转资金</w:t>
            </w:r>
          </w:p>
        </w:tc>
        <w:tc>
          <w:tcPr>
            <w:tcW w:w="111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7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80"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1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55" w:hRule="atLeast"/>
        </w:trPr>
        <w:tc>
          <w:tcPr>
            <w:tcW w:w="1284"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cs="宋体"/>
                <w:color w:val="000000"/>
                <w:kern w:val="0"/>
                <w:sz w:val="16"/>
                <w:szCs w:val="16"/>
              </w:rPr>
            </w:pPr>
          </w:p>
        </w:tc>
        <w:tc>
          <w:tcPr>
            <w:tcW w:w="2006"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其他资金</w:t>
            </w:r>
          </w:p>
        </w:tc>
        <w:tc>
          <w:tcPr>
            <w:tcW w:w="1119"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377"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4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19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c>
          <w:tcPr>
            <w:tcW w:w="1080" w:type="dxa"/>
            <w:gridSpan w:val="3"/>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18"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55" w:hRule="atLeast"/>
        </w:trPr>
        <w:tc>
          <w:tcPr>
            <w:tcW w:w="705"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年度总体目标</w:t>
            </w:r>
          </w:p>
        </w:tc>
        <w:tc>
          <w:tcPr>
            <w:tcW w:w="5081" w:type="dxa"/>
            <w:gridSpan w:val="6"/>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预期目标</w:t>
            </w:r>
          </w:p>
        </w:tc>
        <w:tc>
          <w:tcPr>
            <w:tcW w:w="4235" w:type="dxa"/>
            <w:gridSpan w:val="7"/>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988" w:hRule="atLeast"/>
        </w:trPr>
        <w:tc>
          <w:tcPr>
            <w:tcW w:w="705"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5081" w:type="dxa"/>
            <w:gridSpan w:val="6"/>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hint="eastAsia" w:ascii="宋体" w:hAnsi="宋体" w:cs="宋体"/>
                <w:color w:val="000000"/>
                <w:kern w:val="0"/>
                <w:sz w:val="16"/>
                <w:szCs w:val="16"/>
              </w:rPr>
              <w:t>确保宣传员岗位津贴按时发放到位。完成昌吉下达各项计划目标任务，使对面对面入户覆盖率达到</w:t>
            </w:r>
            <w:r>
              <w:rPr>
                <w:rFonts w:ascii="宋体" w:hAnsi="宋体" w:cs="宋体"/>
                <w:color w:val="000000"/>
                <w:kern w:val="0"/>
                <w:sz w:val="16"/>
                <w:szCs w:val="16"/>
              </w:rPr>
              <w:t>100%</w:t>
            </w:r>
            <w:r>
              <w:rPr>
                <w:rFonts w:hint="eastAsia" w:ascii="宋体" w:hAnsi="宋体" w:cs="宋体"/>
                <w:color w:val="000000"/>
                <w:kern w:val="0"/>
                <w:sz w:val="16"/>
                <w:szCs w:val="16"/>
              </w:rPr>
              <w:t>，群众政策知晓率达到</w:t>
            </w:r>
            <w:r>
              <w:rPr>
                <w:rFonts w:ascii="宋体" w:hAnsi="宋体" w:cs="宋体"/>
                <w:color w:val="000000"/>
                <w:kern w:val="0"/>
                <w:sz w:val="16"/>
                <w:szCs w:val="16"/>
              </w:rPr>
              <w:t>95%</w:t>
            </w:r>
            <w:r>
              <w:rPr>
                <w:rFonts w:hint="eastAsia" w:ascii="宋体" w:hAnsi="宋体" w:cs="宋体"/>
                <w:color w:val="000000"/>
                <w:kern w:val="0"/>
                <w:sz w:val="16"/>
                <w:szCs w:val="16"/>
              </w:rPr>
              <w:t>，奖扶准确率发放率</w:t>
            </w:r>
            <w:r>
              <w:rPr>
                <w:rFonts w:ascii="宋体" w:hAnsi="宋体" w:cs="宋体"/>
                <w:color w:val="000000"/>
                <w:kern w:val="0"/>
                <w:sz w:val="16"/>
                <w:szCs w:val="16"/>
              </w:rPr>
              <w:t>100%</w:t>
            </w:r>
            <w:r>
              <w:rPr>
                <w:rFonts w:hint="eastAsia" w:ascii="宋体" w:hAnsi="宋体" w:cs="宋体"/>
                <w:color w:val="000000"/>
                <w:kern w:val="0"/>
                <w:sz w:val="16"/>
                <w:szCs w:val="16"/>
              </w:rPr>
              <w:t>，出生人口政策符合率</w:t>
            </w:r>
            <w:r>
              <w:rPr>
                <w:rFonts w:ascii="宋体" w:hAnsi="宋体" w:cs="宋体"/>
                <w:color w:val="000000"/>
                <w:kern w:val="0"/>
                <w:sz w:val="16"/>
                <w:szCs w:val="16"/>
              </w:rPr>
              <w:t>99%</w:t>
            </w:r>
            <w:r>
              <w:rPr>
                <w:rFonts w:hint="eastAsia" w:ascii="宋体" w:hAnsi="宋体" w:cs="宋体"/>
                <w:color w:val="000000"/>
                <w:kern w:val="0"/>
                <w:sz w:val="16"/>
                <w:szCs w:val="16"/>
              </w:rPr>
              <w:t>以上。“降低并稳定生育水平，实行各民族平等的计划生育政策”为目标，实行各民族平等的计划生育政策，夯实基层基础，加强宣传引导，完善政策导向机制，倡导少生优生，引导群众负责、有计划安排生育，违法生育得到有效遏制，群众生育观念明显转变。</w:t>
            </w:r>
          </w:p>
        </w:tc>
        <w:tc>
          <w:tcPr>
            <w:tcW w:w="4235" w:type="dxa"/>
            <w:gridSpan w:val="7"/>
            <w:tcBorders>
              <w:top w:val="single" w:color="auto" w:sz="4" w:space="0"/>
              <w:left w:val="nil"/>
              <w:bottom w:val="single" w:color="auto" w:sz="4" w:space="0"/>
              <w:right w:val="single" w:color="auto" w:sz="4" w:space="0"/>
            </w:tcBorders>
            <w:vAlign w:val="center"/>
          </w:tcPr>
          <w:p>
            <w:pPr>
              <w:jc w:val="left"/>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底，玛纳斯县总人口为</w:t>
            </w:r>
            <w:r>
              <w:rPr>
                <w:rFonts w:ascii="宋体" w:hAnsi="宋体" w:cs="宋体"/>
                <w:color w:val="000000"/>
                <w:kern w:val="0"/>
                <w:sz w:val="16"/>
                <w:szCs w:val="16"/>
              </w:rPr>
              <w:t>147803</w:t>
            </w:r>
            <w:r>
              <w:rPr>
                <w:rFonts w:hint="eastAsia" w:ascii="宋体" w:hAnsi="宋体" w:cs="宋体"/>
                <w:color w:val="000000"/>
                <w:kern w:val="0"/>
                <w:sz w:val="16"/>
                <w:szCs w:val="16"/>
              </w:rPr>
              <w:t>人，当年出生</w:t>
            </w:r>
            <w:r>
              <w:rPr>
                <w:rFonts w:ascii="宋体" w:hAnsi="宋体" w:cs="宋体"/>
                <w:color w:val="000000"/>
                <w:kern w:val="0"/>
                <w:sz w:val="16"/>
                <w:szCs w:val="16"/>
              </w:rPr>
              <w:t>804</w:t>
            </w:r>
            <w:r>
              <w:rPr>
                <w:rFonts w:hint="eastAsia" w:ascii="宋体" w:hAnsi="宋体" w:cs="宋体"/>
                <w:color w:val="000000"/>
                <w:kern w:val="0"/>
                <w:sz w:val="16"/>
                <w:szCs w:val="16"/>
              </w:rPr>
              <w:t>人，全年人口出生率</w:t>
            </w:r>
            <w:r>
              <w:rPr>
                <w:rFonts w:ascii="宋体" w:hAnsi="宋体" w:cs="宋体"/>
                <w:color w:val="000000"/>
                <w:kern w:val="0"/>
                <w:sz w:val="16"/>
                <w:szCs w:val="16"/>
              </w:rPr>
              <w:t>5.68</w:t>
            </w:r>
            <w:r>
              <w:rPr>
                <w:rFonts w:hint="eastAsia" w:ascii="宋体" w:hAnsi="宋体" w:cs="宋体"/>
                <w:color w:val="000000"/>
                <w:kern w:val="0"/>
                <w:sz w:val="16"/>
                <w:szCs w:val="16"/>
              </w:rPr>
              <w:t>‰，政策符合率达</w:t>
            </w:r>
            <w:r>
              <w:rPr>
                <w:rFonts w:ascii="宋体" w:hAnsi="宋体" w:cs="宋体"/>
                <w:color w:val="000000"/>
                <w:kern w:val="0"/>
                <w:sz w:val="16"/>
                <w:szCs w:val="16"/>
              </w:rPr>
              <w:t>100%</w:t>
            </w:r>
            <w:r>
              <w:rPr>
                <w:rFonts w:hint="eastAsia" w:ascii="宋体" w:hAnsi="宋体" w:cs="宋体"/>
                <w:color w:val="000000"/>
                <w:kern w:val="0"/>
                <w:sz w:val="16"/>
                <w:szCs w:val="16"/>
              </w:rPr>
              <w:t>；已婚育龄妇女</w:t>
            </w:r>
            <w:r>
              <w:rPr>
                <w:rFonts w:ascii="宋体" w:hAnsi="宋体" w:cs="宋体"/>
                <w:color w:val="000000"/>
                <w:kern w:val="0"/>
                <w:sz w:val="16"/>
                <w:szCs w:val="16"/>
              </w:rPr>
              <w:t>24238</w:t>
            </w:r>
            <w:r>
              <w:rPr>
                <w:rFonts w:hint="eastAsia" w:ascii="宋体" w:hAnsi="宋体" w:cs="宋体"/>
                <w:color w:val="000000"/>
                <w:kern w:val="0"/>
                <w:sz w:val="16"/>
                <w:szCs w:val="16"/>
              </w:rPr>
              <w:t>人，计划生育“两证”领证率达</w:t>
            </w:r>
            <w:r>
              <w:rPr>
                <w:rFonts w:ascii="宋体" w:hAnsi="宋体" w:cs="宋体"/>
                <w:color w:val="000000"/>
                <w:kern w:val="0"/>
                <w:sz w:val="16"/>
                <w:szCs w:val="16"/>
              </w:rPr>
              <w:t>53.71%</w:t>
            </w:r>
            <w:r>
              <w:rPr>
                <w:rFonts w:hint="eastAsia" w:ascii="宋体" w:hAnsi="宋体" w:cs="宋体"/>
                <w:color w:val="000000"/>
                <w:kern w:val="0"/>
                <w:sz w:val="16"/>
                <w:szCs w:val="16"/>
              </w:rPr>
              <w:t>；综合避孕率达</w:t>
            </w:r>
            <w:r>
              <w:rPr>
                <w:rFonts w:ascii="宋体" w:hAnsi="宋体" w:cs="宋体"/>
                <w:color w:val="000000"/>
                <w:kern w:val="0"/>
                <w:sz w:val="16"/>
                <w:szCs w:val="16"/>
              </w:rPr>
              <w:t>88.56%</w:t>
            </w:r>
            <w:r>
              <w:rPr>
                <w:rFonts w:hint="eastAsia" w:ascii="宋体" w:hAnsi="宋体" w:cs="宋体"/>
                <w:color w:val="000000"/>
                <w:kern w:val="0"/>
                <w:sz w:val="16"/>
                <w:szCs w:val="16"/>
              </w:rPr>
              <w:t>；季度查环查孕率</w:t>
            </w:r>
            <w:r>
              <w:rPr>
                <w:rFonts w:ascii="宋体" w:hAnsi="宋体" w:cs="宋体"/>
                <w:color w:val="000000"/>
                <w:kern w:val="0"/>
                <w:sz w:val="16"/>
                <w:szCs w:val="16"/>
              </w:rPr>
              <w:t>100%</w:t>
            </w:r>
            <w:r>
              <w:rPr>
                <w:rFonts w:hint="eastAsia" w:ascii="宋体" w:hAnsi="宋体" w:cs="宋体"/>
                <w:color w:val="000000"/>
                <w:kern w:val="0"/>
                <w:sz w:val="16"/>
                <w:szCs w:val="16"/>
              </w:rPr>
              <w:t>、国免孕优项目监测率</w:t>
            </w:r>
            <w:r>
              <w:rPr>
                <w:rFonts w:ascii="宋体" w:hAnsi="宋体" w:cs="宋体"/>
                <w:color w:val="000000"/>
                <w:kern w:val="0"/>
                <w:sz w:val="16"/>
                <w:szCs w:val="16"/>
              </w:rPr>
              <w:t>100%</w:t>
            </w:r>
            <w:r>
              <w:rPr>
                <w:rFonts w:hint="eastAsia" w:ascii="宋体" w:hAnsi="宋体" w:cs="宋体"/>
                <w:color w:val="000000"/>
                <w:kern w:val="0"/>
                <w:sz w:val="16"/>
                <w:szCs w:val="16"/>
              </w:rPr>
              <w:t>、免费婚检率</w:t>
            </w:r>
            <w:r>
              <w:rPr>
                <w:rFonts w:ascii="宋体" w:hAnsi="宋体" w:cs="宋体"/>
                <w:color w:val="000000"/>
                <w:kern w:val="0"/>
                <w:sz w:val="16"/>
                <w:szCs w:val="16"/>
              </w:rPr>
              <w:t>83%</w:t>
            </w:r>
            <w:r>
              <w:rPr>
                <w:rFonts w:hint="eastAsia" w:ascii="宋体" w:hAnsi="宋体" w:cs="宋体"/>
                <w:color w:val="000000"/>
                <w:kern w:val="0"/>
                <w:sz w:val="16"/>
                <w:szCs w:val="16"/>
              </w:rPr>
              <w:t>。顺利完成自治州下达的年度计划生育各项指标。</w:t>
            </w:r>
          </w:p>
        </w:tc>
      </w:tr>
      <w:tr>
        <w:tblPrEx>
          <w:tblLayout w:type="fixed"/>
          <w:tblCellMar>
            <w:top w:w="0" w:type="dxa"/>
            <w:left w:w="108" w:type="dxa"/>
            <w:bottom w:w="0" w:type="dxa"/>
            <w:right w:w="108" w:type="dxa"/>
          </w:tblCellMar>
        </w:tblPrEx>
        <w:trPr>
          <w:trHeight w:val="131" w:hRule="atLeast"/>
        </w:trPr>
        <w:tc>
          <w:tcPr>
            <w:tcW w:w="705"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绩效指标</w:t>
            </w:r>
          </w:p>
        </w:tc>
        <w:tc>
          <w:tcPr>
            <w:tcW w:w="57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一级指标</w:t>
            </w:r>
          </w:p>
        </w:tc>
        <w:tc>
          <w:tcPr>
            <w:tcW w:w="100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二级指标</w:t>
            </w:r>
          </w:p>
        </w:tc>
        <w:tc>
          <w:tcPr>
            <w:tcW w:w="186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三级指标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实际</w:t>
            </w:r>
          </w:p>
        </w:tc>
        <w:tc>
          <w:tcPr>
            <w:tcW w:w="89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分值</w:t>
            </w:r>
          </w:p>
        </w:tc>
        <w:tc>
          <w:tcPr>
            <w:tcW w:w="5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得分</w:t>
            </w:r>
          </w:p>
        </w:tc>
        <w:tc>
          <w:tcPr>
            <w:tcW w:w="126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指标值</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完成值</w:t>
            </w:r>
          </w:p>
        </w:tc>
        <w:tc>
          <w:tcPr>
            <w:tcW w:w="890"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593" w:type="dxa"/>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c>
          <w:tcPr>
            <w:tcW w:w="1265" w:type="dxa"/>
            <w:gridSpan w:val="2"/>
            <w:vMerge w:val="continue"/>
            <w:tcBorders>
              <w:top w:val="nil"/>
              <w:left w:val="nil"/>
              <w:bottom w:val="single" w:color="auto" w:sz="4" w:space="0"/>
              <w:right w:val="single" w:color="auto" w:sz="4" w:space="0"/>
            </w:tcBorders>
            <w:vAlign w:val="center"/>
          </w:tcPr>
          <w:p>
            <w:pPr>
              <w:jc w:val="left"/>
              <w:rPr>
                <w:rFonts w:ascii="宋体" w:cs="宋体"/>
                <w:color w:val="000000"/>
                <w:kern w:val="0"/>
                <w:sz w:val="16"/>
                <w:szCs w:val="16"/>
              </w:rPr>
            </w:pPr>
          </w:p>
        </w:tc>
      </w:tr>
      <w:tr>
        <w:tblPrEx>
          <w:tblLayout w:type="fixed"/>
          <w:tblCellMar>
            <w:top w:w="0" w:type="dxa"/>
            <w:left w:w="108" w:type="dxa"/>
            <w:bottom w:w="0" w:type="dxa"/>
            <w:right w:w="108" w:type="dxa"/>
          </w:tblCellMar>
        </w:tblPrEx>
        <w:trPr>
          <w:trHeight w:val="480"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产出指标</w:t>
            </w:r>
          </w:p>
        </w:tc>
        <w:tc>
          <w:tcPr>
            <w:tcW w:w="100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数量指标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违法生育例数</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控制在目标责任管理书指标范围之内</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控制在目标责任管理书指标范围之内</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全县自然村宣传员</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=154</w:t>
            </w:r>
            <w:r>
              <w:rPr>
                <w:rFonts w:hint="eastAsia" w:ascii="宋体" w:hAnsi="宋体" w:cs="宋体"/>
                <w:color w:val="000000"/>
                <w:kern w:val="0"/>
                <w:sz w:val="16"/>
                <w:szCs w:val="16"/>
              </w:rPr>
              <w:t>人</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=154</w:t>
            </w:r>
            <w:r>
              <w:rPr>
                <w:rFonts w:hint="eastAsia" w:ascii="宋体" w:hAnsi="宋体" w:cs="宋体"/>
                <w:color w:val="000000"/>
                <w:kern w:val="0"/>
                <w:sz w:val="16"/>
                <w:szCs w:val="16"/>
              </w:rPr>
              <w:t>人</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0"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质量指标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人口出生率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控制在目标管理责任书指标范围之内</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控制在目标管理责任书指标范围之内</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95"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人口自然增长率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控制在目标责任书指标范围之内千分比</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控制在目标责任书指标范围之内千分比</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63"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出生人口政策符合率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99.25%</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99.25%</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15"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年度各类统计报表上报准确率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98%</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98%</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长效避孕节育措施落实率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=85%</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=85%</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长效避孕节育措施的及时率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63"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时效指标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年度统计报表上报时间（村宣传员岗位津贴）</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w:t>
            </w:r>
            <w:r>
              <w:rPr>
                <w:rFonts w:ascii="宋体" w:hAnsi="宋体" w:cs="宋体"/>
                <w:color w:val="000000"/>
                <w:kern w:val="0"/>
                <w:sz w:val="16"/>
                <w:szCs w:val="16"/>
              </w:rPr>
              <w:t>11</w:t>
            </w:r>
            <w:r>
              <w:rPr>
                <w:rFonts w:hint="eastAsia" w:ascii="宋体" w:hAnsi="宋体" w:cs="宋体"/>
                <w:color w:val="000000"/>
                <w:kern w:val="0"/>
                <w:sz w:val="16"/>
                <w:szCs w:val="16"/>
              </w:rPr>
              <w:t>月底</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2020</w:t>
            </w:r>
            <w:r>
              <w:rPr>
                <w:rFonts w:hint="eastAsia" w:ascii="宋体" w:hAnsi="宋体" w:cs="宋体"/>
                <w:color w:val="000000"/>
                <w:kern w:val="0"/>
                <w:sz w:val="16"/>
                <w:szCs w:val="16"/>
              </w:rPr>
              <w:t>年</w:t>
            </w:r>
            <w:r>
              <w:rPr>
                <w:rFonts w:ascii="宋体" w:hAnsi="宋体" w:cs="宋体"/>
                <w:color w:val="000000"/>
                <w:kern w:val="0"/>
                <w:sz w:val="16"/>
                <w:szCs w:val="16"/>
              </w:rPr>
              <w:t>11</w:t>
            </w:r>
            <w:r>
              <w:rPr>
                <w:rFonts w:hint="eastAsia" w:ascii="宋体" w:hAnsi="宋体" w:cs="宋体"/>
                <w:color w:val="000000"/>
                <w:kern w:val="0"/>
                <w:sz w:val="16"/>
                <w:szCs w:val="16"/>
              </w:rPr>
              <w:t>月底</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25"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成本指标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村宣传员岗位津贴发放标准（每人每月）</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250</w:t>
            </w:r>
            <w:r>
              <w:rPr>
                <w:rFonts w:hint="eastAsia" w:ascii="宋体" w:hAnsi="宋体" w:cs="宋体"/>
                <w:color w:val="000000"/>
                <w:kern w:val="0"/>
                <w:sz w:val="16"/>
                <w:szCs w:val="16"/>
              </w:rPr>
              <w:t>元</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250</w:t>
            </w:r>
            <w:r>
              <w:rPr>
                <w:rFonts w:hint="eastAsia" w:ascii="宋体" w:hAnsi="宋体" w:cs="宋体"/>
                <w:color w:val="000000"/>
                <w:kern w:val="0"/>
                <w:sz w:val="16"/>
                <w:szCs w:val="16"/>
              </w:rPr>
              <w:t>元</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63"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效益指标</w:t>
            </w:r>
          </w:p>
        </w:tc>
        <w:tc>
          <w:tcPr>
            <w:tcW w:w="1002" w:type="dxa"/>
            <w:tcBorders>
              <w:top w:val="nil"/>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经济效益指标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社会效益指标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村（居）民优生优育、生殖健康知识知晓率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63"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tcBorders>
              <w:top w:val="single" w:color="auto" w:sz="4" w:space="0"/>
              <w:left w:val="nil"/>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生态效益指标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63"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002"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可持续影响指标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已婚育龄妇女优生优育水平、避孕节育水平</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逐步提高</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restart"/>
            <w:tcBorders>
              <w:top w:val="nil"/>
              <w:left w:val="single" w:color="auto" w:sz="4" w:space="0"/>
              <w:bottom w:val="nil"/>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满意度指标</w:t>
            </w:r>
          </w:p>
        </w:tc>
        <w:tc>
          <w:tcPr>
            <w:tcW w:w="1002" w:type="dxa"/>
            <w:vMerge w:val="restart"/>
            <w:tcBorders>
              <w:top w:val="nil"/>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服务对象满意度指标</w:t>
            </w: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村（居）民对计划生育工作的满意度</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95%</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95%</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31" w:hRule="atLeast"/>
        </w:trPr>
        <w:tc>
          <w:tcPr>
            <w:tcW w:w="705"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579" w:type="dxa"/>
            <w:vMerge w:val="continue"/>
            <w:tcBorders>
              <w:top w:val="nil"/>
              <w:left w:val="single" w:color="auto" w:sz="4" w:space="0"/>
              <w:bottom w:val="nil"/>
              <w:right w:val="single" w:color="auto" w:sz="4" w:space="0"/>
            </w:tcBorders>
            <w:vAlign w:val="center"/>
          </w:tcPr>
          <w:p>
            <w:pPr>
              <w:jc w:val="left"/>
              <w:rPr>
                <w:rFonts w:ascii="宋体" w:cs="宋体"/>
                <w:color w:val="000000"/>
                <w:kern w:val="0"/>
                <w:sz w:val="16"/>
                <w:szCs w:val="16"/>
              </w:rPr>
            </w:pPr>
          </w:p>
        </w:tc>
        <w:tc>
          <w:tcPr>
            <w:tcW w:w="1002" w:type="dxa"/>
            <w:vMerge w:val="continue"/>
            <w:tcBorders>
              <w:top w:val="nil"/>
              <w:left w:val="single" w:color="auto" w:sz="4" w:space="0"/>
              <w:bottom w:val="single" w:color="auto" w:sz="4" w:space="0"/>
              <w:right w:val="single" w:color="auto" w:sz="4" w:space="0"/>
            </w:tcBorders>
            <w:vAlign w:val="center"/>
          </w:tcPr>
          <w:p>
            <w:pPr>
              <w:jc w:val="left"/>
              <w:rPr>
                <w:rFonts w:ascii="宋体" w:cs="宋体"/>
                <w:color w:val="000000"/>
                <w:kern w:val="0"/>
                <w:sz w:val="16"/>
                <w:szCs w:val="16"/>
              </w:rPr>
            </w:pPr>
          </w:p>
        </w:tc>
        <w:tc>
          <w:tcPr>
            <w:tcW w:w="1864" w:type="dxa"/>
            <w:gridSpan w:val="2"/>
            <w:tcBorders>
              <w:top w:val="single" w:color="auto" w:sz="4" w:space="0"/>
              <w:left w:val="nil"/>
              <w:bottom w:val="single" w:color="auto" w:sz="4" w:space="0"/>
              <w:right w:val="single" w:color="000000"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目标人群的满意率</w:t>
            </w:r>
          </w:p>
        </w:tc>
        <w:tc>
          <w:tcPr>
            <w:tcW w:w="1636"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w:t>
            </w:r>
            <w:r>
              <w:rPr>
                <w:rFonts w:ascii="宋体" w:hAnsi="宋体" w:cs="宋体"/>
                <w:color w:val="000000"/>
                <w:kern w:val="0"/>
                <w:sz w:val="16"/>
                <w:szCs w:val="16"/>
              </w:rPr>
              <w:t>90%</w:t>
            </w:r>
          </w:p>
        </w:tc>
        <w:tc>
          <w:tcPr>
            <w:tcW w:w="1487" w:type="dxa"/>
            <w:gridSpan w:val="2"/>
            <w:tcBorders>
              <w:top w:val="nil"/>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90%</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5</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35" w:hRule="atLeast"/>
        </w:trPr>
        <w:tc>
          <w:tcPr>
            <w:tcW w:w="7273"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总分</w:t>
            </w:r>
          </w:p>
        </w:tc>
        <w:tc>
          <w:tcPr>
            <w:tcW w:w="890"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593" w:type="dxa"/>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ascii="宋体" w:hAnsi="宋体" w:cs="宋体"/>
                <w:color w:val="000000"/>
                <w:kern w:val="0"/>
                <w:sz w:val="16"/>
                <w:szCs w:val="16"/>
              </w:rPr>
              <w:t>100</w:t>
            </w:r>
          </w:p>
        </w:tc>
        <w:tc>
          <w:tcPr>
            <w:tcW w:w="1265" w:type="dxa"/>
            <w:gridSpan w:val="2"/>
            <w:tcBorders>
              <w:top w:val="single" w:color="auto" w:sz="4" w:space="0"/>
              <w:left w:val="nil"/>
              <w:bottom w:val="single" w:color="auto" w:sz="4" w:space="0"/>
              <w:right w:val="single" w:color="auto" w:sz="4" w:space="0"/>
            </w:tcBorders>
            <w:vAlign w:val="center"/>
          </w:tcPr>
          <w:p>
            <w:pPr>
              <w:jc w:val="center"/>
              <w:rPr>
                <w:rFonts w:ascii="宋体" w:cs="宋体"/>
                <w:color w:val="000000"/>
                <w:kern w:val="0"/>
                <w:sz w:val="16"/>
                <w:szCs w:val="16"/>
              </w:rPr>
            </w:pPr>
            <w:r>
              <w:rPr>
                <w:rFonts w:hint="eastAsia" w:ascii="宋体" w:hAnsi="宋体" w:cs="宋体"/>
                <w:color w:val="000000"/>
                <w:kern w:val="0"/>
                <w:sz w:val="16"/>
                <w:szCs w:val="16"/>
              </w:rPr>
              <w:t>　</w:t>
            </w:r>
          </w:p>
        </w:tc>
      </w:tr>
    </w:tbl>
    <w:p>
      <w:pPr>
        <w:jc w:val="center"/>
      </w:pPr>
    </w:p>
    <w:p>
      <w:pPr>
        <w:jc w:val="left"/>
      </w:pPr>
      <w:r>
        <w:br w:type="page"/>
      </w:r>
    </w:p>
    <w:tbl>
      <w:tblPr>
        <w:tblStyle w:val="4"/>
        <w:tblW w:w="9740" w:type="dxa"/>
        <w:tblInd w:w="0" w:type="dxa"/>
        <w:tblLayout w:type="fixed"/>
        <w:tblCellMar>
          <w:top w:w="0" w:type="dxa"/>
          <w:left w:w="108" w:type="dxa"/>
          <w:bottom w:w="0" w:type="dxa"/>
          <w:right w:w="108" w:type="dxa"/>
        </w:tblCellMar>
      </w:tblPr>
      <w:tblGrid>
        <w:gridCol w:w="657"/>
        <w:gridCol w:w="539"/>
        <w:gridCol w:w="953"/>
        <w:gridCol w:w="955"/>
        <w:gridCol w:w="1052"/>
        <w:gridCol w:w="325"/>
        <w:gridCol w:w="1097"/>
        <w:gridCol w:w="988"/>
        <w:gridCol w:w="325"/>
        <w:gridCol w:w="501"/>
        <w:gridCol w:w="604"/>
        <w:gridCol w:w="127"/>
        <w:gridCol w:w="840"/>
        <w:gridCol w:w="777"/>
      </w:tblGrid>
      <w:tr>
        <w:tblPrEx>
          <w:tblLayout w:type="fixed"/>
          <w:tblCellMar>
            <w:top w:w="0" w:type="dxa"/>
            <w:left w:w="108" w:type="dxa"/>
            <w:bottom w:w="0" w:type="dxa"/>
            <w:right w:w="108" w:type="dxa"/>
          </w:tblCellMar>
        </w:tblPrEx>
        <w:trPr>
          <w:trHeight w:val="286" w:hRule="atLeast"/>
        </w:trPr>
        <w:tc>
          <w:tcPr>
            <w:tcW w:w="9740" w:type="dxa"/>
            <w:gridSpan w:val="14"/>
            <w:tcBorders>
              <w:top w:val="nil"/>
              <w:left w:val="nil"/>
              <w:bottom w:val="nil"/>
              <w:right w:val="nil"/>
            </w:tcBorders>
            <w:shd w:val="clear" w:color="auto" w:fill="auto"/>
            <w:vAlign w:val="center"/>
          </w:tcPr>
          <w:p>
            <w:pPr>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84" w:hRule="atLeast"/>
        </w:trPr>
        <w:tc>
          <w:tcPr>
            <w:tcW w:w="9740" w:type="dxa"/>
            <w:gridSpan w:val="14"/>
            <w:tcBorders>
              <w:top w:val="nil"/>
              <w:left w:val="nil"/>
              <w:bottom w:val="nil"/>
              <w:right w:val="nil"/>
            </w:tcBorders>
            <w:shd w:val="clear" w:color="auto" w:fill="auto"/>
            <w:vAlign w:val="center"/>
          </w:tcPr>
          <w:p>
            <w:pPr>
              <w:jc w:val="center"/>
              <w:rPr>
                <w:rFonts w:ascii="宋体" w:hAnsi="宋体" w:cs="宋体"/>
                <w:color w:val="000000"/>
                <w:kern w:val="0"/>
                <w:sz w:val="22"/>
                <w:szCs w:val="22"/>
              </w:rPr>
            </w:pPr>
            <w:r>
              <w:rPr>
                <w:rFonts w:hint="eastAsia" w:ascii="宋体" w:hAnsi="宋体" w:cs="宋体"/>
                <w:color w:val="000000"/>
                <w:kern w:val="0"/>
                <w:sz w:val="22"/>
                <w:szCs w:val="22"/>
              </w:rPr>
              <w:t>（2020年度）</w:t>
            </w:r>
          </w:p>
        </w:tc>
      </w:tr>
      <w:tr>
        <w:tblPrEx>
          <w:tblLayout w:type="fixed"/>
          <w:tblCellMar>
            <w:top w:w="0" w:type="dxa"/>
            <w:left w:w="108" w:type="dxa"/>
            <w:bottom w:w="0" w:type="dxa"/>
            <w:right w:w="108" w:type="dxa"/>
          </w:tblCellMar>
        </w:tblPrEx>
        <w:trPr>
          <w:trHeight w:val="364" w:hRule="atLeast"/>
        </w:trPr>
        <w:tc>
          <w:tcPr>
            <w:tcW w:w="11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项目名称</w:t>
            </w:r>
          </w:p>
        </w:tc>
        <w:tc>
          <w:tcPr>
            <w:tcW w:w="8544" w:type="dxa"/>
            <w:gridSpan w:val="1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2020年农村“厕所革命”整村推进财政奖补资金</w:t>
            </w:r>
          </w:p>
        </w:tc>
      </w:tr>
      <w:tr>
        <w:tblPrEx>
          <w:tblLayout w:type="fixed"/>
          <w:tblCellMar>
            <w:top w:w="0" w:type="dxa"/>
            <w:left w:w="108" w:type="dxa"/>
            <w:bottom w:w="0" w:type="dxa"/>
            <w:right w:w="108" w:type="dxa"/>
          </w:tblCellMar>
        </w:tblPrEx>
        <w:trPr>
          <w:trHeight w:val="223" w:hRule="atLeast"/>
        </w:trPr>
        <w:tc>
          <w:tcPr>
            <w:tcW w:w="11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主管部门</w:t>
            </w:r>
          </w:p>
        </w:tc>
        <w:tc>
          <w:tcPr>
            <w:tcW w:w="4382"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玛纳斯县农业农村局</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实施单位</w:t>
            </w:r>
          </w:p>
        </w:tc>
        <w:tc>
          <w:tcPr>
            <w:tcW w:w="2849"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玛纳斯县卫健委</w:t>
            </w:r>
          </w:p>
        </w:tc>
      </w:tr>
      <w:tr>
        <w:tblPrEx>
          <w:tblLayout w:type="fixed"/>
          <w:tblCellMar>
            <w:top w:w="0" w:type="dxa"/>
            <w:left w:w="108" w:type="dxa"/>
            <w:bottom w:w="0" w:type="dxa"/>
            <w:right w:w="108" w:type="dxa"/>
          </w:tblCellMar>
        </w:tblPrEx>
        <w:trPr>
          <w:trHeight w:val="223" w:hRule="atLeast"/>
        </w:trPr>
        <w:tc>
          <w:tcPr>
            <w:tcW w:w="1196"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项目资金（万元）</w:t>
            </w:r>
          </w:p>
        </w:tc>
        <w:tc>
          <w:tcPr>
            <w:tcW w:w="190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05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年初预算数</w:t>
            </w:r>
          </w:p>
        </w:tc>
        <w:tc>
          <w:tcPr>
            <w:tcW w:w="142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全年预算数</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全年执行数</w:t>
            </w:r>
          </w:p>
        </w:tc>
        <w:tc>
          <w:tcPr>
            <w:tcW w:w="110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96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执行率</w:t>
            </w:r>
          </w:p>
        </w:tc>
        <w:tc>
          <w:tcPr>
            <w:tcW w:w="7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23" w:hRule="atLeast"/>
        </w:trPr>
        <w:tc>
          <w:tcPr>
            <w:tcW w:w="119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908" w:type="dxa"/>
            <w:gridSpan w:val="2"/>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kern w:val="0"/>
                <w:sz w:val="16"/>
                <w:szCs w:val="16"/>
              </w:rPr>
            </w:pPr>
            <w:r>
              <w:rPr>
                <w:rFonts w:hint="eastAsia" w:ascii="宋体" w:hAnsi="宋体" w:cs="宋体"/>
                <w:color w:val="000000"/>
                <w:kern w:val="0"/>
                <w:sz w:val="16"/>
                <w:szCs w:val="16"/>
              </w:rPr>
              <w:t>年度资金总额</w:t>
            </w:r>
          </w:p>
        </w:tc>
        <w:tc>
          <w:tcPr>
            <w:tcW w:w="105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42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10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96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7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223" w:hRule="atLeast"/>
        </w:trPr>
        <w:tc>
          <w:tcPr>
            <w:tcW w:w="119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90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其中：当年财政拨款</w:t>
            </w:r>
          </w:p>
        </w:tc>
        <w:tc>
          <w:tcPr>
            <w:tcW w:w="105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42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110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96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7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3" w:hRule="atLeast"/>
        </w:trPr>
        <w:tc>
          <w:tcPr>
            <w:tcW w:w="119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90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上年结转资金</w:t>
            </w:r>
          </w:p>
        </w:tc>
        <w:tc>
          <w:tcPr>
            <w:tcW w:w="105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42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0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96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3" w:hRule="atLeast"/>
        </w:trPr>
        <w:tc>
          <w:tcPr>
            <w:tcW w:w="1196"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90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其他资金</w:t>
            </w:r>
          </w:p>
        </w:tc>
        <w:tc>
          <w:tcPr>
            <w:tcW w:w="105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42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3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05"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96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7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23" w:hRule="atLeast"/>
        </w:trPr>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年度总体目标</w:t>
            </w:r>
          </w:p>
        </w:tc>
        <w:tc>
          <w:tcPr>
            <w:tcW w:w="4921"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预期目标</w:t>
            </w:r>
          </w:p>
        </w:tc>
        <w:tc>
          <w:tcPr>
            <w:tcW w:w="4162"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960" w:hRule="atLeast"/>
        </w:trPr>
        <w:tc>
          <w:tcPr>
            <w:tcW w:w="65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4921" w:type="dxa"/>
            <w:gridSpan w:val="6"/>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对农村农民户厕改造进行补助，按照“整村推进、政府引导、农民主体”的原则，资金支持农民家庭实施卫生厕所改造建设，中央转移资金每户家庭按照922元标准一次性予以补助（中央600元，昌吉州322元）。</w:t>
            </w:r>
          </w:p>
        </w:tc>
        <w:tc>
          <w:tcPr>
            <w:tcW w:w="4162" w:type="dxa"/>
            <w:gridSpan w:val="7"/>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2020年分配我县4055户卫生厕所，目前已全面完成，补助已到位。</w:t>
            </w:r>
          </w:p>
        </w:tc>
      </w:tr>
      <w:tr>
        <w:tblPrEx>
          <w:tblLayout w:type="fixed"/>
          <w:tblCellMar>
            <w:top w:w="0" w:type="dxa"/>
            <w:left w:w="108" w:type="dxa"/>
            <w:bottom w:w="0" w:type="dxa"/>
            <w:right w:w="108" w:type="dxa"/>
          </w:tblCellMar>
        </w:tblPrEx>
        <w:trPr>
          <w:trHeight w:val="449" w:hRule="atLeast"/>
        </w:trPr>
        <w:tc>
          <w:tcPr>
            <w:tcW w:w="657" w:type="dxa"/>
            <w:vMerge w:val="restart"/>
            <w:tcBorders>
              <w:top w:val="nil"/>
              <w:left w:val="single" w:color="auto" w:sz="4" w:space="0"/>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绩效指标</w:t>
            </w:r>
          </w:p>
        </w:tc>
        <w:tc>
          <w:tcPr>
            <w:tcW w:w="539"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一级指标</w:t>
            </w:r>
          </w:p>
        </w:tc>
        <w:tc>
          <w:tcPr>
            <w:tcW w:w="953"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二级指标</w:t>
            </w:r>
          </w:p>
        </w:tc>
        <w:tc>
          <w:tcPr>
            <w:tcW w:w="233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三级指标</w:t>
            </w:r>
          </w:p>
        </w:tc>
        <w:tc>
          <w:tcPr>
            <w:tcW w:w="109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w:t>
            </w:r>
          </w:p>
        </w:tc>
        <w:tc>
          <w:tcPr>
            <w:tcW w:w="82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73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6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332"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1097"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指标值</w:t>
            </w:r>
          </w:p>
        </w:tc>
        <w:tc>
          <w:tcPr>
            <w:tcW w:w="988"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完成值</w:t>
            </w:r>
          </w:p>
        </w:tc>
        <w:tc>
          <w:tcPr>
            <w:tcW w:w="826" w:type="dxa"/>
            <w:gridSpan w:val="2"/>
            <w:vMerge w:val="continue"/>
            <w:tcBorders>
              <w:top w:val="nil"/>
              <w:left w:val="nil"/>
              <w:bottom w:val="nil"/>
              <w:right w:val="single" w:color="auto" w:sz="4" w:space="0"/>
            </w:tcBorders>
            <w:vAlign w:val="center"/>
          </w:tcPr>
          <w:p>
            <w:pPr>
              <w:jc w:val="left"/>
              <w:rPr>
                <w:rFonts w:ascii="宋体" w:hAnsi="宋体" w:cs="宋体"/>
                <w:color w:val="000000"/>
                <w:kern w:val="0"/>
                <w:sz w:val="16"/>
                <w:szCs w:val="16"/>
              </w:rPr>
            </w:pPr>
          </w:p>
        </w:tc>
        <w:tc>
          <w:tcPr>
            <w:tcW w:w="731" w:type="dxa"/>
            <w:gridSpan w:val="2"/>
            <w:vMerge w:val="continue"/>
            <w:tcBorders>
              <w:top w:val="nil"/>
              <w:left w:val="nil"/>
              <w:bottom w:val="nil"/>
              <w:right w:val="single" w:color="auto" w:sz="4" w:space="0"/>
            </w:tcBorders>
            <w:vAlign w:val="center"/>
          </w:tcPr>
          <w:p>
            <w:pPr>
              <w:jc w:val="left"/>
              <w:rPr>
                <w:rFonts w:ascii="宋体" w:hAnsi="宋体" w:cs="宋体"/>
                <w:color w:val="000000"/>
                <w:kern w:val="0"/>
                <w:sz w:val="16"/>
                <w:szCs w:val="16"/>
              </w:rPr>
            </w:pPr>
          </w:p>
        </w:tc>
        <w:tc>
          <w:tcPr>
            <w:tcW w:w="1617" w:type="dxa"/>
            <w:gridSpan w:val="2"/>
            <w:vMerge w:val="continue"/>
            <w:tcBorders>
              <w:top w:val="nil"/>
              <w:left w:val="nil"/>
              <w:bottom w:val="nil"/>
              <w:right w:val="single" w:color="auto" w:sz="4" w:space="0"/>
            </w:tcBorders>
            <w:vAlign w:val="center"/>
          </w:tcPr>
          <w:p>
            <w:pPr>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产出指标</w:t>
            </w:r>
          </w:p>
        </w:tc>
        <w:tc>
          <w:tcPr>
            <w:tcW w:w="953"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指标1：2020年计划完成改厕农户户数（户）</w:t>
            </w:r>
          </w:p>
        </w:tc>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4055</w:t>
            </w:r>
          </w:p>
        </w:tc>
        <w:tc>
          <w:tcPr>
            <w:tcW w:w="98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指标2：2020年完成整村推进的行政村数（个）</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≥52个</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52个</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指标1：改厕设施合格率</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指标2：农村改厕数据库</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基本建成</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基本建成</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指标1：资金执行率</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4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53"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指标1：奖补资金</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373.87</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731"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效益指标</w:t>
            </w:r>
          </w:p>
        </w:tc>
        <w:tc>
          <w:tcPr>
            <w:tcW w:w="953"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指标1：当年完成"厕所革命"整村推进行整村的卫生厕所普及率</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≧85%</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85%</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816"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953"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生态效益指标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指标1：当年完成"厕所革命"整村推进行整村的粪污卫生处理和资源化利用</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基本实现</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基本实现</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717"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953"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可持续影响指标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指标1：当年完成"厕所革命"整村推进村的长效管护机制</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初步建立</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初步建立</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689" w:hRule="atLeast"/>
        </w:trPr>
        <w:tc>
          <w:tcPr>
            <w:tcW w:w="657"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539"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满意度指标</w:t>
            </w:r>
          </w:p>
        </w:tc>
        <w:tc>
          <w:tcPr>
            <w:tcW w:w="953"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服务对象满意度指标</w:t>
            </w:r>
          </w:p>
        </w:tc>
        <w:tc>
          <w:tcPr>
            <w:tcW w:w="2332"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指标1：项目区农民满意度</w:t>
            </w:r>
          </w:p>
        </w:tc>
        <w:tc>
          <w:tcPr>
            <w:tcW w:w="109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≧95%</w:t>
            </w:r>
          </w:p>
        </w:tc>
        <w:tc>
          <w:tcPr>
            <w:tcW w:w="98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95%</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22" w:hRule="atLeast"/>
        </w:trPr>
        <w:tc>
          <w:tcPr>
            <w:tcW w:w="656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总分</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73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1617"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bl>
    <w:p>
      <w:pPr>
        <w:jc w:val="left"/>
      </w:pPr>
      <w:r>
        <w:br w:type="page"/>
      </w:r>
    </w:p>
    <w:p>
      <w:pPr>
        <w:tabs>
          <w:tab w:val="left" w:pos="3816"/>
        </w:tabs>
        <w:jc w:val="center"/>
        <w:rPr>
          <w:rFonts w:ascii="黑体" w:hAnsi="黑体" w:eastAsia="黑体"/>
          <w:sz w:val="32"/>
          <w:szCs w:val="24"/>
        </w:rPr>
      </w:pPr>
    </w:p>
    <w:p>
      <w:pPr>
        <w:tabs>
          <w:tab w:val="left" w:pos="3816"/>
        </w:tabs>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33E20"/>
    <w:rsid w:val="000B5DB3"/>
    <w:rsid w:val="000F3AEA"/>
    <w:rsid w:val="000F77E3"/>
    <w:rsid w:val="00117FFD"/>
    <w:rsid w:val="00166D2C"/>
    <w:rsid w:val="001A2740"/>
    <w:rsid w:val="002871C6"/>
    <w:rsid w:val="002B685B"/>
    <w:rsid w:val="003A35DB"/>
    <w:rsid w:val="003A6E5F"/>
    <w:rsid w:val="003C496A"/>
    <w:rsid w:val="003C68FF"/>
    <w:rsid w:val="00432827"/>
    <w:rsid w:val="0043475E"/>
    <w:rsid w:val="004D34B1"/>
    <w:rsid w:val="00533E20"/>
    <w:rsid w:val="005650DA"/>
    <w:rsid w:val="00662EA2"/>
    <w:rsid w:val="006A137E"/>
    <w:rsid w:val="006A4548"/>
    <w:rsid w:val="006B688C"/>
    <w:rsid w:val="007B04DB"/>
    <w:rsid w:val="007B1AFD"/>
    <w:rsid w:val="007B1FBC"/>
    <w:rsid w:val="007C7A67"/>
    <w:rsid w:val="007D092D"/>
    <w:rsid w:val="00825A22"/>
    <w:rsid w:val="0082776B"/>
    <w:rsid w:val="0083345B"/>
    <w:rsid w:val="008459C3"/>
    <w:rsid w:val="00851CE1"/>
    <w:rsid w:val="008624FD"/>
    <w:rsid w:val="00896823"/>
    <w:rsid w:val="008F0D50"/>
    <w:rsid w:val="008F1CA2"/>
    <w:rsid w:val="00910CE1"/>
    <w:rsid w:val="009245F6"/>
    <w:rsid w:val="00937B14"/>
    <w:rsid w:val="0097624A"/>
    <w:rsid w:val="009E49D4"/>
    <w:rsid w:val="00A510B3"/>
    <w:rsid w:val="00A6318E"/>
    <w:rsid w:val="00A950FB"/>
    <w:rsid w:val="00AD6162"/>
    <w:rsid w:val="00BC7170"/>
    <w:rsid w:val="00BD5B70"/>
    <w:rsid w:val="00C053B9"/>
    <w:rsid w:val="00C66954"/>
    <w:rsid w:val="00C77060"/>
    <w:rsid w:val="00C86417"/>
    <w:rsid w:val="00CC2137"/>
    <w:rsid w:val="00CE15A6"/>
    <w:rsid w:val="00CF6ECE"/>
    <w:rsid w:val="00D274F0"/>
    <w:rsid w:val="00DE44A7"/>
    <w:rsid w:val="00DF7235"/>
    <w:rsid w:val="00E21B75"/>
    <w:rsid w:val="00E366CA"/>
    <w:rsid w:val="00E6720F"/>
    <w:rsid w:val="00E76A6C"/>
    <w:rsid w:val="00EE32C0"/>
    <w:rsid w:val="00EF3477"/>
    <w:rsid w:val="00F509EE"/>
    <w:rsid w:val="00F71421"/>
    <w:rsid w:val="00F84B76"/>
    <w:rsid w:val="00FD2663"/>
    <w:rsid w:val="00FF12A4"/>
    <w:rsid w:val="1234318F"/>
    <w:rsid w:val="13F668C8"/>
    <w:rsid w:val="182F68A9"/>
    <w:rsid w:val="3DC31BDF"/>
    <w:rsid w:val="3F4B7D7C"/>
    <w:rsid w:val="4F2A34D0"/>
    <w:rsid w:val="5DCF724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rFonts w:cs="Times New Roman"/>
      <w:b/>
      <w:bCs/>
    </w:rPr>
  </w:style>
  <w:style w:type="character" w:customStyle="1" w:styleId="7">
    <w:name w:val="页眉 Char"/>
    <w:basedOn w:val="5"/>
    <w:link w:val="3"/>
    <w:qFormat/>
    <w:locked/>
    <w:uiPriority w:val="99"/>
    <w:rPr>
      <w:rFonts w:cs="Times New Roman"/>
      <w:sz w:val="18"/>
      <w:szCs w:val="18"/>
    </w:rPr>
  </w:style>
  <w:style w:type="character" w:customStyle="1" w:styleId="8">
    <w:name w:val="页脚 Char"/>
    <w:basedOn w:val="5"/>
    <w:link w:val="2"/>
    <w:locked/>
    <w:uiPriority w:val="99"/>
    <w:rPr>
      <w:rFonts w:cs="Times New Roman"/>
      <w:sz w:val="18"/>
      <w:szCs w:val="18"/>
    </w:rPr>
  </w:style>
  <w:style w:type="character" w:customStyle="1" w:styleId="9">
    <w:name w:val="font11"/>
    <w:basedOn w:val="5"/>
    <w:qFormat/>
    <w:uiPriority w:val="0"/>
    <w:rPr>
      <w:rFonts w:hint="eastAsia" w:ascii="宋体" w:hAnsi="宋体" w:eastAsia="宋体" w:cs="宋体"/>
      <w:color w:val="000000"/>
      <w:sz w:val="22"/>
      <w:szCs w:val="22"/>
      <w:u w:val="none"/>
    </w:rPr>
  </w:style>
  <w:style w:type="character" w:customStyle="1" w:styleId="10">
    <w:name w:val="font01"/>
    <w:basedOn w:val="5"/>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3782</Words>
  <Characters>21559</Characters>
  <Lines>179</Lines>
  <Paragraphs>50</Paragraphs>
  <TotalTime>28</TotalTime>
  <ScaleCrop>false</ScaleCrop>
  <LinksUpToDate>false</LinksUpToDate>
  <CharactersWithSpaces>25291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2021-08-02T09:25:00Z</dcterms:created>
  <dc:creator>Windows 10</dc:creator>
  <cp:lastModifiedBy>Administrator</cp:lastModifiedBy>
  <dcterms:modified xsi:type="dcterms:W3CDTF">2025-02-08T09:12:22Z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2341D85C328946609E0B01918153CCA0</vt:lpwstr>
  </property>
</Properties>
</file>