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060E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C728E52">
      <w:pPr>
        <w:spacing w:line="540" w:lineRule="exact"/>
        <w:jc w:val="center"/>
        <w:rPr>
          <w:rFonts w:ascii="华文中宋" w:hAnsi="华文中宋" w:eastAsia="华文中宋" w:cs="宋体"/>
          <w:b/>
          <w:kern w:val="0"/>
          <w:sz w:val="52"/>
          <w:szCs w:val="52"/>
        </w:rPr>
      </w:pPr>
    </w:p>
    <w:p w14:paraId="16B4A349">
      <w:pPr>
        <w:spacing w:line="540" w:lineRule="exact"/>
        <w:jc w:val="center"/>
        <w:rPr>
          <w:rFonts w:ascii="华文中宋" w:hAnsi="华文中宋" w:eastAsia="华文中宋" w:cs="宋体"/>
          <w:b/>
          <w:kern w:val="0"/>
          <w:sz w:val="52"/>
          <w:szCs w:val="52"/>
        </w:rPr>
      </w:pPr>
    </w:p>
    <w:p w14:paraId="645DFFFA">
      <w:pPr>
        <w:spacing w:line="540" w:lineRule="exact"/>
        <w:jc w:val="center"/>
        <w:rPr>
          <w:rFonts w:ascii="华文中宋" w:hAnsi="华文中宋" w:eastAsia="华文中宋" w:cs="宋体"/>
          <w:b/>
          <w:kern w:val="0"/>
          <w:sz w:val="52"/>
          <w:szCs w:val="52"/>
        </w:rPr>
      </w:pPr>
    </w:p>
    <w:p w14:paraId="23403376">
      <w:pPr>
        <w:spacing w:line="540" w:lineRule="exact"/>
        <w:jc w:val="center"/>
        <w:rPr>
          <w:rFonts w:ascii="华文中宋" w:hAnsi="华文中宋" w:eastAsia="华文中宋" w:cs="宋体"/>
          <w:b/>
          <w:kern w:val="0"/>
          <w:sz w:val="52"/>
          <w:szCs w:val="52"/>
        </w:rPr>
      </w:pPr>
    </w:p>
    <w:p w14:paraId="54FCCB96">
      <w:pPr>
        <w:spacing w:line="540" w:lineRule="exact"/>
        <w:jc w:val="center"/>
        <w:rPr>
          <w:rFonts w:ascii="华文中宋" w:hAnsi="华文中宋" w:eastAsia="华文中宋" w:cs="宋体"/>
          <w:b/>
          <w:kern w:val="0"/>
          <w:sz w:val="52"/>
          <w:szCs w:val="52"/>
        </w:rPr>
      </w:pPr>
    </w:p>
    <w:p w14:paraId="22566E67">
      <w:pPr>
        <w:spacing w:line="540" w:lineRule="exact"/>
        <w:jc w:val="center"/>
        <w:rPr>
          <w:rFonts w:ascii="华文中宋" w:hAnsi="华文中宋" w:eastAsia="华文中宋" w:cs="宋体"/>
          <w:b/>
          <w:kern w:val="0"/>
          <w:sz w:val="52"/>
          <w:szCs w:val="52"/>
        </w:rPr>
      </w:pPr>
    </w:p>
    <w:p w14:paraId="0FD9726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328BFBE">
      <w:pPr>
        <w:spacing w:line="540" w:lineRule="exact"/>
        <w:jc w:val="center"/>
        <w:rPr>
          <w:rFonts w:ascii="华文中宋" w:hAnsi="华文中宋" w:eastAsia="华文中宋" w:cs="宋体"/>
          <w:b/>
          <w:kern w:val="0"/>
          <w:sz w:val="52"/>
          <w:szCs w:val="52"/>
        </w:rPr>
      </w:pPr>
    </w:p>
    <w:p w14:paraId="656BDE4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C1AC8EC">
      <w:pPr>
        <w:spacing w:line="540" w:lineRule="exact"/>
        <w:jc w:val="center"/>
        <w:rPr>
          <w:rFonts w:hAnsi="宋体" w:eastAsia="仿宋_GB2312" w:cs="宋体"/>
          <w:kern w:val="0"/>
          <w:sz w:val="30"/>
          <w:szCs w:val="30"/>
        </w:rPr>
      </w:pPr>
    </w:p>
    <w:p w14:paraId="4C424E73">
      <w:pPr>
        <w:spacing w:line="540" w:lineRule="exact"/>
        <w:jc w:val="center"/>
        <w:rPr>
          <w:rFonts w:hAnsi="宋体" w:eastAsia="仿宋_GB2312" w:cs="宋体"/>
          <w:kern w:val="0"/>
          <w:sz w:val="30"/>
          <w:szCs w:val="30"/>
        </w:rPr>
      </w:pPr>
    </w:p>
    <w:p w14:paraId="146085EA">
      <w:pPr>
        <w:spacing w:line="540" w:lineRule="exact"/>
        <w:jc w:val="center"/>
        <w:rPr>
          <w:rFonts w:hAnsi="宋体" w:eastAsia="仿宋_GB2312" w:cs="宋体"/>
          <w:kern w:val="0"/>
          <w:sz w:val="30"/>
          <w:szCs w:val="30"/>
        </w:rPr>
      </w:pPr>
    </w:p>
    <w:p w14:paraId="00BE2559">
      <w:pPr>
        <w:spacing w:line="540" w:lineRule="exact"/>
        <w:jc w:val="center"/>
        <w:rPr>
          <w:rFonts w:hAnsi="宋体" w:eastAsia="仿宋_GB2312" w:cs="宋体"/>
          <w:kern w:val="0"/>
          <w:sz w:val="30"/>
          <w:szCs w:val="30"/>
        </w:rPr>
      </w:pPr>
    </w:p>
    <w:p w14:paraId="179E755C">
      <w:pPr>
        <w:spacing w:line="540" w:lineRule="exact"/>
        <w:jc w:val="center"/>
        <w:rPr>
          <w:rFonts w:hAnsi="宋体" w:eastAsia="仿宋_GB2312" w:cs="宋体"/>
          <w:kern w:val="0"/>
          <w:sz w:val="30"/>
          <w:szCs w:val="30"/>
        </w:rPr>
      </w:pPr>
    </w:p>
    <w:p w14:paraId="0E2DA72E">
      <w:pPr>
        <w:spacing w:line="540" w:lineRule="exact"/>
        <w:jc w:val="center"/>
        <w:rPr>
          <w:rFonts w:hAnsi="宋体" w:eastAsia="仿宋_GB2312" w:cs="宋体"/>
          <w:kern w:val="0"/>
          <w:sz w:val="30"/>
          <w:szCs w:val="30"/>
        </w:rPr>
      </w:pPr>
    </w:p>
    <w:p w14:paraId="3A2CE8B2">
      <w:pPr>
        <w:spacing w:line="540" w:lineRule="exact"/>
        <w:rPr>
          <w:rFonts w:hAnsi="宋体" w:eastAsia="仿宋_GB2312" w:cs="宋体"/>
          <w:kern w:val="0"/>
          <w:sz w:val="30"/>
          <w:szCs w:val="30"/>
        </w:rPr>
      </w:pPr>
    </w:p>
    <w:p w14:paraId="32C79F5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3BDC76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2023年现代职业教育质量提升计划</w:t>
      </w:r>
    </w:p>
    <w:p w14:paraId="003FE9E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玛纳斯中等职业技术学校</w:t>
      </w:r>
    </w:p>
    <w:p w14:paraId="7C53225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玛纳斯中等职业技术学校</w:t>
      </w:r>
    </w:p>
    <w:p w14:paraId="1AF2EF1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李福东</w:t>
      </w:r>
    </w:p>
    <w:p w14:paraId="406614E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14:paraId="03F131B2">
      <w:pPr>
        <w:spacing w:line="700" w:lineRule="exact"/>
        <w:ind w:firstLine="708" w:firstLineChars="236"/>
        <w:jc w:val="left"/>
        <w:rPr>
          <w:rFonts w:hAnsi="宋体" w:eastAsia="仿宋_GB2312" w:cs="宋体"/>
          <w:kern w:val="0"/>
          <w:sz w:val="30"/>
          <w:szCs w:val="30"/>
        </w:rPr>
      </w:pPr>
    </w:p>
    <w:p w14:paraId="7D0FB47E">
      <w:pPr>
        <w:spacing w:line="540" w:lineRule="exact"/>
        <w:rPr>
          <w:rStyle w:val="18"/>
          <w:rFonts w:ascii="黑体" w:hAnsi="黑体" w:eastAsia="黑体"/>
          <w:b w:val="0"/>
          <w:spacing w:val="-4"/>
          <w:sz w:val="32"/>
          <w:szCs w:val="32"/>
        </w:rPr>
      </w:pPr>
    </w:p>
    <w:p w14:paraId="2AF8671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C17148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90CF02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为深入贯彻落实《国务院关于加快发展现代职业教育的决定》 （国发〔2014〕19号）和《新疆维吾尔自治区人民政府关于加快发展现代职业教育的实施意见》（新政发〔2015〕75号）的有关部署，认真贯彻落实《中国教育现代化2035》、《职业教育提质培优行动计划（2020—2023年）》、《加快推进教育现代化实施方案（2018－2022年）》、《国家职业教育改革实施方案》和新时代党的治疆方略，聚焦新疆社会稳定和长治久安总目标，全面落实自治区关于加快推进新时代职业教育改革发展的实施意见，坚持立德树人根本任务，围绕共建</w:t>
      </w:r>
      <w:r>
        <w:rPr>
          <w:rStyle w:val="18"/>
          <w:rFonts w:hint="eastAsia" w:ascii="楷体" w:hAnsi="楷体" w:eastAsia="楷体"/>
          <w:b w:val="0"/>
          <w:bCs w:val="0"/>
          <w:spacing w:val="-4"/>
          <w:sz w:val="32"/>
          <w:szCs w:val="32"/>
          <w:lang w:eastAsia="zh-CN"/>
        </w:rPr>
        <w:t>“一带一路”倡议</w:t>
      </w:r>
      <w:r>
        <w:rPr>
          <w:rStyle w:val="18"/>
          <w:rFonts w:hint="eastAsia" w:ascii="楷体" w:hAnsi="楷体" w:eastAsia="楷体"/>
          <w:b w:val="0"/>
          <w:bCs w:val="0"/>
          <w:spacing w:val="-4"/>
          <w:sz w:val="32"/>
          <w:szCs w:val="32"/>
        </w:rPr>
        <w:t>，对接“丝绸之路经济带核心区建设”产业需求，以职业教育提质培优行动计划为契机，立足玛纳斯，服务乌昌地区，面向全疆，着眼于提高育人质量，满足社会对优质职业教育的需求，以“夯基础、强内涵、提质量、促创新、显特色”为原则，持续深化体制机制改革，深化教育教学改革，推进铸魂育人工程、卓越师资工程、服务提质工程、终生学习工程、产教融合工程、数字校园工程，将学校建设成一所办学定位准确、专业特色鲜明、管理水平先进、社会服务有效、校企合作深入、师生素质卓越，具有区域吸引力、影响力和示范力的全国优质中职学校。</w:t>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学校新增支持1+X试点项目1个，新增支持职业学校改善办学条件和实训基地建设1个，开展校园信息化建设，建设电子商务岗课赛证实训基地。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本项目于2023年1月开始实施，截止2023年12月已全部完成，通过本项目的实施，提高中职学校教育水平，提高中职学校实训培养能力，为促进经济社会，发展全面建设小康社会作出了贡献。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2023年自治区职业教育专项资金项目为玛纳斯中等职业技术学校，该单位纳入2023年部门决算编制范围。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编制人数为34人，其中：行政人员编制1人、工勤2人、事业编制31人。实有在职人数65人，其中：行政在职1人、工勤2人、专任教师62人。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2023年现代职业教育质量提升计划预算安排总额为615万元，其中财政资金615万元，其他资金0万元，2023年实际收到预算资金615万元，预算资金到位率为100%。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截止到2023年12月31日，2023年度用于玛纳斯县职业教育质量提升的资金总计615万元、共计执行500.93万元，总体执行率81.45%，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具体如下：校园信息化建设项目，于2023年7月27日完成招标，支付金额（万元）313.15万元，支付率78.29%。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电子商务岗课赛证实训基地，于2023年5月10日完成招标，支付金额（万元）186.84万元，支付率93.00%（3%的质保金未付）。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1+X证书学生和教师培训，学校2023年“1+X”证书培训计划通过审核后，有17名学生完成了“宠物护理与美容”证书的理论考试和实操考核；已支付0.93万元，支付率6%；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项目资金主要用于校园信息化建设项目、电子商务岗课赛证实训基地、1+X证书学生和教师培训等方面。</w:t>
      </w:r>
    </w:p>
    <w:p w14:paraId="4CBDE69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F8657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自治区职业教育专项资金项目绩效总体目标为：本项目拟投入615万元，主要建设（实施）内容为：建设支持1+X证书项目试点1所，建设职业学校改善办学条件和实训基地1所，验收合格率达到95%以上，资金拨付率达到95%以上，资金奖补规模615万元（其中开展校园信息化建设,建设资金400万元，建设电子商务岗课赛证实训基地，建设资金200万元，1+X证书工作开展，建设资金15万元）。计划于2023年12月31日前完成，通过本项目的实施，提高中职学校教育水平，提高中职学校实训培养能力，使学生、家长满意度达到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“支持1+X试点项目”指标，预期指标值为1所；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”支持职业学校改善办学条件和实训基地建设“指标，预期指标值为1所；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“开展校园信息化建设成本实训基地建设”指标，预期指标值为&lt;=400万元；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“提高职业学校平均就业水平”指标，预期指标值为明显提高；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“家长满意度”指标，预期指标值为&gt;=90%。</w:t>
      </w:r>
    </w:p>
    <w:p w14:paraId="497AD21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FA7056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90DDC6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此次我单位根据《财政支出绩效评价管理暂行办法》（财预〔2020〕10号）文件要求对2023年度我单位实施的现代职业教育质量提升计划资金预算项目开展部门绩效评价。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A13057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90DB64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现代职业教育质量提升计划资金预算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现代职业教育质量提升计划资金预算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BD31CB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D16070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王浩学校党支部书记任评价组组长，绩效评价工作职责为检查项目绩效指标完成情况，审定项目支出绩效评价结果及项目支出绩效评价报告。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李福东学校校长任评价组副组长，绩效评价工作职责为组织和协调项目工作人员采取实地调查、资料检查等方式，核实项目绩效指标完成情况；组织受益对象对项目工作进行评价等。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雷建芝、陈红任评价组成员，绩效评价工作职责为做好项目支出绩效评价工作的沟通协调工作，对项目实施情况进行实地调查，编写项目支出绩效评价报告。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现代职业教育质量提升计划资金预算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1B3A67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9C2248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现代职业教育质量提升计划资金预算项目绩效进行客观评价，最终评分结果：总分为96.26分，绩效评级为“优秀”。各部分权重和绩效汇总分值如下表3-1所示（详见上传的附件）：</w:t>
      </w:r>
    </w:p>
    <w:p w14:paraId="087E42F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ED440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E6F4639">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项目决策由3个二级指标和6个三级指标构成，权重分20分，实际得分19.5分，各指标业绩值和绩效分值如表4-1所示（详见上传的附件）：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⑥项目根据《关于提前下达2023年现代职业教育质量提升计划资金预算的通知》（昌州财教[2022]78号)立项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③事前仅经过校委会集体决策，绩效评估。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953906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3C907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项目过程管理类指标由2个二级指标和5个三级指标构成，权重分20分，实际得分19.26分，各指标业绩值和绩效分值如表4-2所示（详见上传的附件）：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资金到位率=（615/615）×100%=100%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预算执行率=（500.93/615）×100%=81.5%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综上，该项指标满分4分，得分3.26分。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严格执行《财务管理制度》、《专项资金使用管理制度》、《内部控制管理手册》、《玛纳斯中等职业技术学校）集体决策制度》和《玛纳斯中等职业技术学校项目管理办法》《玛纳斯中等职业技术学校合同管理办法》，《玛纳斯中等职业技术学校内部控制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1A31ED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7190D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“支持1+X试点项目”指标，预期指标值为1个，实际完成为1个。实际完成率=（1/1）×100%=100%。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“支持职业学校改善办学条件和实训基地建设”指标，预期指标值为1个，实际完成为1个。实际完成率=（1/1）×100%=100%。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综上，该项指标满分5分，得分5分。项目成本类指标由1个二级指标和1个三级指标构成，权重分15分，实际得分12.5分，各指标业绩值和绩效分值如表4-3所示（详见上传的附件）：1.项目经济成本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“经济成本”指标，预期指标值为600万元，实际完成为500.93万元。实际完成率=（500.93/600）×100%=83.5%。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综上，该项指标满分15分，得分12.5分。</w:t>
      </w:r>
    </w:p>
    <w:p w14:paraId="2C3F3D8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8A4986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“学生就业率提升”指标，预期指标值为明显提升，实际完成为100%。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通过项目的实施，学生一次就业率达到97.3，提升1.5百分点。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“学生满意度”指标，预期指标值为大于等于90%，实际完成为93.7%。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“家长满意度”指标，预期指标值为大于等于90%，实际完成为93.7%。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4CCE2415">
      <w:pPr>
        <w:spacing w:line="540" w:lineRule="exact"/>
        <w:ind w:firstLine="567"/>
        <w:rPr>
          <w:rStyle w:val="18"/>
          <w:rFonts w:ascii="楷体" w:hAnsi="楷体" w:eastAsia="楷体"/>
          <w:spacing w:val="-4"/>
          <w:sz w:val="32"/>
          <w:szCs w:val="32"/>
        </w:rPr>
      </w:pPr>
    </w:p>
    <w:p w14:paraId="0D5BD72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7F667F96">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项目总体完成率：100%，全年执行率：81.45%，总体偏差率19.55%，偏差原因为项目部分尾款资金年底未及时支付导致。</w:t>
      </w:r>
    </w:p>
    <w:p w14:paraId="2C02FB4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4B6733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落实主体责任，强化责任意识，制定了《玛纳斯中等职业技术学校专项资金使用管理办法》，落实项目资金专款专用，定期调度资金拨付情况，提高预算执行效率和资金使用效益，确保财政资金使用安全。总体来看，本项目资金的整体管理水平较高，做到了专款专用、及时拨付、规范支付，保障职业教育质量提升资金支付需求，确保校园信息化建设、电子商务岗课赛证实训基地建设、“1+X”证书奖补资金三个项目顺利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党支部、校委会、纪检组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近年来学校多次接受巡视巡查专项核查等相关的工作督查，有效确保了奖扶对象资格确认准确，真实可靠，基层基础工作逐步夯实，专项资金使用效果明显。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绩效管理理念尚未牢固树立，绩效管理专业人员匮乏。一是我校部分教师缺乏必要的专业知识和技能，难以有效地推进项目。二是缺乏有效的评估机制：质量教育提升项目的实施需要有效的评估机制来监测和评估项目的进展和效果。然而，一些项目可能缺乏科学、合理的评估指标和方法，导致难以对项目进行准确的评估和调整。三是社会参与度低：质量教育提升项目需要社会各界的参与和支持，包括政府、企业、家长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A79D3E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2E1184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4A8F0A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55558A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DF34434">
      <w:pPr>
        <w:spacing w:line="540" w:lineRule="exact"/>
        <w:ind w:firstLine="567"/>
        <w:rPr>
          <w:rStyle w:val="18"/>
          <w:rFonts w:ascii="仿宋" w:hAnsi="仿宋" w:eastAsia="仿宋"/>
          <w:b w:val="0"/>
          <w:spacing w:val="-4"/>
          <w:sz w:val="32"/>
          <w:szCs w:val="32"/>
        </w:rPr>
      </w:pPr>
    </w:p>
    <w:p w14:paraId="74D9DE4F">
      <w:pPr>
        <w:spacing w:line="540" w:lineRule="exact"/>
        <w:ind w:firstLine="567"/>
        <w:rPr>
          <w:rStyle w:val="18"/>
          <w:rFonts w:ascii="仿宋" w:hAnsi="仿宋" w:eastAsia="仿宋"/>
          <w:b w:val="0"/>
          <w:spacing w:val="-4"/>
          <w:sz w:val="32"/>
          <w:szCs w:val="32"/>
        </w:rPr>
      </w:pPr>
    </w:p>
    <w:p w14:paraId="14526E14">
      <w:pPr>
        <w:spacing w:line="540" w:lineRule="exact"/>
        <w:ind w:firstLine="567"/>
        <w:rPr>
          <w:rStyle w:val="18"/>
          <w:rFonts w:ascii="仿宋" w:hAnsi="仿宋" w:eastAsia="仿宋"/>
          <w:b w:val="0"/>
          <w:spacing w:val="-4"/>
          <w:sz w:val="32"/>
          <w:szCs w:val="32"/>
        </w:rPr>
      </w:pPr>
    </w:p>
    <w:p w14:paraId="4ECE7C80">
      <w:pPr>
        <w:spacing w:line="540" w:lineRule="exact"/>
        <w:ind w:firstLine="567"/>
        <w:rPr>
          <w:rStyle w:val="18"/>
          <w:rFonts w:ascii="仿宋" w:hAnsi="仿宋" w:eastAsia="仿宋"/>
          <w:b w:val="0"/>
          <w:spacing w:val="-4"/>
          <w:sz w:val="32"/>
          <w:szCs w:val="32"/>
        </w:rPr>
      </w:pPr>
    </w:p>
    <w:p w14:paraId="7C6689B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D55A1FE">
        <w:pPr>
          <w:pStyle w:val="12"/>
          <w:jc w:val="center"/>
        </w:pPr>
        <w:r>
          <w:fldChar w:fldCharType="begin"/>
        </w:r>
        <w:r>
          <w:instrText xml:space="preserve">PAGE   \* MERGEFORMAT</w:instrText>
        </w:r>
        <w:r>
          <w:fldChar w:fldCharType="separate"/>
        </w:r>
        <w:r>
          <w:rPr>
            <w:lang w:val="zh-CN"/>
          </w:rPr>
          <w:t>2</w:t>
        </w:r>
        <w:r>
          <w:fldChar w:fldCharType="end"/>
        </w:r>
      </w:p>
    </w:sdtContent>
  </w:sdt>
  <w:p w14:paraId="21CF2BB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D5B4FC1"/>
    <w:rsid w:val="11273D84"/>
    <w:rsid w:val="11BD75F7"/>
    <w:rsid w:val="13BE561A"/>
    <w:rsid w:val="15392994"/>
    <w:rsid w:val="18FE139B"/>
    <w:rsid w:val="2BBA5E6A"/>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7856</Words>
  <Characters>8284</Characters>
  <Lines>4</Lines>
  <Paragraphs>1</Paragraphs>
  <TotalTime>3</TotalTime>
  <ScaleCrop>false</ScaleCrop>
  <LinksUpToDate>false</LinksUpToDate>
  <CharactersWithSpaces>8309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2024-10-21T02:58:04Z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C734C92AAAF24344A0E4232D8EB3359B</vt:lpwstr>
  </property>
</Properties>
</file>