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F29A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E065F17">
      <w:pPr>
        <w:spacing w:line="540" w:lineRule="exact"/>
        <w:jc w:val="center"/>
        <w:rPr>
          <w:rFonts w:ascii="华文中宋" w:hAnsi="华文中宋" w:eastAsia="华文中宋" w:cs="宋体"/>
          <w:b/>
          <w:kern w:val="0"/>
          <w:sz w:val="52"/>
          <w:szCs w:val="52"/>
        </w:rPr>
      </w:pPr>
    </w:p>
    <w:p w14:paraId="31E1C572">
      <w:pPr>
        <w:spacing w:line="540" w:lineRule="exact"/>
        <w:jc w:val="center"/>
        <w:rPr>
          <w:rFonts w:ascii="华文中宋" w:hAnsi="华文中宋" w:eastAsia="华文中宋" w:cs="宋体"/>
          <w:b/>
          <w:kern w:val="0"/>
          <w:sz w:val="52"/>
          <w:szCs w:val="52"/>
        </w:rPr>
      </w:pPr>
    </w:p>
    <w:p w14:paraId="05D30E29">
      <w:pPr>
        <w:spacing w:line="540" w:lineRule="exact"/>
        <w:jc w:val="center"/>
        <w:rPr>
          <w:rFonts w:ascii="华文中宋" w:hAnsi="华文中宋" w:eastAsia="华文中宋" w:cs="宋体"/>
          <w:b/>
          <w:kern w:val="0"/>
          <w:sz w:val="52"/>
          <w:szCs w:val="52"/>
        </w:rPr>
      </w:pPr>
    </w:p>
    <w:p w14:paraId="7001AF1E">
      <w:pPr>
        <w:spacing w:line="540" w:lineRule="exact"/>
        <w:jc w:val="center"/>
        <w:rPr>
          <w:rFonts w:ascii="华文中宋" w:hAnsi="华文中宋" w:eastAsia="华文中宋" w:cs="宋体"/>
          <w:b/>
          <w:kern w:val="0"/>
          <w:sz w:val="52"/>
          <w:szCs w:val="52"/>
        </w:rPr>
      </w:pPr>
    </w:p>
    <w:p w14:paraId="1188C9E7">
      <w:pPr>
        <w:spacing w:line="540" w:lineRule="exact"/>
        <w:jc w:val="center"/>
        <w:rPr>
          <w:rFonts w:ascii="华文中宋" w:hAnsi="华文中宋" w:eastAsia="华文中宋" w:cs="宋体"/>
          <w:b/>
          <w:kern w:val="0"/>
          <w:sz w:val="52"/>
          <w:szCs w:val="52"/>
        </w:rPr>
      </w:pPr>
    </w:p>
    <w:p w14:paraId="500E9C7B">
      <w:pPr>
        <w:spacing w:line="540" w:lineRule="exact"/>
        <w:jc w:val="center"/>
        <w:rPr>
          <w:rFonts w:ascii="华文中宋" w:hAnsi="华文中宋" w:eastAsia="华文中宋" w:cs="宋体"/>
          <w:b/>
          <w:kern w:val="0"/>
          <w:sz w:val="52"/>
          <w:szCs w:val="52"/>
        </w:rPr>
      </w:pPr>
    </w:p>
    <w:p w14:paraId="23F6C58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63BDE00">
      <w:pPr>
        <w:spacing w:line="540" w:lineRule="exact"/>
        <w:jc w:val="center"/>
        <w:rPr>
          <w:rFonts w:ascii="华文中宋" w:hAnsi="华文中宋" w:eastAsia="华文中宋" w:cs="宋体"/>
          <w:b/>
          <w:kern w:val="0"/>
          <w:sz w:val="52"/>
          <w:szCs w:val="52"/>
        </w:rPr>
      </w:pPr>
    </w:p>
    <w:p w14:paraId="702B191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543A31D">
      <w:pPr>
        <w:spacing w:line="540" w:lineRule="exact"/>
        <w:jc w:val="center"/>
        <w:rPr>
          <w:rFonts w:hAnsi="宋体" w:eastAsia="仿宋_GB2312" w:cs="宋体"/>
          <w:kern w:val="0"/>
          <w:sz w:val="30"/>
          <w:szCs w:val="30"/>
        </w:rPr>
      </w:pPr>
    </w:p>
    <w:p w14:paraId="584AA5DD">
      <w:pPr>
        <w:spacing w:line="540" w:lineRule="exact"/>
        <w:jc w:val="center"/>
        <w:rPr>
          <w:rFonts w:hAnsi="宋体" w:eastAsia="仿宋_GB2312" w:cs="宋体"/>
          <w:kern w:val="0"/>
          <w:sz w:val="30"/>
          <w:szCs w:val="30"/>
        </w:rPr>
      </w:pPr>
    </w:p>
    <w:p w14:paraId="47B90487">
      <w:pPr>
        <w:spacing w:line="540" w:lineRule="exact"/>
        <w:jc w:val="center"/>
        <w:rPr>
          <w:rFonts w:hAnsi="宋体" w:eastAsia="仿宋_GB2312" w:cs="宋体"/>
          <w:kern w:val="0"/>
          <w:sz w:val="30"/>
          <w:szCs w:val="30"/>
        </w:rPr>
      </w:pPr>
    </w:p>
    <w:p w14:paraId="18934311">
      <w:pPr>
        <w:spacing w:line="540" w:lineRule="exact"/>
        <w:jc w:val="center"/>
        <w:rPr>
          <w:rFonts w:hAnsi="宋体" w:eastAsia="仿宋_GB2312" w:cs="宋体"/>
          <w:kern w:val="0"/>
          <w:sz w:val="30"/>
          <w:szCs w:val="30"/>
        </w:rPr>
      </w:pPr>
    </w:p>
    <w:p w14:paraId="50B34BC4">
      <w:pPr>
        <w:spacing w:line="540" w:lineRule="exact"/>
        <w:jc w:val="center"/>
        <w:rPr>
          <w:rFonts w:hAnsi="宋体" w:eastAsia="仿宋_GB2312" w:cs="宋体"/>
          <w:kern w:val="0"/>
          <w:sz w:val="30"/>
          <w:szCs w:val="30"/>
        </w:rPr>
      </w:pPr>
    </w:p>
    <w:p w14:paraId="44ADDA87">
      <w:pPr>
        <w:spacing w:line="540" w:lineRule="exact"/>
        <w:jc w:val="center"/>
        <w:rPr>
          <w:rFonts w:hAnsi="宋体" w:eastAsia="仿宋_GB2312" w:cs="宋体"/>
          <w:kern w:val="0"/>
          <w:sz w:val="30"/>
          <w:szCs w:val="30"/>
        </w:rPr>
      </w:pPr>
    </w:p>
    <w:p w14:paraId="03515A11">
      <w:pPr>
        <w:spacing w:line="540" w:lineRule="exact"/>
        <w:rPr>
          <w:rFonts w:hAnsi="宋体" w:eastAsia="仿宋_GB2312" w:cs="宋体"/>
          <w:kern w:val="0"/>
          <w:sz w:val="30"/>
          <w:szCs w:val="30"/>
        </w:rPr>
      </w:pPr>
    </w:p>
    <w:p w14:paraId="490B4C7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C03214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关于新疆华洋实业（集团）有限公司玛纳斯房地产开发分公司国有建设用地收储补偿项目</w:t>
      </w:r>
    </w:p>
    <w:p w14:paraId="0EB7411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玛纳斯县自然资源局</w:t>
      </w:r>
    </w:p>
    <w:p w14:paraId="724A109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玛纳斯县自然资源局</w:t>
      </w:r>
    </w:p>
    <w:p w14:paraId="61D3E30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闫鑫</w:t>
      </w:r>
    </w:p>
    <w:p w14:paraId="5E74A39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14:paraId="1239EBEE">
      <w:pPr>
        <w:spacing w:line="700" w:lineRule="exact"/>
        <w:ind w:firstLine="708" w:firstLineChars="236"/>
        <w:jc w:val="left"/>
        <w:rPr>
          <w:rFonts w:hAnsi="宋体" w:eastAsia="仿宋_GB2312" w:cs="宋体"/>
          <w:kern w:val="0"/>
          <w:sz w:val="30"/>
          <w:szCs w:val="30"/>
        </w:rPr>
      </w:pPr>
    </w:p>
    <w:p w14:paraId="0F0D1961">
      <w:pPr>
        <w:spacing w:line="540" w:lineRule="exact"/>
        <w:rPr>
          <w:rStyle w:val="18"/>
          <w:rFonts w:ascii="黑体" w:hAnsi="黑体" w:eastAsia="黑体"/>
          <w:b w:val="0"/>
          <w:spacing w:val="-4"/>
          <w:sz w:val="32"/>
          <w:szCs w:val="32"/>
        </w:rPr>
      </w:pPr>
    </w:p>
    <w:p w14:paraId="6E2E550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C88B71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802D69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按照玛党财【2017】3号财经会议同意将县委党校、妇幼保健站、康宁路、葡萄酒博览中心4个项目占用华洋房产269.9亩用碧玉产业园东侧及东一路西侧、双景路北侧两宗土地进行置换，按照县规划局出具的规划条件通知书，县国土局根据规划对宗地进行报批，报批完成后签订《土地置换协议》和《土地出让合同》，置换地块的征地、报批、出让金等相关费用由政府出资缴纳，华洋房产前期代垫的碧玉产业园东侧的土地征地补偿款由国土局确认后，分批从土地出让金中予以归还。玛党财【2023】3号财经会议同意从土地出让金中安排4597.48万元，用于支付华洋土地征收补偿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由于我县城市规划调整的原因2013年至2017年期间先后占用华洋房产已取得269.9亩土地面积，分别修建县党校、党校小球馆、妇幼保健馆、康宁路、葡萄酒博览中心、南山汇通物流住宅用地。2019年经委托有资质的评估机构进行评估，评估总价为10834.12万元。按照玛党财【2017】3号会议纪要，我局与华洋签订《收购储备国有建设用地补偿协议》，收购储备2013年至2017年占用华洋的269.9亩土地，收储补偿款共计10834.12万元，实行分批支付，2023年支付金额为4597.48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本项目于2020年1月开始实施，截止2023年9月已全部完成，通过本项目的实施，提升了城镇居民幸福指数，提高土地利用率。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新疆华洋实业（集团）有限公司玛纳斯房地产开发分公司国有建设用地收储补偿项目的实施主体为玛纳斯县自然资源局，该单位纳入2023年部门决算编制范围的有5个科室，分别是：行政办、政策法规信息化办公室、国土空间规划办公室、土地资源管理股、矿产资源管理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编制人数为53人，其中：行政人员编制10人、工勤2人、事业编制41人。实有在职人数44人，其中：行政在职6人、工勤2人、事业在职36人。离退休人员21人，其中：行政退休人员12人、事业退休9人。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华洋实业（集团）有限公司玛纳斯房地产开发分公司国有建设用地收储补偿项目预算安排总额为4597.48万元，其中财政资金4597.48万元，其他资金0万元，2023年实际收到预算资金4597.48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新疆华洋实业（集团）有限公司玛纳斯房地产开发分公司国有建设用地收储补偿项目实际支付资金4597.48万元，预算执行率100%。结转结余资金0万元，已上缴国库。项目资金主要用于土地收储补偿等方面。</w:t>
      </w:r>
    </w:p>
    <w:p w14:paraId="2CAB843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2948A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华洋实业（集团）有限公司玛纳斯房地产开发分公司国有建设用地收储补偿项目绩效总体目标为：按照玛党财【2017】3号会议纪要，我局与华洋签订《收购储备国有建设用地补偿协议》，收购储备2013年至2017年占用华洋的269.9亩土地，2023年支付金额为4597.48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“收购储备面积”指标，预期指标值为269.9亩；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“签订协议书”指标，预期指标值为1份；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“按照协议书约定执行率”指标，预期指标值为大于等于95%；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“收储补偿款拨付及时性”指标，预期指标值为大于等于95%；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“收储土地赔偿单位成本”指标，预期指标值为17.03万元/亩；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“提高城镇土地利用率”指标，预期指标值为明显；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“提升城镇居民生活幸福指数”指标，预期指标值为明显；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“受益对象满意度”指标，预期指标值为大于等于95%。</w:t>
      </w:r>
    </w:p>
    <w:p w14:paraId="234CA6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5AA16E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CA53D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此次我单位根据《财政支出绩效评价管理暂行办法》（财预〔2020〕10号）文件要求对2023年度我单位实施的新疆华洋实业（集团）有限公司玛纳斯房地产开发分公司国有建设用地收储补偿项目开展部门绩效评价。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C1F82D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1845D9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新疆华洋实业（集团）有限公司玛纳斯房地产开发分公司国有建设用地收储补偿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新疆华洋实业（集团）有限公司玛纳斯房地产开发分公司国有建设用地收储补偿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239BC9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1F3A5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王江宏副局长任评价组组长，绩效评价工作职责为检查项目绩效指标完成情况，审定项目支出绩效评价结果及项目支出绩效评价报告。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闫鑫主任任评价组副组长，绩效评价工作职责为组织和协调项目工作人员采取实地调查、资料检查等方式，核实项目绩效指标完成情况；组织受益对象对项目工作进行评价等。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马鑫任评价组成员，绩效评价工作职责为做好项目支出绩效评价工作的沟通协调工作，对项目实施情况进行实地调查，编写项目支出绩效评价报告。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新疆华洋实业（集团）有限公司玛纳斯房地产开发分公司国有建设用地收储补偿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A80A87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85B3F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新疆华洋实业（集团）有限公司玛纳斯房地产开发分公司国有建设用地收储补偿项目绩效进行客观评价，最终评分结果：总分为100分，绩效评级为“优秀”。各部分权重和绩效汇总分值如下表3-1所示（详见上传的附件）：</w:t>
      </w:r>
    </w:p>
    <w:p w14:paraId="0C3910D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431346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2349AC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①项目立项符合国家法律法规、国民经济发展规划和相关政策；根据县委财经会议纪要玛党财【2017】3号。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③事前经过两次县委会议讨论研究通过并下达最终批复；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1FA5466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2D310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资金到位率=（4597.48/4597.48）×100%=100%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预算执行率=（4597.48/4597.48）×100%=100%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①制定《玛纳斯县自然资源局财务收支管理办法》和《玛纳斯县自然资源局项目管理办法》；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③项目协议书等资料齐全并及时归档；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2B74D1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81758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“收购储备面积”指标，预期指标值为269.9亩，实际完成为269.9亩。实际完成率=（269.9/269.9）×100%=100%。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“签订协议书”指标，预期指标值为1份，实际完成为1份。实际完成率=（1/1）×100%=100%。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综上，该项指标满分13分，得13分。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“按照协议书约定执行率”指标，预期指标值为大于等于95%，实际完成为100%。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“收储补偿款拨付及时性”指标，预期指标值为大于等于95%，实际完成为100%。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“收储土地赔偿单位成本”指标，预期指标值为17.03万元/亩，实际完成为17.03万元/亩。实际完成率=（17.03/17.03）×100%=100%。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E9B673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3F229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“提高城镇土地利用率”指标，预期指标值为明显，实际完成为明显。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通过项目的实施，使城镇规划更加分布合理，明显提高了城镇土地利用率。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“提升城镇居民生活幸福指数”指标，预期指标值为明显，实际完成为明显。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通过项目的实施，使居民小区布局合理，行政办公用地位置较集中，方便群众办事，明显提升城镇居民生活幸福指数。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“受益对象满意度”指标，预期指标值为大于等于95%，实际完成为100%。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1A5DCFED">
      <w:pPr>
        <w:spacing w:line="540" w:lineRule="exact"/>
        <w:ind w:firstLine="567"/>
        <w:rPr>
          <w:rStyle w:val="18"/>
          <w:rFonts w:ascii="楷体" w:hAnsi="楷体" w:eastAsia="楷体"/>
          <w:spacing w:val="-4"/>
          <w:sz w:val="32"/>
          <w:szCs w:val="32"/>
        </w:rPr>
      </w:pPr>
    </w:p>
    <w:p w14:paraId="6408B81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EE2623E">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本单位在2023年执行该项目时，完成收储土地面积269.9亩，签订协议书一份，资金执行率为100%，拨付率为100%，受益对象满意度为100%，绩效评价得分为满分。</w:t>
      </w:r>
    </w:p>
    <w:p w14:paraId="5042DBC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8F2FD7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4B397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CE5003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8C621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2902E4E">
      <w:pPr>
        <w:spacing w:line="540" w:lineRule="exact"/>
        <w:ind w:firstLine="567"/>
        <w:rPr>
          <w:rStyle w:val="18"/>
          <w:rFonts w:ascii="仿宋" w:hAnsi="仿宋" w:eastAsia="仿宋"/>
          <w:b w:val="0"/>
          <w:spacing w:val="-4"/>
          <w:sz w:val="32"/>
          <w:szCs w:val="32"/>
        </w:rPr>
      </w:pPr>
      <w:r>
        <w:rPr>
          <w:rStyle w:val="18"/>
          <w:rFonts w:hint="eastAsia" w:ascii="楷体" w:hAnsi="楷体" w:eastAsia="楷体"/>
          <w:b w:val="0"/>
          <w:bCs w:val="0"/>
          <w:spacing w:val="-4"/>
          <w:sz w:val="32"/>
          <w:szCs w:val="32"/>
        </w:rPr>
        <w:t>无其他需要说明的问题。</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30A78FF">
        <w:pPr>
          <w:pStyle w:val="12"/>
          <w:jc w:val="center"/>
        </w:pPr>
        <w:r>
          <w:fldChar w:fldCharType="begin"/>
        </w:r>
        <w:r>
          <w:instrText xml:space="preserve">PAGE   \* MERGEFORMAT</w:instrText>
        </w:r>
        <w:r>
          <w:fldChar w:fldCharType="separate"/>
        </w:r>
        <w:r>
          <w:rPr>
            <w:lang w:val="zh-CN"/>
          </w:rPr>
          <w:t>2</w:t>
        </w:r>
        <w:r>
          <w:fldChar w:fldCharType="end"/>
        </w:r>
      </w:p>
    </w:sdtContent>
  </w:sdt>
  <w:p w14:paraId="2495B45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24652"/>
    <w:rsid w:val="00E30E91"/>
    <w:rsid w:val="00E769FE"/>
    <w:rsid w:val="00EA2CBE"/>
    <w:rsid w:val="00F32FEE"/>
    <w:rsid w:val="00FB10BB"/>
    <w:rsid w:val="0856517C"/>
    <w:rsid w:val="0BFB189F"/>
    <w:rsid w:val="11BD75F7"/>
    <w:rsid w:val="13BE561A"/>
    <w:rsid w:val="15392994"/>
    <w:rsid w:val="18FE139B"/>
    <w:rsid w:val="200D6801"/>
    <w:rsid w:val="3029612C"/>
    <w:rsid w:val="32A221C5"/>
    <w:rsid w:val="33F20F2A"/>
    <w:rsid w:val="34C44675"/>
    <w:rsid w:val="37037799"/>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autoRedefine/>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7305</Words>
  <Characters>7707</Characters>
  <Lines>4</Lines>
  <Paragraphs>1</Paragraphs>
  <TotalTime>6</TotalTime>
  <ScaleCrop>false</ScaleCrop>
  <LinksUpToDate>false</LinksUpToDate>
  <CharactersWithSpaces>7722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2024-08-14T10:43:49Z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