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昌吉州玛纳斯县2023年老旧小区改造（头工小区等18个小区）配套基础设施建设项目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玛纳斯县住房和城乡建设局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玛纳斯县住房和城乡建设局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赖强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随着城市化进程的加快，人们对城市环境质量的要求越来越高。玛纳斯镇虽然作为玛纳斯县的中心城区，但是由于区位条件、发展基础、产业带动、城镇化建设进度等多方面因素，城市基础设施建设仍相对较为落后、城镇化发展进程仍较为缓慢，尤其随着城乡统筹发展建设和农村牧区人口大规模向城市转移，以及玛纳斯县老旧小区建成年限长久，市政供排水管网现状条件已不能完全满足不断拓展的城市规模，亟待进行全面改造建设。尤其是随着《玛纳斯县玛纳斯县控制性详细规划》的批准执行，对玛纳斯县住宅小区配套设施建设及其综合管线等城市基础设施建设提出了更高的要求，对全市管网系统为主的城市基础设施进行全面改造建设已成为玛纳斯县打造中心城市和宜居精品城市的重点工作，更是玛纳斯县拓展城市规模、完善城市工程、改善城市环境的重要措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发改投资〔2023]29号项目立项批复和昌州财建【2023】96号—关于下达2023年城市燃气管道等老化更新改造和保障性安居工程专项（城市燃气管道等老化更新改造方向）中央基建投资预算的通知文件要求，实施本项目。</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2024年昌吉州玛纳斯县2023年老旧小区改造（头工小区等18个小区）配套基础设施</w:t>
      </w:r>
      <w:bookmarkStart w:id="0" w:name="_GoBack"/>
      <w:bookmarkEnd w:id="0"/>
      <w:r>
        <w:rPr>
          <w:rStyle w:val="18"/>
          <w:rFonts w:hint="eastAsia" w:ascii="楷体" w:hAnsi="楷体" w:eastAsia="楷体"/>
          <w:b w:val="0"/>
          <w:bCs w:val="0"/>
          <w:spacing w:val="-4"/>
          <w:sz w:val="32"/>
          <w:szCs w:val="32"/>
        </w:rPr>
        <w:t>建设项目绩效总体目标为：该项目2023年共计支出475万元，预付工程款涉及施工单位数量1家，资金支付合规率为100%，招投标工作完成及时率为100%，工程施工预付款成本475万元，预算支出控制率为100%，有效推进重点项目建设，受群众满意度达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“预付工程款涉及施工单位数量”指标，预期指标值为=1家；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“招投标工作完成及时率”指标，预期指标值为=100%；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“工程施工预付款成本”，预期指标值为≤475万元；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“有效推进重点项目建设”指标，预期指标值为有效推进；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此次我单位根据《财政支出绩效评价管理暂行办法》（财预〔2020〕10号）文件要求对2023年度我单位实施的昌吉州玛纳斯县2023年老旧小区改造（头工小区等18个小区）配套基础设施建设项目开展部门绩效评价。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昌吉州玛纳斯县2023年老旧小区改造（头工小区等18个小区）配套基础设施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昌吉州玛纳斯县2023年老旧小区改造（头工小区等18个小区）配套基础设施建设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包成忠局长任评价组组长，绩效评价工作职责为检查项目绩效指标完成情况，审定项目支出绩效评价结果及项目支出绩效评价报告。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陆军副局长任评价组副组长，绩效评价工作职责为组织和协调项目工作人员采取实地调查、资料检查等方式，核实项目绩效指标完成情况；组织受益对象对项目工作进行评价等。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赖强任评价组成员，绩效评价工作职责为做好项目支出绩效评价工作的沟通协调工作，对项目实施情况进行实地调查，编写项目支出绩效评价报告。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昌吉州玛纳斯县2023年老旧小区改造（头工小区等18个小区）配套基础设施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昌吉州玛纳斯县2023年老旧小区改造（头工小区等18个小区）配套基础设施建设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表3-1：昌吉州玛纳斯县2023年老旧小区改造（园艺场小区、车站小区等8个住宅楼小区）配套基础设施建设项目得分表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①项目根据《昌吉州发改委住房和城乡建设局关于下达保障性安居工程2022年第二批配套基础设施建设项目中央预算内投资计划的通知》昌州发改投资[2022]44 号文件的要求立项，符合国家法律法规、国民经济发展规划和相关政策；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资金到位率=（475万元/475万元）×100%=100%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预算执行率=（475万元/475万元）×100%=100%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①已制定《玛纳斯县住建局政府采购内控制度》、《玛纳斯县住建局内部审计制度（试行）》、《玛纳斯县住建局项目管理制度（试行）》；具有相应的财务和业务管理制度。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预付工程款涉及施工单位数量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资金支付合规率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招投标工作完成及时率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“预付工程款涉及施工单位数量”指标，预期指标值为=1家，实际完成为1家。实际完成率=（1家/1家）×100%=100%。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“招投标工作完成及时率”指标，预期指标值为=100%，实际完成为100%。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工程施工预付款成本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≤475万元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=475万元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“工程施工预付款成本”指标，预期指标值为≤475万元，实际完成为475万元。实际完成率=（475万元/475万元）×100%=100%。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本项目暂无此项指标综上。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本项目暂无此项指标综上。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有效推进重点项目建设</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有效推进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有效推进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受益对象满意度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本项目暂无此项指标综上。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“有效推进重点项目建设”指标，预期指标值为有效推进，实际完成为有效推进。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通过项目的实施，有效推进重点项目工作，加快项目建设内容。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本项目暂无此项指标综上。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该项目执行进度为100%，无偏差。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6D143F7"/>
    <w:rsid w:val="18FE139B"/>
    <w:rsid w:val="3029612C"/>
    <w:rsid w:val="32A221C5"/>
    <w:rsid w:val="33F20F2A"/>
    <w:rsid w:val="34C44675"/>
    <w:rsid w:val="3B5B5607"/>
    <w:rsid w:val="3CE21B3C"/>
    <w:rsid w:val="4D2606A1"/>
    <w:rsid w:val="51830480"/>
    <w:rsid w:val="53A616BE"/>
    <w:rsid w:val="54662BFB"/>
    <w:rsid w:val="62051CA5"/>
    <w:rsid w:val="6C3A69EF"/>
    <w:rsid w:val="7BDF2CF1"/>
    <w:rsid w:val="7D405FDC"/>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autoRedefine/>
    <w:qFormat/>
    <w:uiPriority w:val="99"/>
    <w:rPr>
      <w:rFonts w:ascii="Calibri" w:hAnsi="Calibri" w:eastAsia="宋体"/>
      <w:kern w:val="2"/>
      <w:sz w:val="18"/>
      <w:szCs w:val="18"/>
    </w:rPr>
  </w:style>
  <w:style w:type="character" w:customStyle="1" w:styleId="45">
    <w:name w:val="批注框文本 Char"/>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93</Words>
  <Characters>531</Characters>
  <Lines>4</Lines>
  <Paragraphs>1</Paragraphs>
  <TotalTime>4</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2024-05-15T08:23:19Z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