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E269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2E7C695">
      <w:pPr>
        <w:spacing w:line="540" w:lineRule="exact"/>
        <w:jc w:val="center"/>
        <w:rPr>
          <w:rFonts w:ascii="华文中宋" w:hAnsi="华文中宋" w:eastAsia="华文中宋" w:cs="宋体"/>
          <w:b/>
          <w:kern w:val="0"/>
          <w:sz w:val="52"/>
          <w:szCs w:val="52"/>
        </w:rPr>
      </w:pPr>
    </w:p>
    <w:p w14:paraId="5ADF1231">
      <w:pPr>
        <w:spacing w:line="540" w:lineRule="exact"/>
        <w:jc w:val="center"/>
        <w:rPr>
          <w:rFonts w:ascii="华文中宋" w:hAnsi="华文中宋" w:eastAsia="华文中宋" w:cs="宋体"/>
          <w:b/>
          <w:kern w:val="0"/>
          <w:sz w:val="52"/>
          <w:szCs w:val="52"/>
        </w:rPr>
      </w:pPr>
    </w:p>
    <w:p w14:paraId="736CE9A9">
      <w:pPr>
        <w:spacing w:line="540" w:lineRule="exact"/>
        <w:jc w:val="center"/>
        <w:rPr>
          <w:rFonts w:ascii="华文中宋" w:hAnsi="华文中宋" w:eastAsia="华文中宋" w:cs="宋体"/>
          <w:b/>
          <w:kern w:val="0"/>
          <w:sz w:val="52"/>
          <w:szCs w:val="52"/>
        </w:rPr>
      </w:pPr>
    </w:p>
    <w:p w14:paraId="3D459AC5">
      <w:pPr>
        <w:spacing w:line="540" w:lineRule="exact"/>
        <w:jc w:val="center"/>
        <w:rPr>
          <w:rFonts w:ascii="华文中宋" w:hAnsi="华文中宋" w:eastAsia="华文中宋" w:cs="宋体"/>
          <w:b/>
          <w:kern w:val="0"/>
          <w:sz w:val="52"/>
          <w:szCs w:val="52"/>
        </w:rPr>
      </w:pPr>
    </w:p>
    <w:p w14:paraId="512143A7">
      <w:pPr>
        <w:spacing w:line="540" w:lineRule="exact"/>
        <w:jc w:val="center"/>
        <w:rPr>
          <w:rFonts w:ascii="华文中宋" w:hAnsi="华文中宋" w:eastAsia="华文中宋" w:cs="宋体"/>
          <w:b/>
          <w:kern w:val="0"/>
          <w:sz w:val="52"/>
          <w:szCs w:val="52"/>
        </w:rPr>
      </w:pPr>
    </w:p>
    <w:p w14:paraId="2AF1DE80">
      <w:pPr>
        <w:spacing w:line="540" w:lineRule="exact"/>
        <w:jc w:val="center"/>
        <w:rPr>
          <w:rFonts w:ascii="华文中宋" w:hAnsi="华文中宋" w:eastAsia="华文中宋" w:cs="宋体"/>
          <w:b/>
          <w:kern w:val="0"/>
          <w:sz w:val="52"/>
          <w:szCs w:val="52"/>
        </w:rPr>
      </w:pPr>
    </w:p>
    <w:p w14:paraId="43AA14F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4610B1F">
      <w:pPr>
        <w:spacing w:line="540" w:lineRule="exact"/>
        <w:jc w:val="center"/>
        <w:rPr>
          <w:rFonts w:ascii="华文中宋" w:hAnsi="华文中宋" w:eastAsia="华文中宋" w:cs="宋体"/>
          <w:b/>
          <w:kern w:val="0"/>
          <w:sz w:val="52"/>
          <w:szCs w:val="52"/>
        </w:rPr>
      </w:pPr>
    </w:p>
    <w:p w14:paraId="089DB18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388EB91">
      <w:pPr>
        <w:spacing w:line="540" w:lineRule="exact"/>
        <w:jc w:val="center"/>
        <w:rPr>
          <w:rFonts w:hAnsi="宋体" w:eastAsia="仿宋_GB2312" w:cs="宋体"/>
          <w:kern w:val="0"/>
          <w:sz w:val="30"/>
          <w:szCs w:val="30"/>
        </w:rPr>
      </w:pPr>
    </w:p>
    <w:p w14:paraId="11C74D8E">
      <w:pPr>
        <w:spacing w:line="540" w:lineRule="exact"/>
        <w:jc w:val="center"/>
        <w:rPr>
          <w:rFonts w:hAnsi="宋体" w:eastAsia="仿宋_GB2312" w:cs="宋体"/>
          <w:kern w:val="0"/>
          <w:sz w:val="30"/>
          <w:szCs w:val="30"/>
        </w:rPr>
      </w:pPr>
    </w:p>
    <w:p w14:paraId="1E0E38C0">
      <w:pPr>
        <w:spacing w:line="540" w:lineRule="exact"/>
        <w:jc w:val="center"/>
        <w:rPr>
          <w:rFonts w:hAnsi="宋体" w:eastAsia="仿宋_GB2312" w:cs="宋体"/>
          <w:kern w:val="0"/>
          <w:sz w:val="30"/>
          <w:szCs w:val="30"/>
        </w:rPr>
      </w:pPr>
    </w:p>
    <w:p w14:paraId="57AE0621">
      <w:pPr>
        <w:spacing w:line="540" w:lineRule="exact"/>
        <w:jc w:val="center"/>
        <w:rPr>
          <w:rFonts w:hAnsi="宋体" w:eastAsia="仿宋_GB2312" w:cs="宋体"/>
          <w:kern w:val="0"/>
          <w:sz w:val="30"/>
          <w:szCs w:val="30"/>
        </w:rPr>
      </w:pPr>
    </w:p>
    <w:p w14:paraId="21BCCDFD">
      <w:pPr>
        <w:spacing w:line="540" w:lineRule="exact"/>
        <w:jc w:val="center"/>
        <w:rPr>
          <w:rFonts w:hAnsi="宋体" w:eastAsia="仿宋_GB2312" w:cs="宋体"/>
          <w:kern w:val="0"/>
          <w:sz w:val="30"/>
          <w:szCs w:val="30"/>
        </w:rPr>
      </w:pPr>
    </w:p>
    <w:p w14:paraId="301E039A">
      <w:pPr>
        <w:spacing w:line="540" w:lineRule="exact"/>
        <w:jc w:val="center"/>
        <w:rPr>
          <w:rFonts w:hAnsi="宋体" w:eastAsia="仿宋_GB2312" w:cs="宋体"/>
          <w:kern w:val="0"/>
          <w:sz w:val="30"/>
          <w:szCs w:val="30"/>
        </w:rPr>
      </w:pPr>
    </w:p>
    <w:p w14:paraId="05A88278">
      <w:pPr>
        <w:spacing w:line="540" w:lineRule="exact"/>
        <w:rPr>
          <w:rFonts w:hAnsi="宋体" w:eastAsia="仿宋_GB2312" w:cs="宋体"/>
          <w:kern w:val="0"/>
          <w:sz w:val="30"/>
          <w:szCs w:val="30"/>
        </w:rPr>
      </w:pPr>
    </w:p>
    <w:p w14:paraId="33CBB03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60030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2023年自治区优抚对象补助金</w:t>
      </w:r>
    </w:p>
    <w:p w14:paraId="3466C43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玛纳斯县退役军人事务局</w:t>
      </w:r>
    </w:p>
    <w:p w14:paraId="2F7D688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玛纳斯县退役军人事务局</w:t>
      </w:r>
    </w:p>
    <w:p w14:paraId="464CACA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张勇</w:t>
      </w:r>
    </w:p>
    <w:p w14:paraId="2479E36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4A312962">
      <w:pPr>
        <w:spacing w:line="700" w:lineRule="exact"/>
        <w:ind w:firstLine="708" w:firstLineChars="236"/>
        <w:jc w:val="left"/>
        <w:rPr>
          <w:rFonts w:hAnsi="宋体" w:eastAsia="仿宋_GB2312" w:cs="宋体"/>
          <w:kern w:val="0"/>
          <w:sz w:val="30"/>
          <w:szCs w:val="30"/>
        </w:rPr>
      </w:pPr>
    </w:p>
    <w:p w14:paraId="6C72F3BB">
      <w:pPr>
        <w:spacing w:line="540" w:lineRule="exact"/>
        <w:rPr>
          <w:rStyle w:val="18"/>
          <w:rFonts w:ascii="黑体" w:hAnsi="黑体" w:eastAsia="黑体"/>
          <w:b w:val="0"/>
          <w:spacing w:val="-4"/>
          <w:sz w:val="32"/>
          <w:szCs w:val="32"/>
        </w:rPr>
      </w:pPr>
    </w:p>
    <w:p w14:paraId="1C67BC4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B159FD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C4CBE3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根据昌州财社〔2022〕64号文件要求，对玛纳斯县在册400余名优抚对象按月发放优抚对象补助资金，充分体现党和政府对各类优抚对象的关怀，提高和改善他们的生活水平。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项目的实施提高了社会稳定水平，提升了在乡复员老军人、伤残士兵、60岁以上农村籍退役士兵等各类优抚对象的生活水平。我县在拥军优属拥政爱民工作中，改善了在乡复员老军人、伤残士兵、60岁以上农村籍退役士兵等各类优抚对象的生活状况，助推了全县拥军优属拥政爱民的良好风尚，增强了各类优抚对象的获得感、幸福感和满意率，为促进经济社会，发展全面建设小康社会作出了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在乡复员老军人、伤残士兵、60岁以上农村籍退役士兵等各类优抚对象的生活水平，增强了各类优抚对象的获得感、幸福感和满意率，助推了全县拥军优属拥政爱民的良好风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2023年优抚对象生活补助经费项目的实施主体为玛纳斯县退役军人事务局，该单位纳入2023年部门决算编制范围的有2个科室，分别是：财务室、玛纳斯县退役军人服务中心。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编制人数为10人，其中：行政人员编制4人、工勤1人、事业编制5人。实有在职人数10人，其中：行政在职4人、工勤1人、事业在职5人。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优抚对象生活补助经费项目预算安排总额为506.32万元，其中财政资金506.32万元，其他资金0万元，2023年实际收到预算资金506.32万元，预算资金到位率为100%。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截止2023年12月31日，优抚对象生活补助经费项目实际支付资金506.32万元，预算执行率100%。结转结余资金0万元。项目资金主要用于在乡复员老军人、伤残士兵、60岁以上农村籍退役士兵等各类优抚对象生活补助</w:t>
      </w:r>
      <w:bookmarkStart w:id="0" w:name="_GoBack"/>
      <w:bookmarkEnd w:id="0"/>
      <w:r>
        <w:rPr>
          <w:rStyle w:val="18"/>
          <w:rFonts w:hint="eastAsia" w:ascii="楷体" w:hAnsi="楷体" w:eastAsia="楷体"/>
          <w:b w:val="0"/>
          <w:bCs w:val="0"/>
          <w:spacing w:val="-4"/>
          <w:sz w:val="32"/>
          <w:szCs w:val="32"/>
        </w:rPr>
        <w:t>等方面。</w:t>
      </w:r>
    </w:p>
    <w:p w14:paraId="146555A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4E4CD0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项目绩效总体目标为：本项目拟投入300万元退役安置优抚对象补助经费，主要实施优抚对象人数440人、经费足额拨付率100%：资金资金拨付及时率100%、优抚对象补助资金及时到位率100%、优抚对象补助资金按时发放情况每月按时发放、60岁农村籍退役士兵生活补助&lt;=313.32万元、革命伤残军人补助资金&lt;=133万元，于2023年12月31日前完工，通过本项目的实施，促进社会和谐发展，改善退役士兵生活水平,完善资金使用的合理性，使退役安置人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“优抚对象人数”指标，预期指标值为≥440人；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“经费足额拨付率”指标，预期指标值为=100%；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“各类优抚对象补助按标准规定执行率”指标，预期指标值为=100%；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“优抚对象补助资金及时到位率”指标，预期指标值为=100%；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“优抚对象补助资金按时发放情况”指标，预期指标值为每月按时发放；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“60岁农村籍退役士兵生活补助”指标，预期指标值为≤313.32万元；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“革命伤残军人补助资金”指标，预期指标值为≤133万元；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“优抚对象生活情况”指标，预期指标值为有效改善；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“优抚对象满意度”指标，预期指标值为≥90%。</w:t>
      </w:r>
    </w:p>
    <w:p w14:paraId="3C543B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2107AD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80C5E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此次我单位根据《财政支出绩效评价管理暂行办法》（财预〔2020〕10号）文件要求对2023年度我单位实施的优抚对象生活补助经费项目开展部门绩效评价。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87F37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4DCBB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优抚对象生活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本次绩效评价采用的方法比较法、因素分析法、公众评判法对项目绩效目标预期指标值与实施情况进行比较，以及采取公众问卷及抽样调查等方式进行评判的方法对优抚对象生活补助经费项目进行评价。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45E3E2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05EB9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张勇（玛纳斯县退役军人事务局党组书记）任评价组组长，绩效评价工作职责为检查项目绩效指标完成情况，审定项目支出绩效评价结果及项目支出绩效评价报告。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华（玛纳斯县退役军人事务局党组成员、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婷（财务人员）、李甜（财务人员）、陈孝文（负责优抚对象生活补助经费业务人员）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优抚对象生活补助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9A276D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3C623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优抚对象生活补助经费项目绩效进行客观评价，最终评分结果：总分为97.28分，绩效评级为“优”。各部分权重和绩效汇总分值如下表3-1所示（详见上传的附件）：</w:t>
      </w:r>
    </w:p>
    <w:p w14:paraId="63F75E3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852550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B4687A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①项目根据昌州财社〔2022〕64号文件立项，符合国家法律法规、国民经济发展规划和相关政策；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7FD197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6FDAE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资金到位率=（506.32/506.32）×100%。=100%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预算执行率=（506.32/506.32）×100%。=100%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w:t>
      </w:r>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财务管理制度和</w:t>
      </w:r>
      <w:r>
        <w:rPr>
          <w:rStyle w:val="18"/>
          <w:rFonts w:hint="eastAsia" w:ascii="楷体" w:hAnsi="楷体" w:eastAsia="楷体"/>
          <w:b w:val="0"/>
          <w:bCs w:val="0"/>
          <w:spacing w:val="-4"/>
          <w:sz w:val="32"/>
          <w:szCs w:val="32"/>
          <w:lang w:eastAsia="zh-CN"/>
        </w:rPr>
        <w:t>退役军人事务局</w:t>
      </w:r>
      <w:r>
        <w:rPr>
          <w:rStyle w:val="18"/>
          <w:rFonts w:hint="eastAsia" w:ascii="楷体" w:hAnsi="楷体" w:eastAsia="楷体"/>
          <w:b w:val="0"/>
          <w:bCs w:val="0"/>
          <w:spacing w:val="-4"/>
          <w:sz w:val="32"/>
          <w:szCs w:val="32"/>
        </w:rPr>
        <w:t>业务管理办法。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③项目资金申请文件等资料齐全并及时归档；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F1166B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9D2A1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“优抚对象人数”指标，预期指标值为≥440人，实际完成为43人。实际完成率=（473/440）×100%=107.75%。实际完成率为100%。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“经费足额拨付率”指标，预期指标值为=100%，实际完成为100%。实际完成率=（100/100）×100%=100%。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“各类优抚对象补助按标准规定执行率”指标，预期指标值为=100%，实际完成为100%。实际完成率=（100/100）×100%=100%。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“优抚对象补助资金及时到位率”指标，预期指标值为=100%，实际完成为100%。实际完成率=（100/100）×100%=100%。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“优抚对象补助资金按时发放情况”指标，预期指标值为=100%，实际完成为100%。实际完成率=（100/100）×100%=100%。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项目成本类指标由1个二级指标和2个三级指标构成，权重分15分，实际得分12.28分，各指标业绩值和绩效分值如表4-3所示（详见上传的附件）：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“60岁农村籍退役士兵生活补助”指标，预期指标值为≤313.32万元，实际完成为398.46万元。实际完成率=（398.46/313.32）×100%=127.17%。经济成本设置为小于等于，实际完成率为72.83%。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“革命伤残军人补助资金”指标，预期指标值为≤133万元，实际完成为103.72万元。实际完成率=（103.72/133）×100%=77.98%。经济成本设置为小于等于，实际完成率为100%。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综上，该项指标满分15分，得分12.28分。</w:t>
      </w:r>
    </w:p>
    <w:p w14:paraId="7B3B4D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FAFE9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“优抚对象生活情况”指标，预期指标值为有效改善，实际完成为有效改善。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通过项目的实施，优抚对象生活水平得到提高，生活质量有所改善。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“优抚对象满意度”指标，预期指标值为≥90%，实际完成为=100%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5C0EB82">
      <w:pPr>
        <w:spacing w:line="540" w:lineRule="exact"/>
        <w:ind w:firstLine="567"/>
        <w:rPr>
          <w:rStyle w:val="18"/>
          <w:rFonts w:ascii="楷体" w:hAnsi="楷体" w:eastAsia="楷体"/>
          <w:spacing w:val="-4"/>
          <w:sz w:val="32"/>
          <w:szCs w:val="32"/>
        </w:rPr>
      </w:pPr>
    </w:p>
    <w:p w14:paraId="0F8988A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7071ACD">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优抚对象新申批通过人员较多，导致发放金额增加擦造成偏差21.36%</w:t>
      </w:r>
    </w:p>
    <w:p w14:paraId="4647D5D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ABC4C4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5848E3B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EAC69D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28E2C5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9A825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71D7C6E">
      <w:pPr>
        <w:spacing w:line="540" w:lineRule="exact"/>
        <w:ind w:firstLine="567"/>
        <w:rPr>
          <w:rStyle w:val="18"/>
          <w:rFonts w:ascii="仿宋" w:hAnsi="仿宋" w:eastAsia="仿宋"/>
          <w:b w:val="0"/>
          <w:spacing w:val="-4"/>
          <w:sz w:val="32"/>
          <w:szCs w:val="32"/>
        </w:rPr>
      </w:pPr>
    </w:p>
    <w:p w14:paraId="5A64B2CF">
      <w:pPr>
        <w:spacing w:line="540" w:lineRule="exact"/>
        <w:ind w:firstLine="567"/>
        <w:rPr>
          <w:rStyle w:val="18"/>
          <w:rFonts w:ascii="仿宋" w:hAnsi="仿宋" w:eastAsia="仿宋"/>
          <w:b w:val="0"/>
          <w:spacing w:val="-4"/>
          <w:sz w:val="32"/>
          <w:szCs w:val="32"/>
        </w:rPr>
      </w:pPr>
    </w:p>
    <w:p w14:paraId="6CDD7444">
      <w:pPr>
        <w:spacing w:line="540" w:lineRule="exact"/>
        <w:ind w:firstLine="567"/>
        <w:rPr>
          <w:rStyle w:val="18"/>
          <w:rFonts w:ascii="仿宋" w:hAnsi="仿宋" w:eastAsia="仿宋"/>
          <w:b w:val="0"/>
          <w:spacing w:val="-4"/>
          <w:sz w:val="32"/>
          <w:szCs w:val="32"/>
        </w:rPr>
      </w:pPr>
    </w:p>
    <w:p w14:paraId="3E4CD5A1">
      <w:pPr>
        <w:spacing w:line="540" w:lineRule="exact"/>
        <w:ind w:firstLine="567"/>
        <w:rPr>
          <w:rStyle w:val="18"/>
          <w:rFonts w:ascii="仿宋" w:hAnsi="仿宋" w:eastAsia="仿宋"/>
          <w:b w:val="0"/>
          <w:spacing w:val="-4"/>
          <w:sz w:val="32"/>
          <w:szCs w:val="32"/>
        </w:rPr>
      </w:pPr>
    </w:p>
    <w:p w14:paraId="47EFCD1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7B9D7C5">
        <w:pPr>
          <w:pStyle w:val="12"/>
          <w:jc w:val="center"/>
        </w:pPr>
        <w:r>
          <w:fldChar w:fldCharType="begin"/>
        </w:r>
        <w:r>
          <w:instrText xml:space="preserve">PAGE   \* MERGEFORMAT</w:instrText>
        </w:r>
        <w:r>
          <w:fldChar w:fldCharType="separate"/>
        </w:r>
        <w:r>
          <w:rPr>
            <w:lang w:val="zh-CN"/>
          </w:rPr>
          <w:t>2</w:t>
        </w:r>
        <w:r>
          <w:fldChar w:fldCharType="end"/>
        </w:r>
      </w:p>
    </w:sdtContent>
  </w:sdt>
  <w:p w14:paraId="2A2EE62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20613B"/>
    <w:rsid w:val="0856517C"/>
    <w:rsid w:val="0BFB189F"/>
    <w:rsid w:val="11BD75F7"/>
    <w:rsid w:val="13BE561A"/>
    <w:rsid w:val="15392994"/>
    <w:rsid w:val="18FE139B"/>
    <w:rsid w:val="2A947D7D"/>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6586</Words>
  <Characters>7043</Characters>
  <Lines>4</Lines>
  <Paragraphs>1</Paragraphs>
  <TotalTime>2</TotalTime>
  <ScaleCrop>false</ScaleCrop>
  <LinksUpToDate>false</LinksUpToDate>
  <CharactersWithSpaces>7058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2024-10-21T03:50:22Z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