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2023年中央外经贸发展专项资金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玛纳斯县商务和工业信息化局</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张志鹏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关于下达2023年中央外经贸发展专项资金预算（拨款）的通知》（昌州财建[2023]124号）文件，为更好地支持我县外经贸发展，推动服务贸易创新发展，优化服务进出口结构，推动外贸产品质量和市场占有率得到较大提升，我县新疆源一科创有限公司获得稳规模优结构补助资金149万元、企业开拓市场补助资金6.22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源一科创有限公司2023年外经贸发展专项资金主要是落实高端陶瓷砂盘用硫化纤维板的技术开发改造项目的实施，意在通过和美国的技术合作，将对现有的原材料配比、硫化纤维板的生产工艺以及生产设备进行改造，使最终的产品可以在其产品在伸展性、层间剥离强度等指标上，可以赶超德国的硫化纤维板，打开全球高端陶瓷砂盘用硫化纤维板的市场。可全部保持并高于高质量水平线，实现全年3000-4000吨高品质钢纸，预计可实现新增销售收入1000万元（国内外市场价波动范围），利润280万元，税金90万元，预计2024年出口创汇500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本项目于2023年1月开始实施，截止2023年3月已全部完成，通过本项目的实施，为我县新疆源一科创有限公司创新升级提供了资金保障，切实推动了我县外贸企业创新发展的意识和动力。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2023年外经贸发展专项资金项目的实施主体为玛纳斯县商务和工业信息化局，该单位纳入2023年部门决算编制范围的有4个股室，分别是：党政办公室、工业股、商务股、信息化推进股。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编制人数为23人，其中：行政人员编制13人、工勤2人、事业编制8人。实有在职人数42人，其中：行政在职11人、工勤2人、事业在职7人。离退休人员22人，其中：行政退休人员22人。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2023年外经贸发展专项资金项目预算安排总额为155.22万元，其中财政资金155.22万元，其他资金0万元，2023年实际收到预算资金155.22万元，预算资金到位率为100%。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截止2023年12月31日，2023年外经贸发展专项资金项目实际支付资金155.22万元，预算执行率100%。结转结余资金0万元。项目资金主要用于企业稳规模优结构和开拓市场等方面。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外经贸发展专项资金项目绩效总体目标为：本项目拟投入155.22万元，主要建设（实施）内容：补助企业1家，资金拨付准确率达到100%，资金拨付合规性达到100%，资金拨付及时率达到100%，资金拨付成本控制率达到100%，通过本项目的实施，有效推动我县外贸企业创新发展，通过及时拨付资金，使受补贴企业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“补助企业数”指标，预期指标值为1家；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“资金拨付合规性”指标，预期指标值为100%；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“资金拨付成本控制率”指标，预期指标值为100%；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“推动我县外贸企业创新发展”指标，预期指标值为有效推动；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此次我单位根据《财政支出绩效评价管理暂行办法》（财预〔2020〕10号）文件要求对2023年度我单位实施的2023年中央外经贸发展专项资金项目开展部门绩效评价。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外经贸发展专项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本次绩效评价采用的方法比较法、因素分析法、公众评判法对项目绩效目标预期指标值与实施情况进行比较，以及采取公众问卷及抽样调查等方式进行评判的方法对2023年中央外经贸发展专项资金项目进行评价。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巨棡，玛纳斯县商务工信局党组书记任评价组组长，绩效评价工作职责为检查项目绩效指标完成情况，审定项目支出绩效评价结果及项目支出绩效评价报告。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郝亮、玛纳斯县商务工信局长任评价组副组长，绩效评价工作职责为组织和协调项目工作人员采取实地调查、资料检查等方式，核实项目绩效指标完成情况；组织受益对象对项目工作进行评价等。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张志鹏、费凯伦、贾东方任评价组成员，绩效评价工作职责为做好项目支出绩效评价工作的沟通协调工作，对项目实施情况进行实地调查，编写项目支出绩效评价报告。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外经贸发展专项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外经贸发展专项资金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③项目根据《关于下达2023年中央外经贸发展专项资金预算（拨款）的通知》（昌州财建[2023]124号）下达预算资金设立。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资金到位率=（155.22/155.22）×100%。=100%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预算执行率=（155.22/155.22）×100%。=100%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为加强我单位预算管理、规范财务行为我单位制定了《玛纳斯县商务工信局内部控制规范》《玛纳斯县商务工信局项目管理规范》等资金管理制度，已建立制度均健全且有效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“补助企业数”指标，预期指标值为1家，实际完成为1家。实际完成率=（1/1）×100%=100%。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“资金拨付准确率”指标，预期指标值为=100%，实际完成为100%；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“资金拨付合规性”指标，预期指标值为=100%，实际完成为100%；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“资金拨付及时性”指标，预期指标值为&gt;=80%，实际完成为100%。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“推动我县外贸企业创新发展”指标，预期指标值为有效推动，实际完成为100%。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进一步支持我县外贸企业稳规模优结构和开拓市场，切实推动了企业服务贸易创新发展，优化了企业服务进出口结构，我县外贸产品质量和市场占有率得到较大提升，较好推动了我县外贸企业高质量创新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“受补贴企业满意度”指标，预期指标值为&gt;=90%，实际完成为100%。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2023年中央外经贸发展专项资金项目2023年预算数为155.22万元，截至2023年12月31日共支出155.22万元，预算执行率为100%。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商务工信局建立健全了预算管理规章制度，各部门严格按预算编制的原则和要求做好当年预算编制工作，在预算绩效管理工作中，做到合理安排各项资金，重点保障基本支出，按轻重缓急顺序原则，优先安排了玛纳斯县商务工信局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一是业务人员绩效管理意识有待加强，未能全面深入认识绩效管理工作的意义；二是业务人员业务水平不高，绩效指标的科学性、明确性、可衡量性及相关性还需进一步加强。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25630B2"/>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BE156E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2024-05-15T08:10:58Z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