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2022年重大传染病防控经费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玛纳斯县清水河卫生院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玛纳斯县清水河卫生院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古丽买热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根据《关于提前下达2022年中央重大传染病防控经费预算的通知》。(昌州财社【2021】89号文件精神。结合各单位工作开展情况，有关事项如下：本项补助资金主要用于扩大国家免</w:t>
      </w:r>
      <w:bookmarkStart w:id="0" w:name="_GoBack"/>
      <w:bookmarkEnd w:id="0"/>
      <w:r>
        <w:rPr>
          <w:rStyle w:val="18"/>
          <w:rFonts w:hint="eastAsia" w:ascii="楷体" w:hAnsi="楷体" w:eastAsia="楷体"/>
          <w:b w:val="0"/>
          <w:bCs w:val="0"/>
          <w:spacing w:val="-4"/>
          <w:sz w:val="32"/>
          <w:szCs w:val="32"/>
        </w:rPr>
        <w:t>疫规划、结核病防治、血吸虫病与包虫病防治、精神卫生与慢性非传染病防治、重点传染病及健康危害因素监测等工作。 根据医疗卫生领域中央与地方财政事权和支出有关要求，可将补助资金用于各地围绕重大传染病防控工作实施的相关项目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主要内容：本项补助资金预计投入0.44万元，主要用于扩大国家免疫规划、结核病防治、血吸虫病与包虫病防治、精神卫生与慢性非传染病防治、重点传染病及健康危害因素监测等工作。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本项目于2023年1月开始实施，截止2023年12月已全部完成，通过本项目的实施，提升了预防控制传染病的宣传力度。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2022年中央重大传染病防控项目的实施主体为玛纳斯县卫生健康委员会，该单位纳入2023年部门决算编制范围的有7个科室，分别是：行政办公室，党建办，公共卫生科，医政科，计划生育办公室，远程办公室。</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编制人数为25人，其中：事业人员编制25人。实有在职人数30人，其中：聘用人员5人，聘用村医0人、自聘保安、大师傅0人 。离退休人员0人，其中：事业退休8人。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2023年2022年中央重大传染病防控项目预算安排总额为0.44万元，其中财政资金0.44万元，其他资金0万元，2023年实际收到预算资金0.44万元，预算资金到位率为100%。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截止2023年12月31日，2023年中央重大传染病防控项目实际支付资金0.44万元，预算执行率100%。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2023年中央重大传染病防控项目绩效总体目标为： 本项目计划投入0.44万元用于重大传染病宣传支出，主要实施内容为打印宣传物大于等于1000张，采购办公用品大于等于2批，资金足额支付率达到100%，项目按时完成率达到100%，本项目的实施将提高群众对重大传染病重视程度，使辖区内居民满意度达到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“打印重大传染病防治宣传物数量”指标，预期指标值为1000张；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“采购办公用品批次”指标，预期指标为&gt;=2批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“预算资金足额支付”指标，预期指标值为=100%；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“项目计划完成率（%）”指标，预期指标值为=100%；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“重大传染病宣传支出本”指标，预期指标值为=3000元；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“办公经费支出”指标， 预期指标值为=1400元；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“提高群众对重大传染病重视程度”指标，预期指标值为=100%；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“保障辖区内居民对公共卫生满意度）”指标，预期指标值为=100%。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此次我单位根据《财政支出绩效评价管理暂行办法》（财预〔2020〕10号）文件要求对2023年度我单位实施的2023年中央重大传染病防控项目开展部门绩效评价。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重大传染病防控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本次绩效评价采用的方法比较法、因素分析法、公众评判法对项目绩效目标预期指标值与实施情况进行比较，以及采取公众问卷及抽样调查等方式进行评判的方法对2023年中央重大传染病防控项目进行评价。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袁媛职务任评价组组长，绩效评价工作职责为检查项目绩效指标完成情况，审定项目支出绩效评价结果及项目支出绩效评价报告。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古丽米热职务任评价组副组长，绩效评价工作职责为组织和协调项目工作人员采取实地调查、资料检查等方式，核实项目绩效指标完成情况；组织受益对象对项目工作进行评价等。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海拉提、热恰提任评价组成员，绩效评价工作职责为做好项目支出绩效评价工作的沟通协调工作，对项目实施情况进行实地调查，编写项目支出绩效评价报告。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实施内容、目标信息、预算信息以及其他的一些项目基本信息2023年中央重大传染病防控项目，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重大传染病防控项目绩效进行客观评价，最终评分结果：总分为100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①项目根据《关于提前下达2022年中央重大传染病防控经费预算的通知》。(昌州财社【2021】89号文件精神立项，符合国家法律法规、国民经济发展规划和相关政策；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③事前经过项目单位三重一大会议集体决策、绩效评估。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资金到位率=（4400/4400）×100%=100%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预算执行率=（4400/4400）×100%。=100%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①已制定《清水河卫生院财务管理办法》和《清水河卫生院项目业务管理办法》或具有相应的财务和业务管理制度；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“打印重大传染病防治宣传物数量，预期指标值为1000册，实际完成为=1000册。实际完成率=（1000/1000）×100%=100%。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综上，该项指标满分6分，得分6分。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“采购办公用品批次，预期指标值为2批，实际完成为=2批。实际完成率=（2/2）×100%=100%。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“预算资金足额支付率”指标，预期指标值为100%，实际完成为100%。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“项目计划完成率”指标，预期指标值为100%，实际完成为100%。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项目成本类指标由1个二级指标和2个三级指标构成，权重分20分，实际得分15分，各指标业绩值和绩效分值如表4-3所示（详见上传的附件）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“重大传染病宣传支出”指标，预期指标值为=3000元，实际完成为100%。实际完成率=（3000）×100%=100%。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“办公经费支出”指标，预期指标值为=1400元，实际完成为100%。实际完成率=（1400）×100%=100%。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综上，该项指标满分5分，得分5分。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“提高群众对重大传染病重视程度”指标，预期指标值为有待提高，实际完成为100%。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通过项目的实施，发放了预防传染病的宣传资料，有效提高群众对重大传染病重视程度。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“保障辖区内居民对公共卫生满意度”指标，预期指标值为&gt;=95%，实际完成为100%。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预算执行进度与绩效指标无偏差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六、有关建议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EB228FD"/>
    <w:rsid w:val="11BD75F7"/>
    <w:rsid w:val="13BE561A"/>
    <w:rsid w:val="15392994"/>
    <w:rsid w:val="18FE139B"/>
    <w:rsid w:val="3029612C"/>
    <w:rsid w:val="32A221C5"/>
    <w:rsid w:val="33F20F2A"/>
    <w:rsid w:val="34C44675"/>
    <w:rsid w:val="3B5B5607"/>
    <w:rsid w:val="3CE21B3C"/>
    <w:rsid w:val="4D2606A1"/>
    <w:rsid w:val="51830480"/>
    <w:rsid w:val="53A616BE"/>
    <w:rsid w:val="54662BFB"/>
    <w:rsid w:val="55DD3678"/>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6840</Words>
  <Characters>7198</Characters>
  <Lines>4</Lines>
  <Paragraphs>1</Paragraphs>
  <TotalTime>3</TotalTime>
  <ScaleCrop>false</ScaleCrop>
  <LinksUpToDate>false</LinksUpToDate>
  <CharactersWithSpaces>7216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2024-05-16T07:46:09Z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