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2023年自治区财政专项彩票公益金资助各地州市重点社会公益项目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玛纳斯县青少年活动中心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玛纳斯县青少年活动中心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新财综[2022]60号2023年自治区财政专项彩票公益金资助各地州市重点社会公益项目文件要求，玛纳斯青少年活动中心前期无校外教育培训所需的活动场所，2017年县委县人民政府计划争取福建援疆资金修建6500平米新场馆于青少年校外活动场所专用，目前场馆已建成交工，青少年活动中心于2022年申报的300万元中央彩票金“新建场所打造与设备购置”项目实施已近尾声，根据前期对新建场所1——4楼所做的精细规划，通过在政采云平台进行询价、前往东三县对各地场馆进行实地考察后，进一步完善规划，最终将设备购置项目做了四包的规划，并委托新疆沃图恒辉建设工程项目管理有限公司为青少年活动中心新建场所打造与设备购置的招标代理机构，通过竞争性磋商的招标方式，顺利完成四包的招标代理工作。其中第一包：中标单位为新疆智慧物联智能有限公司，以475000元的中标价负责项目的LED字幕屏、LED背景墙等的制作；第二包：中标单位为乌鲁木齐宏宇昌达商贸有限公司，以146410元的中标价负责购置灯光、音响设备等；第三包：中标单位为乌鲁木齐趋势商贸有限公司，以288000元的中标价负责购置新建场所的科技教育设备等；第四包：中标单位为新疆优盛源教育科技有限公司，以221600元的中标价购置新建场所的武术器材等设备。同时委托玛纳斯县政务服务中心为招标代理机构，通过竞争性磋商对青少年活动中心场所打造项目进行采购，确定夏杰房屋修缮装修队、新疆俊龙市政工程有限公司分别为新场所打造项目（装修、装饰）施工单位。并通过市场询价，由新疆德善工程项目管理有限公司和嘉翔项目管理有限公司对新场所打造项目进行审计，截至目前，青少年活动中心新建场所打造与设备购置项目工程已经如期完工，300万元中央彩票金也已通过政府的监督管理按照规范的流程合理使用完。装修后的场馆为青少年提供了安全舒适的学习环境，有效提高了青少年参与校外培训的积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实施达到了改善教学环境，完善教学设备，有效促进校外教育发展的效益。本项目于2023年1月开始实施，截止2023年12月已全部完成，通过本项目的实施，为青少年提供了安全舒适的学习环境，有效提高了青少年参与校外培训的积极性。青少年活动中心于2022年申报的300万元中央彩票金“新建场所打造与设备购置”项目实施已近尾声，根据前期对新建场所1——4楼所做的精细规划，通过在政采云平台进行询价、前往东三县对各地场馆进行实地考察后，进一步完善规划，最终将设备购置项目做了四包的规划，并委托新疆沃图恒辉建设工程项目管理有限公司为青少年活动中心新建场所打造与设备购置的招标代理机构，通过竞争性磋商的招标方式，顺利完成四包的招标代理工作。其中第一包：中标单位为新疆智慧物联智能有限公司，以475000元的中标价负责项目的LED字幕屏、LED背景墙等的制作；第二包：中标单位为乌鲁木齐宏宇昌达商贸有限公司，以146410元的中标价负责购置灯光、音响设备等；第三包：中标单位为乌鲁木齐趋势商贸有限公司，以288000元的中标价负责购置新建场所的科技教育设备等；第四包：中标单位为新疆优盛源教育科技有限公司，以221600元的中标价购置新建场所的武术器材等设备。同时委托玛纳斯县政务服务中心为招标代理机构，通过竞争性磋商对青少年活动中心场所打造项目进行采购，确定夏杰房屋修缮装修队、新疆俊龙市政工程有限公司分别为新场所打造项目（装修、装饰）施工单位。并通过市场询价，由新疆德善工程项目管理有限公司和嘉翔项目管理有限公司对新场所打造项目进行审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2023年自治区财政专项彩票公益金资助各地州市重点社会公益项目的实施主体为玛纳斯县青少年活动中心，该单位纳入2023年部门决算编制范围的有1个科室，分别是：行政办公室。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编制人数为5人，其中：事业编制4人。实有在职人数4人，事业在职4人。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2023年自治区财政专项彩票公益金资助各地州市重点社会公益项目预算安排总额为300万元，其中财政资金300万元，其他资金0万元，2023年实际收到预算资金300万元，预算资金到位率为100%。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自治区财政专项彩票公益金资助各地州市重点社会公益项目实际支付资金275.88万元，预算执行率91.96%。结转结余资金24.12万元，已上缴国库。项目资金主要用于新建场所打造与设备购置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专项彩票公益金资助各地州市重点社会公益项目绩效总体目标为：本项目拟投入300（项目预算）万元，主要实施内容为：1.室内面积7813平方米，设备购置9类，项目竣工验收合格率大于等于99%，资金及时拨付率达到100%，上级专项资金金额场所打造成本控制在175万元，上级专项资金金额设备购置成本控制住125万元，提高青少年科技素养、德育教育和实践能力，有效提高，学生满意率大于等于95%。项目计划于2023年12月31日前完成，通过本项目的实施，满足群众的需要，促进校外教育的发展，改善教学环境，完善教学设备，使学生满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“室内装修改造面积”指标，预期指标值为=7813平方米；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“教学设备采购类数”指标，预期指标值为=9类；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“项目竣工验收合格率”指标，预期指标值为&gt;=99%；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“资金及时拨付率”指标，预期指标值为=100%；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“上级专项资金金额场所打造”指标，预期指标值为&lt;=175万元；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“上级专项资金金额设备购置”指标，预期指标值为&lt;=125万元；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“提高青少年科技素养、德育教育和实践能力</w:t>
      </w:r>
      <w:r>
        <w:rPr>
          <w:rStyle w:val="18"/>
          <w:rFonts w:hint="eastAsia" w:ascii="楷体" w:hAnsi="楷体" w:eastAsia="楷体"/>
          <w:b w:val="0"/>
          <w:bCs w:val="0"/>
          <w:spacing w:val="-4"/>
          <w:sz w:val="32"/>
          <w:szCs w:val="32"/>
        </w:rPr>
        <w:tab/>
        <w:t>”指标，预期指标值为有效提高；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“学生满意率”指标，预期指标值为&gt;=95%。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此次我单位根据《财政支出绩效评价管理暂行办法》（财预〔2020〕10号）文件要求对2023年度我单位实施的2023年自治区财政专项彩票公益金资助各地州市重点社会公益项目开展部门绩效评价。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自治区财政专项彩票公益金资助各地州市重点社会公益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自治区财政专项彩票公益金资助各地州市重点社会公益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周萍书记任评价组组长，绩效评价工作职责为检查项目绩效指标完成情况，审定项目支出绩效评价结果及项目支出绩效评价报告。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努尔古丽·卡吾克主任任评价组副组长，绩效评价工作职责为组织和协调项目工作人员采取实地调查、资料检查等方式，核实项目绩效指标完成情况；组织受益对象对项目工作进行评价等。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张新萍、梁田、刘金艳、厉朝辉任评价组成员，绩效评价工作职责为做好项目支出绩效评价工作的沟通协调工作，对项目实施情况进行实地调查，编写项目支出绩效评价报告。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自治区财政专项彩票公益金资助各地州市重点社会公益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自治区财政专项彩票公益金资助各地州市重点社会公益项目绩效进行客观评价，最终评分结果：总分为98.57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①项目根据新财综[2022]60号2023年自治区财政专项彩票公益金资助各地州市重点社会公益项目文件要求立项，符合国家法律法规、国民经济发展规划和相关政策；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项目过程管理类指标由2个二级指标和5个三级指标构成，权重分20分，实际得分19.68分，各指标业绩值和绩效分值如表4-2所示（详见上传的附件）：1.资金到位率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资金到位率=（300/300）×100%=100%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预算执行率=（275.88/300）×100%=91.96%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综上，该项指标满分4分，得分3.68分。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①已制定相应的玛纳斯县青少年活动中心财务管理制度和玛纳斯县青少年活动中心项目业务管理制度。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年度指标值</w:t>
      </w:r>
      <w:r>
        <w:rPr>
          <w:rStyle w:val="18"/>
          <w:rFonts w:hint="eastAsia" w:ascii="楷体" w:hAnsi="楷体" w:eastAsia="楷体"/>
          <w:b w:val="0"/>
          <w:bCs w:val="0"/>
          <w:spacing w:val="-4"/>
          <w:sz w:val="32"/>
          <w:szCs w:val="32"/>
        </w:rPr>
        <w:tab/>
        <w:t>标杆分值</w:t>
      </w:r>
      <w:r>
        <w:rPr>
          <w:rStyle w:val="18"/>
          <w:rFonts w:hint="eastAsia" w:ascii="楷体" w:hAnsi="楷体" w:eastAsia="楷体"/>
          <w:b w:val="0"/>
          <w:bCs w:val="0"/>
          <w:spacing w:val="-4"/>
          <w:sz w:val="32"/>
          <w:szCs w:val="32"/>
        </w:rPr>
        <w:tab/>
        <w:t>全年实际完成值</w:t>
      </w:r>
      <w:r>
        <w:rPr>
          <w:rStyle w:val="18"/>
          <w:rFonts w:hint="eastAsia" w:ascii="楷体" w:hAnsi="楷体" w:eastAsia="楷体"/>
          <w:b w:val="0"/>
          <w:bCs w:val="0"/>
          <w:spacing w:val="-4"/>
          <w:sz w:val="32"/>
          <w:szCs w:val="32"/>
        </w:rPr>
        <w:tab/>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数量指标</w:t>
      </w:r>
      <w:r>
        <w:rPr>
          <w:rStyle w:val="18"/>
          <w:rFonts w:hint="eastAsia" w:ascii="楷体" w:hAnsi="楷体" w:eastAsia="楷体"/>
          <w:b w:val="0"/>
          <w:bCs w:val="0"/>
          <w:spacing w:val="-4"/>
          <w:sz w:val="32"/>
          <w:szCs w:val="32"/>
        </w:rPr>
        <w:tab/>
        <w:t>室内装修改造面积</w:t>
      </w:r>
      <w:r>
        <w:rPr>
          <w:rStyle w:val="18"/>
          <w:rFonts w:hint="eastAsia" w:ascii="楷体" w:hAnsi="楷体" w:eastAsia="楷体"/>
          <w:b w:val="0"/>
          <w:bCs w:val="0"/>
          <w:spacing w:val="-4"/>
          <w:sz w:val="32"/>
          <w:szCs w:val="32"/>
        </w:rPr>
        <w:tab/>
        <w:t>=7813平方米</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=7813平方米</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教学设备采购类数</w:t>
      </w:r>
      <w:r>
        <w:rPr>
          <w:rStyle w:val="18"/>
          <w:rFonts w:hint="eastAsia" w:ascii="楷体" w:hAnsi="楷体" w:eastAsia="楷体"/>
          <w:b w:val="0"/>
          <w:bCs w:val="0"/>
          <w:spacing w:val="-4"/>
          <w:sz w:val="32"/>
          <w:szCs w:val="32"/>
        </w:rPr>
        <w:tab/>
        <w:t>=9类</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=9类</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质量指标</w:t>
      </w:r>
      <w:r>
        <w:rPr>
          <w:rStyle w:val="18"/>
          <w:rFonts w:hint="eastAsia" w:ascii="楷体" w:hAnsi="楷体" w:eastAsia="楷体"/>
          <w:b w:val="0"/>
          <w:bCs w:val="0"/>
          <w:spacing w:val="-4"/>
          <w:sz w:val="32"/>
          <w:szCs w:val="32"/>
        </w:rPr>
        <w:tab/>
        <w:t>项目竣工验收合格率</w:t>
      </w:r>
      <w:r>
        <w:rPr>
          <w:rStyle w:val="18"/>
          <w:rFonts w:hint="eastAsia" w:ascii="楷体" w:hAnsi="楷体" w:eastAsia="楷体"/>
          <w:b w:val="0"/>
          <w:bCs w:val="0"/>
          <w:spacing w:val="-4"/>
          <w:sz w:val="32"/>
          <w:szCs w:val="32"/>
        </w:rPr>
        <w:tab/>
        <w:t>&gt;=99%</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时效指标</w:t>
      </w:r>
      <w:r>
        <w:rPr>
          <w:rStyle w:val="18"/>
          <w:rFonts w:hint="eastAsia" w:ascii="楷体" w:hAnsi="楷体" w:eastAsia="楷体"/>
          <w:b w:val="0"/>
          <w:bCs w:val="0"/>
          <w:spacing w:val="-4"/>
          <w:sz w:val="32"/>
          <w:szCs w:val="32"/>
        </w:rPr>
        <w:tab/>
        <w:t>资金及时拨付率</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25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“室内装修面积”指标，预期指标值为=7813平方米，实际完成为7813平方米。实际完成率=（7813/7813）×100%=100%。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“教学设备采购类数”指标，预期指标值为=9类，实际完成为9类。实际完成率=（9类/9类）×100%=100%。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“项目竣工验收合格率”指标，预期指标值为&gt;=99%，实际完成为100%。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“资金及时拨付率”指标，预期指标值为=100%，实际完成为100%。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年度指标值</w:t>
      </w:r>
      <w:r>
        <w:rPr>
          <w:rStyle w:val="18"/>
          <w:rFonts w:hint="eastAsia" w:ascii="楷体" w:hAnsi="楷体" w:eastAsia="楷体"/>
          <w:b w:val="0"/>
          <w:bCs w:val="0"/>
          <w:spacing w:val="-4"/>
          <w:sz w:val="32"/>
          <w:szCs w:val="32"/>
        </w:rPr>
        <w:tab/>
        <w:t>标杆分值</w:t>
      </w:r>
      <w:r>
        <w:rPr>
          <w:rStyle w:val="18"/>
          <w:rFonts w:hint="eastAsia" w:ascii="楷体" w:hAnsi="楷体" w:eastAsia="楷体"/>
          <w:b w:val="0"/>
          <w:bCs w:val="0"/>
          <w:spacing w:val="-4"/>
          <w:sz w:val="32"/>
          <w:szCs w:val="32"/>
        </w:rPr>
        <w:tab/>
        <w:t>全年实际完成值</w:t>
      </w:r>
      <w:r>
        <w:rPr>
          <w:rStyle w:val="18"/>
          <w:rFonts w:hint="eastAsia" w:ascii="楷体" w:hAnsi="楷体" w:eastAsia="楷体"/>
          <w:b w:val="0"/>
          <w:bCs w:val="0"/>
          <w:spacing w:val="-4"/>
          <w:sz w:val="32"/>
          <w:szCs w:val="32"/>
        </w:rPr>
        <w:tab/>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t>经济成本指标</w:t>
      </w:r>
      <w:r>
        <w:rPr>
          <w:rStyle w:val="18"/>
          <w:rFonts w:hint="eastAsia" w:ascii="楷体" w:hAnsi="楷体" w:eastAsia="楷体"/>
          <w:b w:val="0"/>
          <w:bCs w:val="0"/>
          <w:spacing w:val="-4"/>
          <w:sz w:val="32"/>
          <w:szCs w:val="32"/>
        </w:rPr>
        <w:tab/>
        <w:t>上级专项资金金额场所打造</w:t>
      </w:r>
      <w:r>
        <w:rPr>
          <w:rStyle w:val="18"/>
          <w:rFonts w:hint="eastAsia" w:ascii="楷体" w:hAnsi="楷体" w:eastAsia="楷体"/>
          <w:b w:val="0"/>
          <w:bCs w:val="0"/>
          <w:spacing w:val="-4"/>
          <w:sz w:val="32"/>
          <w:szCs w:val="32"/>
        </w:rPr>
        <w:tab/>
        <w:t>&lt;=175万元</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=151.83万元</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上级专项资金金额设备购置</w:t>
      </w:r>
      <w:r>
        <w:rPr>
          <w:rStyle w:val="18"/>
          <w:rFonts w:hint="eastAsia" w:ascii="楷体" w:hAnsi="楷体" w:eastAsia="楷体"/>
          <w:b w:val="0"/>
          <w:bCs w:val="0"/>
          <w:spacing w:val="-4"/>
          <w:sz w:val="32"/>
          <w:szCs w:val="32"/>
        </w:rPr>
        <w:tab/>
        <w:t>&lt;=125万元</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=124.05万元</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“上级专项资金金额场所打造”指标，预期指标值为8，实际完成为6.9。实际完成率=（151.83/175）×100%=86.76%。本项目绩效目标设置为小于等于175万元，实际完成率为100%。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“上级专项资金金额设备购置”指标，预期指标值为7，实际完成为6.9。实际完成率=（124.05/125）×100%=99.24%。本项目绩效目标设置为小于等于125万元，实际完成率为100%。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项目效益类指标由1个二级指标和1个三级指标构成，权重分20分，实际得分20分，各指标业绩值和绩效分值如表4-5所示（详见上传的附件）：1.社会效益指标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“社会效益”指标，预期指标值为有效提高，实际完成为100%。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通过项目的实施，达到改善教学环境，完善教学设备，有效促进校外教育发展的效益。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“满意度”指标，预期指标值为有效提高，实际完成为=95%。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办公室建立健全了预算管理规章制度，在预算绩效管理工作中，做到合理安排各项资金，重点保障基本支出，按轻重缓急顺序原则,切实优化资源配置，提高了资金使用的效率和效果。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所设定的绩效目标依据充分，绩效目标设定的绩效指标明确，预算编制具有合理性，制度建设完全，相关制度执行有效。项目资金严格按照预算管理规定开支，项目能够按时开展，并及时完成，总体完成质量较好，达成了既定的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合规使用经费。根据项目业务流程，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507928"/>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2024-04-11T04:50:20Z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