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A9D26CA">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14:paraId="2FEF5BF2">
      <w:pPr>
        <w:spacing w:line="540" w:lineRule="exact"/>
        <w:jc w:val="center"/>
        <w:rPr>
          <w:rFonts w:ascii="华文中宋" w:hAnsi="华文中宋" w:eastAsia="华文中宋" w:cs="宋体"/>
          <w:b/>
          <w:kern w:val="0"/>
          <w:sz w:val="52"/>
          <w:szCs w:val="52"/>
        </w:rPr>
      </w:pPr>
    </w:p>
    <w:p w14:paraId="3B40C46C">
      <w:pPr>
        <w:spacing w:line="540" w:lineRule="exact"/>
        <w:jc w:val="center"/>
        <w:rPr>
          <w:rFonts w:ascii="华文中宋" w:hAnsi="华文中宋" w:eastAsia="华文中宋" w:cs="宋体"/>
          <w:b/>
          <w:kern w:val="0"/>
          <w:sz w:val="52"/>
          <w:szCs w:val="52"/>
        </w:rPr>
      </w:pPr>
    </w:p>
    <w:p w14:paraId="6180E910">
      <w:pPr>
        <w:spacing w:line="540" w:lineRule="exact"/>
        <w:jc w:val="center"/>
        <w:rPr>
          <w:rFonts w:ascii="华文中宋" w:hAnsi="华文中宋" w:eastAsia="华文中宋" w:cs="宋体"/>
          <w:b/>
          <w:kern w:val="0"/>
          <w:sz w:val="52"/>
          <w:szCs w:val="52"/>
        </w:rPr>
      </w:pPr>
    </w:p>
    <w:p w14:paraId="5196F361">
      <w:pPr>
        <w:spacing w:line="540" w:lineRule="exact"/>
        <w:jc w:val="center"/>
        <w:rPr>
          <w:rFonts w:ascii="华文中宋" w:hAnsi="华文中宋" w:eastAsia="华文中宋" w:cs="宋体"/>
          <w:b/>
          <w:kern w:val="0"/>
          <w:sz w:val="52"/>
          <w:szCs w:val="52"/>
        </w:rPr>
      </w:pPr>
    </w:p>
    <w:p w14:paraId="2CACBE76">
      <w:pPr>
        <w:spacing w:line="540" w:lineRule="exact"/>
        <w:jc w:val="center"/>
        <w:rPr>
          <w:rFonts w:ascii="华文中宋" w:hAnsi="华文中宋" w:eastAsia="华文中宋" w:cs="宋体"/>
          <w:b/>
          <w:kern w:val="0"/>
          <w:sz w:val="52"/>
          <w:szCs w:val="52"/>
        </w:rPr>
      </w:pPr>
    </w:p>
    <w:p w14:paraId="2A20ADEF">
      <w:pPr>
        <w:spacing w:line="540" w:lineRule="exact"/>
        <w:jc w:val="center"/>
        <w:rPr>
          <w:rFonts w:ascii="华文中宋" w:hAnsi="华文中宋" w:eastAsia="华文中宋" w:cs="宋体"/>
          <w:b/>
          <w:kern w:val="0"/>
          <w:sz w:val="52"/>
          <w:szCs w:val="52"/>
        </w:rPr>
      </w:pPr>
    </w:p>
    <w:p w14:paraId="3A6D4A99">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14:paraId="773F4A98">
      <w:pPr>
        <w:spacing w:line="540" w:lineRule="exact"/>
        <w:jc w:val="center"/>
        <w:rPr>
          <w:rFonts w:ascii="华文中宋" w:hAnsi="华文中宋" w:eastAsia="华文中宋" w:cs="宋体"/>
          <w:b/>
          <w:kern w:val="0"/>
          <w:sz w:val="52"/>
          <w:szCs w:val="52"/>
        </w:rPr>
      </w:pPr>
    </w:p>
    <w:p w14:paraId="7F86A13C">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2023</w:t>
      </w:r>
      <w:r>
        <w:rPr>
          <w:rFonts w:hint="eastAsia" w:hAnsi="宋体" w:eastAsia="仿宋_GB2312" w:cs="宋体"/>
          <w:kern w:val="0"/>
          <w:sz w:val="36"/>
          <w:szCs w:val="36"/>
        </w:rPr>
        <w:t xml:space="preserve">  年度）</w:t>
      </w:r>
    </w:p>
    <w:p w14:paraId="12A721F7">
      <w:pPr>
        <w:spacing w:line="540" w:lineRule="exact"/>
        <w:jc w:val="center"/>
        <w:rPr>
          <w:rFonts w:hAnsi="宋体" w:eastAsia="仿宋_GB2312" w:cs="宋体"/>
          <w:kern w:val="0"/>
          <w:sz w:val="30"/>
          <w:szCs w:val="30"/>
        </w:rPr>
      </w:pPr>
    </w:p>
    <w:p w14:paraId="647FA6FE">
      <w:pPr>
        <w:spacing w:line="540" w:lineRule="exact"/>
        <w:jc w:val="center"/>
        <w:rPr>
          <w:rFonts w:hAnsi="宋体" w:eastAsia="仿宋_GB2312" w:cs="宋体"/>
          <w:kern w:val="0"/>
          <w:sz w:val="30"/>
          <w:szCs w:val="30"/>
        </w:rPr>
      </w:pPr>
    </w:p>
    <w:p w14:paraId="3EC56957">
      <w:pPr>
        <w:spacing w:line="540" w:lineRule="exact"/>
        <w:jc w:val="center"/>
        <w:rPr>
          <w:rFonts w:hAnsi="宋体" w:eastAsia="仿宋_GB2312" w:cs="宋体"/>
          <w:kern w:val="0"/>
          <w:sz w:val="30"/>
          <w:szCs w:val="30"/>
        </w:rPr>
      </w:pPr>
    </w:p>
    <w:p w14:paraId="1A79ED64">
      <w:pPr>
        <w:spacing w:line="540" w:lineRule="exact"/>
        <w:jc w:val="center"/>
        <w:rPr>
          <w:rFonts w:hAnsi="宋体" w:eastAsia="仿宋_GB2312" w:cs="宋体"/>
          <w:kern w:val="0"/>
          <w:sz w:val="30"/>
          <w:szCs w:val="30"/>
        </w:rPr>
      </w:pPr>
    </w:p>
    <w:p w14:paraId="03D068A6">
      <w:pPr>
        <w:spacing w:line="540" w:lineRule="exact"/>
        <w:jc w:val="center"/>
        <w:rPr>
          <w:rFonts w:hAnsi="宋体" w:eastAsia="仿宋_GB2312" w:cs="宋体"/>
          <w:kern w:val="0"/>
          <w:sz w:val="30"/>
          <w:szCs w:val="30"/>
        </w:rPr>
      </w:pPr>
    </w:p>
    <w:p w14:paraId="62DEEA89">
      <w:pPr>
        <w:spacing w:line="540" w:lineRule="exact"/>
        <w:jc w:val="center"/>
        <w:rPr>
          <w:rFonts w:hAnsi="宋体" w:eastAsia="仿宋_GB2312" w:cs="宋体"/>
          <w:kern w:val="0"/>
          <w:sz w:val="30"/>
          <w:szCs w:val="30"/>
        </w:rPr>
      </w:pPr>
    </w:p>
    <w:p w14:paraId="7DE7B1F8">
      <w:pPr>
        <w:spacing w:line="540" w:lineRule="exact"/>
        <w:rPr>
          <w:rFonts w:hAnsi="宋体" w:eastAsia="仿宋_GB2312" w:cs="宋体"/>
          <w:kern w:val="0"/>
          <w:sz w:val="30"/>
          <w:szCs w:val="30"/>
        </w:rPr>
      </w:pPr>
    </w:p>
    <w:p w14:paraId="0FDBC4D7">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14:paraId="1D5F1E5E">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新疆玛纳斯县玛纳斯河清水河团结干渠至清水河下游段防洪工程</w:t>
      </w:r>
    </w:p>
    <w:p w14:paraId="7C7AD2F9">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玛纳斯县玛纳斯河水利管理处</w:t>
      </w:r>
    </w:p>
    <w:p w14:paraId="3575FA90">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玛纳斯县玛纳斯河水利管理处</w:t>
      </w:r>
    </w:p>
    <w:p w14:paraId="655BCD63">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吕军</w:t>
      </w:r>
    </w:p>
    <w:p w14:paraId="5996C04B">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2024年03月27日</w:t>
      </w:r>
    </w:p>
    <w:p w14:paraId="37A458DC">
      <w:pPr>
        <w:spacing w:line="700" w:lineRule="exact"/>
        <w:ind w:firstLine="708" w:firstLineChars="236"/>
        <w:jc w:val="left"/>
        <w:rPr>
          <w:rFonts w:hAnsi="宋体" w:eastAsia="仿宋_GB2312" w:cs="宋体"/>
          <w:kern w:val="0"/>
          <w:sz w:val="30"/>
          <w:szCs w:val="30"/>
        </w:rPr>
      </w:pPr>
    </w:p>
    <w:p w14:paraId="52C2D650">
      <w:pPr>
        <w:spacing w:line="540" w:lineRule="exact"/>
        <w:rPr>
          <w:rStyle w:val="18"/>
          <w:rFonts w:ascii="黑体" w:hAnsi="黑体" w:eastAsia="黑体"/>
          <w:b w:val="0"/>
          <w:spacing w:val="-4"/>
          <w:sz w:val="32"/>
          <w:szCs w:val="32"/>
        </w:rPr>
      </w:pPr>
    </w:p>
    <w:p w14:paraId="24DC3760">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14:paraId="07883D1A">
      <w:pPr>
        <w:spacing w:line="540" w:lineRule="exact"/>
        <w:ind w:firstLine="567"/>
        <w:rPr>
          <w:rStyle w:val="18"/>
          <w:rFonts w:hint="default" w:ascii="楷体" w:hAnsi="楷体" w:eastAsia="楷体"/>
          <w:spacing w:val="-4"/>
          <w:sz w:val="32"/>
          <w:szCs w:val="32"/>
          <w:lang w:val="en-US" w:eastAsia="zh-CN"/>
        </w:rPr>
      </w:pPr>
      <w:r>
        <w:rPr>
          <w:rStyle w:val="18"/>
          <w:rFonts w:hint="eastAsia" w:ascii="楷体" w:hAnsi="楷体" w:eastAsia="楷体"/>
          <w:spacing w:val="-4"/>
          <w:sz w:val="32"/>
          <w:szCs w:val="32"/>
        </w:rPr>
        <w:t>（一）项目概况</w:t>
      </w:r>
      <w:r>
        <w:rPr>
          <w:rStyle w:val="18"/>
          <w:rFonts w:hint="eastAsia" w:ascii="楷体" w:hAnsi="楷体" w:eastAsia="楷体"/>
          <w:spacing w:val="-4"/>
          <w:sz w:val="32"/>
          <w:szCs w:val="32"/>
          <w:lang w:eastAsia="zh-CN"/>
        </w:rPr>
        <w:t>。</w:t>
      </w:r>
    </w:p>
    <w:p w14:paraId="4D56242D">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1.项目背景</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玛纳斯河防洪规划》2020年修编中规划了玛纳斯河支流——清水河河段，规划护岸长约20.37km。左岸护岸7.32km，右岸护岸13.05km，堤防1km，防洪标准10年一遇。加固引水渠首1座。本次工程建设内容在《玛纳斯河防洪规划》内均被列入近期工程。</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目前清水河河床由于暴雨、冬季降雪量、洪水冲刷河岸，造成河岸坍塌。清水河完整的防洪体系还未建成，清水河洪水对两岸居民点、清水河哈萨克族乡乡政府、水利工程、沿岸耕地、草场等的威胁和破坏，因此，迫切需要构建完整的防洪体系，以减轻清水河洪水威胁和破坏。</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党的十八大以来，党中央、国务院高度重视水安全工作，习近平总书记多次就保障水安全发表重要论述，强调水安全是涉及国家长治久安的大事。李克强总理在研究部署重大水利工程建设时指出，水利基础设施网络作为国家基础设施网络的重要组成部分，在保障国家水安全中具有不可替代的基础性作用。2018年10月，国务院办公厅印发了《关于保持基础设施补短板力度的指导意见》要求：进一步完善基础设施和公共服务，提升基础设施供给质量，更好发挥有效投资对优化供给结构的关键性作用，保持经济平稳健康发展，着力补齐水利等领域短板。鄂竟平部长在全国水利工作会议上指出：准确把握当前水利改革发展所处的历史方位，清醒认识治水主要矛盾的深刻变化，加快转变治水思路和方式，将工作重心转到水利工程补短板、水利行业强监管上来，这是水利改革发展总基调。因此，水利工程补短板是当前和今后一段时期水利中心工作之一，防洪减灾又是四个短板之一。本工程主要是将清水河两岸防洪工程薄弱环节改建，防洪短板工程补齐，因此本次工程建设是贯彻落实国家政策，防洪减灾工程补短板的需要。</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清水河沿线水利工程主要包括：团结干渠渠首、团结干渠、解放渠渠首、解放渠，清水河灌区灌溉面积2.52万亩，属于山区中型灌区，是玛纳斯县清水河乡及旱卡子滩乡生命工程，清水河灌区均自清水河引水，一旦清水河发生洪灾，将对两岸居民、水利工程、单位设施造成巨大损失。</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因此，</w:t>
      </w:r>
      <w:r>
        <w:rPr>
          <w:rStyle w:val="18"/>
          <w:rFonts w:hint="eastAsia" w:ascii="楷体" w:hAnsi="楷体" w:eastAsia="楷体"/>
          <w:b w:val="0"/>
          <w:bCs w:val="0"/>
          <w:spacing w:val="-4"/>
          <w:sz w:val="32"/>
          <w:szCs w:val="32"/>
          <w:lang w:eastAsia="zh-CN"/>
        </w:rPr>
        <w:t>新疆玛纳斯县玛纳斯河清水河团结干渠至清水河下游段防洪工程</w:t>
      </w:r>
      <w:r>
        <w:rPr>
          <w:rStyle w:val="18"/>
          <w:rFonts w:hint="eastAsia" w:ascii="楷体" w:hAnsi="楷体" w:eastAsia="楷体"/>
          <w:b w:val="0"/>
          <w:bCs w:val="0"/>
          <w:spacing w:val="-4"/>
          <w:sz w:val="32"/>
          <w:szCs w:val="32"/>
        </w:rPr>
        <w:t>的兴建，对减少洪涝灾害，保障用水安全起着举足轻重的作用。</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2.主要内容及实施情况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主要内容：</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本次清水河河道治理的工程河段共12段，工程建设总长度9050.9m，其中左岸4160.17m，右岸4890.73m，同时对团结渠首上游导流堤及下游海漫段进行改造。</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于2022年11月15日开始实施，截止2023年10月20日已全部完成，通过本项目的实施，保护了沿河两岸的耕地、居民区、水利工程设施等安全。本防洪工程的实施，将会减少两岸地区的洪水灾害损失，使沿河两岸地区经济发展、人民生命财产安全具有可靠的保证，其社会效益是显著的，同时又对周围的生态环境、自然环境将起到积极的促进作用。</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3.项目实施主体</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2022年</w:t>
      </w:r>
      <w:r>
        <w:rPr>
          <w:rStyle w:val="18"/>
          <w:rFonts w:hint="eastAsia" w:ascii="楷体" w:hAnsi="楷体" w:eastAsia="楷体"/>
          <w:b w:val="0"/>
          <w:bCs w:val="0"/>
          <w:spacing w:val="-4"/>
          <w:sz w:val="32"/>
          <w:szCs w:val="32"/>
          <w:lang w:eastAsia="zh-CN"/>
        </w:rPr>
        <w:t>新疆玛纳斯县玛纳斯河清水河团结干渠至清水河下游段防洪工程</w:t>
      </w:r>
      <w:r>
        <w:rPr>
          <w:rStyle w:val="18"/>
          <w:rFonts w:hint="eastAsia" w:ascii="楷体" w:hAnsi="楷体" w:eastAsia="楷体"/>
          <w:b w:val="0"/>
          <w:bCs w:val="0"/>
          <w:spacing w:val="-4"/>
          <w:sz w:val="32"/>
          <w:szCs w:val="32"/>
        </w:rPr>
        <w:t>的实施主体为玛纳斯县玛纳斯河水利管理处，该单位纳入2023年部门决算编制范围的有10个科室，分别是：行政办，水管股，工程股，财务股，新户坪水库管理站、白土坑水库管理站、旱卡子滩水库管理站、皇公地水库管理站、团结干渠管理站、玛河管理站。</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编制人数为110人，其中：行政人员编制0人、工勤0人、参公0人、事业编制110人。实有在职人数101人，其中：行政在职0人、工勤0人、参公0人、事业在职101人。离退休人员155人，其中：行政退休人员0人、事业退休155人。</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4.资金投入和使用情况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（1）项目资金安排落实、总投入等情况分析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lang w:eastAsia="zh-CN"/>
        </w:rPr>
        <w:t>新疆玛纳斯县玛纳斯河清水河团结干渠至清水河下游段防洪工程</w:t>
      </w:r>
      <w:r>
        <w:rPr>
          <w:rStyle w:val="18"/>
          <w:rFonts w:hint="eastAsia" w:ascii="楷体" w:hAnsi="楷体" w:eastAsia="楷体"/>
          <w:b w:val="0"/>
          <w:bCs w:val="0"/>
          <w:spacing w:val="-4"/>
          <w:sz w:val="32"/>
          <w:szCs w:val="32"/>
        </w:rPr>
        <w:t>2022年预算安排总额为4556.63万元，其中财政资金2733万元，其他资金1823.63万元，2022年实际收到预算资金820万元，2023年实际收到预算资金1913万元，预算资金到位率为100%。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（2）项目资金实际使用情况分析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截止2023年12月31日，</w:t>
      </w:r>
      <w:r>
        <w:rPr>
          <w:rStyle w:val="18"/>
          <w:rFonts w:hint="eastAsia" w:ascii="楷体" w:hAnsi="楷体" w:eastAsia="楷体"/>
          <w:b w:val="0"/>
          <w:bCs w:val="0"/>
          <w:spacing w:val="-4"/>
          <w:sz w:val="32"/>
          <w:szCs w:val="32"/>
          <w:lang w:eastAsia="zh-CN"/>
        </w:rPr>
        <w:t>新疆玛纳斯县玛纳斯河清水河团结干渠至清水河下游段防洪工程</w:t>
      </w:r>
      <w:r>
        <w:rPr>
          <w:rStyle w:val="18"/>
          <w:rFonts w:hint="eastAsia" w:ascii="楷体" w:hAnsi="楷体" w:eastAsia="楷体"/>
          <w:b w:val="0"/>
          <w:bCs w:val="0"/>
          <w:spacing w:val="-4"/>
          <w:sz w:val="32"/>
          <w:szCs w:val="32"/>
        </w:rPr>
        <w:t>实际支付资金2740.35万元，预算执行率100%。</w:t>
      </w:r>
    </w:p>
    <w:p w14:paraId="094D632D">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14:paraId="32FC57A0">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1.总体目标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lang w:eastAsia="zh-CN"/>
        </w:rPr>
        <w:t>新疆玛纳斯县玛纳斯河清水河团结干渠至清水河下游段防洪工程</w:t>
      </w:r>
      <w:r>
        <w:rPr>
          <w:rStyle w:val="18"/>
          <w:rFonts w:hint="eastAsia" w:ascii="楷体" w:hAnsi="楷体" w:eastAsia="楷体"/>
          <w:b w:val="0"/>
          <w:bCs w:val="0"/>
          <w:spacing w:val="-4"/>
          <w:sz w:val="32"/>
          <w:szCs w:val="32"/>
        </w:rPr>
        <w:t>项目绩效总体目标为：项目总投资4912.39万元，新建及改建堤防大于等于9.051km，工程验收合格率达到100%，资金支付及时率达到100%，项目建设每公里成本小于等于300万元，明显改善河岸冲刷，有效减少水土流失，收益对象满意度达到80%以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2.阶段性目标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预算法》、《财政支出绩效评价管理暂行办法》（财预〔2020〕10号）、《自治区党委自治区人民政府关于全面实施预算绩效管理的实施意见》（新党发〔2018〕30号）、《自治区财政支出绩效评价管理暂行办法》（新财预〔2018〕189号）等文件的规定，结合项目实施单位的规章制度以及财务相关资料，评价小组对项目绩效目标进行了进一步的完善，完善后绩效目标如下：</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（1）项目产出目标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①数量指标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“新建堤防”指标，预期指标值为9050.9m；</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②质量指标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“工程验收合格率”指标，预期指标值为100%；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③时效指标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“资金支付及时率”指标，预期指标值为100%；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（2）项目成本目标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①经济成本指标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“项目建设每公里成本”指标，预期指标值为≤300万元；</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（3）项目效益目标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①社会效益指标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“是否明显改善河岸冲刷”指标，预期指标值为明显改善；</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②生态效益指标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“减少水土流失”指标，预期指标值为有效减少水土流失；</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③满意度指标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“服务对象满意度指标”指标，预期指标值为≥80%。</w:t>
      </w:r>
    </w:p>
    <w:p w14:paraId="2614E21A">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14:paraId="5FBFC6FF">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14:paraId="2DFB7846">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1.绩效评价的目的</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为全面了解该项目预算编制合理性、资金使用合规性、项目管理的规范性、绩效目标的实现情况、服务对象的满意度等，通过本次部门绩效评价来总结经验和教训，促进项目成果转化和应用，为今后类似项目的长效管理，提供可行性参考建议。</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2.绩效评价的对象和范围</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此次我单位根据《财政支出绩效评价管理暂行办法》（财预〔2020〕10号）文件要求对2023年度我单位实施的</w:t>
      </w:r>
      <w:r>
        <w:rPr>
          <w:rStyle w:val="18"/>
          <w:rFonts w:hint="eastAsia" w:ascii="楷体" w:hAnsi="楷体" w:eastAsia="楷体"/>
          <w:b w:val="0"/>
          <w:bCs w:val="0"/>
          <w:spacing w:val="-4"/>
          <w:sz w:val="32"/>
          <w:szCs w:val="32"/>
          <w:lang w:eastAsia="zh-CN"/>
        </w:rPr>
        <w:t>新疆玛纳斯县玛纳斯河清水河团结干渠至清水河下游段防洪工程</w:t>
      </w:r>
      <w:r>
        <w:rPr>
          <w:rStyle w:val="18"/>
          <w:rFonts w:hint="eastAsia" w:ascii="楷体" w:hAnsi="楷体" w:eastAsia="楷体"/>
          <w:b w:val="0"/>
          <w:bCs w:val="0"/>
          <w:spacing w:val="-4"/>
          <w:sz w:val="32"/>
          <w:szCs w:val="32"/>
        </w:rPr>
        <w:t>开展部门绩效评价。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本次绩效评价主要围绕项目决策、项目管理、项目产出、项目效益四个维度，对该专项资金的预算编制、项目实施、监督管理、资金支出使用、绩效目标的实现情况以及受益对象的满意度等开展综合评价。</w:t>
      </w:r>
    </w:p>
    <w:p w14:paraId="6ED2C9E1">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14:paraId="2D9939BA">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1.绩效评价原则</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依据《财政支出绩效评价管理暂行办法》（财预〔2020〕10号）本次绩效评价秉承科学规范、公正公开、分级分类、绩效相关等原则，按照从投入、过程到产出效果和影响的绩效逻辑路径，结合</w:t>
      </w:r>
      <w:r>
        <w:rPr>
          <w:rStyle w:val="18"/>
          <w:rFonts w:hint="eastAsia" w:ascii="楷体" w:hAnsi="楷体" w:eastAsia="楷体"/>
          <w:b w:val="0"/>
          <w:bCs w:val="0"/>
          <w:spacing w:val="-4"/>
          <w:sz w:val="32"/>
          <w:szCs w:val="32"/>
          <w:lang w:eastAsia="zh-CN"/>
        </w:rPr>
        <w:t>新疆玛纳斯县玛纳斯河清水河团结干渠至清水河下游段防洪工程</w:t>
      </w:r>
      <w:r>
        <w:rPr>
          <w:rStyle w:val="18"/>
          <w:rFonts w:hint="eastAsia" w:ascii="楷体" w:hAnsi="楷体" w:eastAsia="楷体"/>
          <w:b w:val="0"/>
          <w:bCs w:val="0"/>
          <w:spacing w:val="-4"/>
          <w:sz w:val="32"/>
          <w:szCs w:val="32"/>
        </w:rPr>
        <w:t>实际开展情况，运用定量和定性分析相结合的方法，总结经验做法，反思项目实施和管理中的问题，以切实提升财政资金管理的科学化、规范化和精细化水平。</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根据以上原则，绩效评价应遵循如下要求：</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（1）科学公正。绩效评价应当运用科学合理的方法，按照规范的程序，对项目绩效进行客观、公正的反映。</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（2）统筹兼顾。单位自评、部门评价和财政评价应职责明确，各有侧重，相互衔接。单位自评应由项目单位自主实施，即“谁支出、谁自评”。</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（3）激励约束。绩效评价结果应与预算安排、政策调整、改进管理实质性挂钩，体现奖优罚劣和激励相容导向，有效要安排、低效要压减、无效要问责。</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（4）公开透明。绩效评价结果应依法依规公开，并自觉接受社会监督。</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2.绩效评价指标体系及绩效评价标准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我单位根据项目的实施资料研读及前期调研，结合项目的实际开展情况，最终形成了项目绩效评价指标体系，指标体系结构如下（详见上传的附件）：</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3.评价方法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本次绩效评价采用的方法比较法、因素分析法、公众评判法对项目绩效目标预期指标值与实施情况进行比较，以及采取公众问卷及抽样调查等方式进行评判的方法对</w:t>
      </w:r>
      <w:r>
        <w:rPr>
          <w:rStyle w:val="18"/>
          <w:rFonts w:hint="eastAsia" w:ascii="楷体" w:hAnsi="楷体" w:eastAsia="楷体"/>
          <w:b w:val="0"/>
          <w:bCs w:val="0"/>
          <w:spacing w:val="-4"/>
          <w:sz w:val="32"/>
          <w:szCs w:val="32"/>
          <w:lang w:eastAsia="zh-CN"/>
        </w:rPr>
        <w:t>新疆玛纳斯县玛纳斯河清水河团结干渠至清水河下游段防洪工程</w:t>
      </w:r>
      <w:r>
        <w:rPr>
          <w:rStyle w:val="18"/>
          <w:rFonts w:hint="eastAsia" w:ascii="楷体" w:hAnsi="楷体" w:eastAsia="楷体"/>
          <w:b w:val="0"/>
          <w:bCs w:val="0"/>
          <w:spacing w:val="-4"/>
          <w:sz w:val="32"/>
          <w:szCs w:val="32"/>
        </w:rPr>
        <w:t>进行评价。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（1）计划标准。指以预先制定的目标、计划、预算、定额等作为评价标准。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（2）行业标准。指参照国家公布的行业指标数据制定的评价标准。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（3）历史标准。指参照历史数据制定的评价标准，为体现绩效改进的原则，在可实现的条件下应当确定相对较高的评价标准。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（4）财政部门和预算部门确认或认可的其他标准。</w:t>
      </w:r>
    </w:p>
    <w:p w14:paraId="4ECAB972">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14:paraId="0BE46D09">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1.前期准备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（1）成立绩效评价项目小组</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为确保该项目绩效评价的顺利实施，评价机构组建了绩效评价项目小组。项目小组负责建立联络制度、明确评价责任人、制定评价方案、实施具体评价等工作。</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蒋东处长任评价组组长，绩效评价工作职责为检查项目绩效指标完成情况，审定项目支出绩效评价结果及项目支出绩效评价报告。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吕军股长任评价组副组长，绩效评价工作职责为组织和协调项目工作人员采取实地调查、资料检查等方式，核实项目绩效指标完成情况；组织受益对象对项目工作进行评价等。</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王艳荣、刘思瑞、马克任评价组成员，绩效评价工作职责为做好项目支出绩效评价工作的沟通协调工作，对项目实施情况进行实地调查，编写项目支出绩效评价报告。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（2）开展前期调研</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绩效评价项目小组依据此次绩效评价受委托内容，对拟评价的项目实施前期调研。通过调研对</w:t>
      </w:r>
      <w:r>
        <w:rPr>
          <w:rStyle w:val="18"/>
          <w:rFonts w:hint="eastAsia" w:ascii="楷体" w:hAnsi="楷体" w:eastAsia="楷体"/>
          <w:b w:val="0"/>
          <w:bCs w:val="0"/>
          <w:spacing w:val="-4"/>
          <w:sz w:val="32"/>
          <w:szCs w:val="32"/>
          <w:lang w:eastAsia="zh-CN"/>
        </w:rPr>
        <w:t>新疆玛纳斯县玛纳斯河清水河团结干渠至清水河下游段防洪工程</w:t>
      </w:r>
      <w:r>
        <w:rPr>
          <w:rStyle w:val="18"/>
          <w:rFonts w:hint="eastAsia" w:ascii="楷体" w:hAnsi="楷体" w:eastAsia="楷体"/>
          <w:b w:val="0"/>
          <w:bCs w:val="0"/>
          <w:spacing w:val="-4"/>
          <w:sz w:val="32"/>
          <w:szCs w:val="32"/>
        </w:rPr>
        <w:t>实施内容、目标信息、预算信息以及其他的一些项目基本信息，有了初步了解，为制定绩效评价工作方案做好准备。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（3）制订绩效评价工作方案</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绩效评价项目小组根据有关规定和评价对象的特点以及前期调研收集的一些信息，拟定详细的绩效评价工作方案。</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2.具体实施</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（1）收集基础资料</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根据评价工作的需要和要求，在前期调研的基础上，通过多种渠道全面收集项目基础信息资料，主要包括：</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①被评价单位基本概况，如单位职能、事业发展规划、预决算情况、项目立项依据等；</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②绩效目标及其设立依据和调整情况；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③管理措施及组织实施情况；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④被评价单位总结分析的绩效目标完成情况及绩效报告；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⑤与绩效评价相关的计划标准、行业标准、历史标准等；</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⑥其他必要的相关资料等。</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（2）整理、研读基础资料</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对收集的基础资料进行分类整理、研读，并对所收集的资料进行核实和全面分析。通过基础资料的整理、研读，了解被评价对象的具体情况，分析被评价对象可能存在的问题，根据工作需要确定实地核查的内容，为现场核查做好准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3.分析评价和撰写报告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（1）综合分析评价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①根据所收集的基础资料，结合现场核查的有关情况，整理出绩效评价所需的项目材料和基础数据。</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②将初步评价结论、调整事项、专家咨询意见和有关说明等提交单位内部讨论并征求意见。之后，对所征求的意见及时地进行收集和整理。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（2）撰写报告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绩效评价项目小组依照整理、分析后的项目材料、数据资料，依据评价形成的初步结论，按照既定的格式和内容要求撰写绩效评价初步报告，最终形成评价结果。</w:t>
      </w:r>
    </w:p>
    <w:p w14:paraId="51356278">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14:paraId="31960C8F">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此次绩效评价通过组论证的评价指标体系及评分标准，采用的方法比较法、因素分析法、公众评判法，对</w:t>
      </w:r>
      <w:r>
        <w:rPr>
          <w:rStyle w:val="18"/>
          <w:rFonts w:hint="eastAsia" w:ascii="楷体" w:hAnsi="楷体" w:eastAsia="楷体"/>
          <w:b w:val="0"/>
          <w:bCs w:val="0"/>
          <w:spacing w:val="-4"/>
          <w:sz w:val="32"/>
          <w:szCs w:val="32"/>
          <w:lang w:eastAsia="zh-CN"/>
        </w:rPr>
        <w:t>新疆玛纳斯县玛纳斯河清水河团结干渠至清水河下游段防洪工程</w:t>
      </w:r>
      <w:r>
        <w:rPr>
          <w:rStyle w:val="18"/>
          <w:rFonts w:hint="eastAsia" w:ascii="楷体" w:hAnsi="楷体" w:eastAsia="楷体"/>
          <w:b w:val="0"/>
          <w:bCs w:val="0"/>
          <w:spacing w:val="-4"/>
          <w:sz w:val="32"/>
          <w:szCs w:val="32"/>
        </w:rPr>
        <w:t>绩效进行客观评价，最终评分结果：总分为84.57分，绩效评级为“良”。各部分权重和绩效汇总分值如下表3-1所示（详见上传的附件）：</w:t>
      </w:r>
    </w:p>
    <w:p w14:paraId="3BC4B3D1">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14:paraId="089501F3">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14:paraId="04B2F711">
      <w:pPr>
        <w:tabs>
          <w:tab w:val="center" w:pos="4295"/>
        </w:tabs>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项目决策由3个二级指标和6个三级指标构成，权重分20分，实际得分20分，各指标业绩值和绩效分值如表4-1所示（详见上传的附件）：</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1.立项依据充分性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①项目立项符合国家法律法规、国民经济发展规划和相关政策；</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②项目立项符合行业发展规划和政策要求；</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③项目立项与部门职责范围相符，属于部门履职所需；</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④项目属于公共财政支持范围，符合中央、地方事权支出责任划分原则；</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⑤项目与相关部门同类项目或部门内部相关项目不重复。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综上，该项指标满分2分，得分2分。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2.立项程序规范性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①项目按照规定的程序申请设立；</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②审批文件、材料符合相关要求；</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③事前是否经过必要的可行性研究、专家论证、风险评估、绩效评估、集体决策。</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综上，该项指标满分3分，得分3分。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3.绩效目标合理性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①项目有绩效目标；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②项目绩效目标与实际工作内容具有相关性；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③项目预期产出效益和效果符合正常的业绩水平；</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④与预算确定的项目投资额或资金量相匹配。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综上，该项指标满分5分，得分5分。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4.绩效指标明确性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①将项目绩效目标细化分解为具体的绩效指标；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②通过清晰、可衡量的指标值予以体现；</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③与项目目标任务数或计划数相对应。</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综上，该项指标满分5分，得分5分。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5.预算编制科学性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①预算编制经过科学论证；</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②预算内容与项目内容匹配；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③预算额度测算依据充分，按照标准编制；</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④预算确定的项目投资额或资金量与工作任务相匹配。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综上，该项指标满分2分，得分2分。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6.资金分配合理性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①预算资金分配依据充分；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②资金分配额度合理，与项目单位或地方实际相适应。</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综上，该项指标满分3分，得分3分。</w:t>
      </w:r>
      <w:r>
        <w:rPr>
          <w:rStyle w:val="18"/>
          <w:rFonts w:hint="eastAsia" w:ascii="楷体" w:hAnsi="楷体" w:eastAsia="楷体"/>
          <w:b w:val="0"/>
          <w:bCs w:val="0"/>
          <w:spacing w:val="-4"/>
          <w:sz w:val="32"/>
          <w:szCs w:val="32"/>
        </w:rPr>
        <w:tab/>
      </w:r>
    </w:p>
    <w:p w14:paraId="41AE80CC">
      <w:pPr>
        <w:spacing w:line="540" w:lineRule="exact"/>
        <w:ind w:firstLine="567" w:firstLineChars="181"/>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14:paraId="4A93503C">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项目过程管理类指标由2个二级指标和5个三级指标构成，权重分20分，实际得分20分，各指标业绩值和绩效分值如表4-2所示（详见上传的附件）：</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1.资金到位率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资金到位率=（2733/2733）×100%。=1</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2.预算执行率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预算执行率=（2733/2733）×100%。=1</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3.资金使用合规性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①符合国家财经法规和财务管理制度以及有关专项资金管理办法的规定；</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②资金的拨付有完整的审批程序和手续；</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③符合项目预算批复或合同规定的用途；</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④不存在截留、挤占、挪用、虚列支出等情况。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4.管理制度健全性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①已制定或具有相应的财务和业务管理制度；</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②财务和业务管理制度合法、合规、完整。</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5.制度执行有效性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①遵守相关法律法规和相关管理规定；</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②项目调整及支出调整手续完备；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③项目合同书、验收报告等资料齐全并及时归档；</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④项目实施的人员条件、场地设备、信息支撑等已落实到位。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p>
    <w:p w14:paraId="0F3F0852">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14:paraId="1614DF51">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项目产出类指标由3个二级指标和3个三级指标构成，权重分25分，实际得分24.57分，各指标业绩值和绩效分值如表4-3所示（详见上传的附件）：</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1.项目完成数量</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“新建堤防”指标，预期指标值为9050.9，实际完成为8670.04。实际完成率=（8670.04/9050.9）×100%=95.79%。</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偏差原因：计划完成堤防建设长度9050.9m，因设计变更，实际实施堤防长度为8670.04m。</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综上，该项指标满分10分，得分9.57分。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2.项目完成质量</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“工程验收合格率”指标，预期指标值为100%，实际完成为100%。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综上，该项指标满分10分，得分10分。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3.项目完成时效</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“资金支付及时率”指标，预期指标值为100%，实际完成为100%。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综上，该项指标满分5分，得分5分。</w:t>
      </w:r>
    </w:p>
    <w:p w14:paraId="749622B4">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14:paraId="082F033E">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项目效益类指标由3个二级指标和3个三级指标构成，权重分20分，实际得分20分，各指标业绩值和绩效分值如表4-4所示（详见上传的附件）：</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1.社会效益指标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“是否明显改善河岸冲刷”指标，预期指标值为明显改善，实际完成为明显改善。</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通过项目的实施，明显减少对河岸的冲刷。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综上，该项指标满分5分，得分5分。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2.生态效益指标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“减少水土流失”指标，预期指标值为有效减少水土流失，实际完成为有效减少水土流失。</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通过项目的实施，有效减少水土流失。</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综上，该项指标满分5分，得分5分。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3.满意度指标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“受益群众满意度”指标，预期指标值为≥80%，实际完成为=100%。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综上，该项指标满分10分，得分10分。</w:t>
      </w:r>
    </w:p>
    <w:p w14:paraId="5A29F2C5">
      <w:pPr>
        <w:spacing w:line="540" w:lineRule="exact"/>
        <w:ind w:firstLine="567"/>
        <w:rPr>
          <w:rStyle w:val="18"/>
          <w:rFonts w:ascii="楷体" w:hAnsi="楷体" w:eastAsia="楷体"/>
          <w:spacing w:val="-4"/>
          <w:sz w:val="32"/>
          <w:szCs w:val="32"/>
        </w:rPr>
      </w:pPr>
    </w:p>
    <w:p w14:paraId="0670EE19">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lang w:val="en-US" w:eastAsia="zh-CN"/>
        </w:rPr>
        <w:t>预算执行进度与绩效指标偏差</w:t>
      </w:r>
    </w:p>
    <w:p w14:paraId="2693806B">
      <w:pPr>
        <w:spacing w:line="540" w:lineRule="exact"/>
        <w:ind w:firstLine="567"/>
        <w:rPr>
          <w:rStyle w:val="18"/>
          <w:rFonts w:hint="default" w:ascii="黑体" w:hAnsi="黑体" w:eastAsia="黑体"/>
          <w:b w:val="0"/>
          <w:spacing w:val="-4"/>
          <w:sz w:val="32"/>
          <w:szCs w:val="32"/>
          <w:lang w:val="en-US" w:eastAsia="zh-CN"/>
        </w:rPr>
      </w:pPr>
      <w:r>
        <w:rPr>
          <w:rStyle w:val="18"/>
          <w:rFonts w:hint="eastAsia" w:ascii="楷体" w:hAnsi="楷体" w:eastAsia="楷体"/>
          <w:b w:val="0"/>
          <w:bCs w:val="0"/>
          <w:spacing w:val="-4"/>
          <w:sz w:val="32"/>
          <w:szCs w:val="32"/>
        </w:rPr>
        <w:t>2023年</w:t>
      </w:r>
      <w:r>
        <w:rPr>
          <w:rStyle w:val="18"/>
          <w:rFonts w:hint="eastAsia" w:ascii="楷体" w:hAnsi="楷体" w:eastAsia="楷体"/>
          <w:b w:val="0"/>
          <w:bCs w:val="0"/>
          <w:spacing w:val="-4"/>
          <w:sz w:val="32"/>
          <w:szCs w:val="32"/>
          <w:lang w:eastAsia="zh-CN"/>
        </w:rPr>
        <w:t>新疆玛纳斯县玛纳斯河清水河团结干渠至清水河下游段防洪工程</w:t>
      </w:r>
      <w:r>
        <w:rPr>
          <w:rStyle w:val="18"/>
          <w:rFonts w:hint="eastAsia" w:ascii="楷体" w:hAnsi="楷体" w:eastAsia="楷体"/>
          <w:b w:val="0"/>
          <w:bCs w:val="0"/>
          <w:spacing w:val="-4"/>
          <w:sz w:val="32"/>
          <w:szCs w:val="32"/>
        </w:rPr>
        <w:t>，财政资金1913万元，预算执行进度100%，新建提防8670.04米，结合现场实际情况，及设计变更取消部分建设内容，导致4%的偏差率。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项目建设每公里成本401万元，结合现场实际情况，及设计变更取消部分建设内容，导致单位成本增加偏差率33.67%。</w:t>
      </w:r>
    </w:p>
    <w:p w14:paraId="66F981BC">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主要经验及做法、存在的问题及原因分析</w:t>
      </w:r>
    </w:p>
    <w:p w14:paraId="1A00920A">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（一）主要经验及做法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lang w:eastAsia="zh-CN"/>
        </w:rPr>
        <w:t>新疆玛纳斯县玛纳斯河清水河团结干渠至清水河下游段防洪工程</w:t>
      </w:r>
      <w:r>
        <w:rPr>
          <w:rStyle w:val="18"/>
          <w:rFonts w:hint="eastAsia" w:ascii="楷体" w:hAnsi="楷体" w:eastAsia="楷体"/>
          <w:b w:val="0"/>
          <w:bCs w:val="0"/>
          <w:spacing w:val="-4"/>
          <w:sz w:val="32"/>
          <w:szCs w:val="32"/>
        </w:rPr>
        <w:t>2022年预算数为2733万元，截至2023年12月31日共支出2740.35万元，预算执行率为100%。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玛纳斯县玛纳斯河水利管理处建立健全了预算管理规章制度，各部门严格按预算编制的原则和要求做好当年预算编制工作，在预算绩效管理工作中，做到合理安排各项资金，重点保障基本支出，按轻重缓急顺序原则，优先安排了玛管处事业发展中关系民生与稳定的项目，切实优化资源配置，提高了资金使用的效率和效果。</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（二）存在的问题及原因分析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预算执行及项目实施中存在的问题、原因分析和改进措施：</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1.绩效预算认识不够充分，绩效理念有待进一步强化</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部门绩效管理理念尚未牢固树立，绩效管理专业人员匮乏。单位对全面实施绩效管理认识不够，绩效水平不高，单位内部绩效管理工作力量薄弱，多数以财务人员牵头开展绩效管理工作推动机制不全，业务人员业务能力和素质还有待进一步提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2.绩效档案归档工作有待提高</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是对档案工作重视程度不高，意识淡薄。单位人员对绩效档案管理工作重视程度不够，不注重关键时间节点材料的鉴定归档，造成绩效管理工作档案缺失。二是单位人员对档案管理工作缺少针对性和目的性，对绩效档案工作重要性的认识不足，缺乏熟练的业务知识，使绩效档案管理与实际业务存在一定偏差，未发挥其综合价值。</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3.项目支出绩效评价存在局限，客观性有待加强</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支出绩效评价工作还存在自我审定的局限性，项目支出绩效工作有较大弹性，评价报告多局限于描述项目实施情况，对问题避重就轻，对项目的打分松紧不一，会影响评价质量，在客观性和公正性上说服力不强。</w:t>
      </w:r>
    </w:p>
    <w:p w14:paraId="0CDF846D">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、有关建议</w:t>
      </w:r>
    </w:p>
    <w:p w14:paraId="6BAE27B1">
      <w:pPr>
        <w:spacing w:line="540" w:lineRule="exact"/>
        <w:ind w:firstLine="567"/>
        <w:rPr>
          <w:rStyle w:val="18"/>
          <w:rFonts w:ascii="楷体" w:hAnsi="楷体" w:eastAsia="楷体"/>
          <w:spacing w:val="-4"/>
          <w:sz w:val="32"/>
          <w:szCs w:val="32"/>
        </w:rPr>
      </w:pPr>
      <w:r>
        <w:rPr>
          <w:rStyle w:val="18"/>
          <w:rFonts w:hint="eastAsia" w:ascii="楷体" w:hAnsi="楷体" w:eastAsia="楷体"/>
          <w:b w:val="0"/>
          <w:bCs w:val="0"/>
          <w:spacing w:val="-4"/>
          <w:sz w:val="32"/>
          <w:szCs w:val="32"/>
        </w:rPr>
        <w:t>1.加强培训，提高相关人员工作水平</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采取多种培训形式对单位财务人员、业务科室人员进行集中培训，进一步树牢绩效观念，提高本单位工作人员的绩效管理能力和工作水平，为预算绩效管理相关工作的顺利开展提供保障。</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2.扎实推进档案规范化建设，提升档案管理水平</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是进一步完善项目评价资料。项目启动时同步做好档案的归纳与整理，及时整理、收集、汇总，健全档案资料。二是严格落实自治区关于绩效管理工作档案资料归档的相关要求，强化收集力度，确保归档资料的完整齐全。</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3.高度重视，加强领导</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高度重视，加强领导，精心组织。项目绩效领导小组对绩效评价工作进行指导、监督、检查，确保项目绩效评价反映项目完成真实情况。严格执行项目绩效评价工作要求，切实提高项目绩效报告的客观性和公正性。</w:t>
      </w:r>
    </w:p>
    <w:p w14:paraId="39C8B358">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八</w:t>
      </w:r>
      <w:r>
        <w:rPr>
          <w:rStyle w:val="18"/>
          <w:rFonts w:hint="eastAsia" w:ascii="黑体" w:hAnsi="黑体" w:eastAsia="黑体"/>
          <w:b w:val="0"/>
          <w:spacing w:val="-4"/>
          <w:sz w:val="32"/>
          <w:szCs w:val="32"/>
        </w:rPr>
        <w:t>、其他需要说明的问题</w:t>
      </w:r>
    </w:p>
    <w:p w14:paraId="3E03E32C">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（一）本项目部分间接产生的效果无法准确在短时间内衡量，因此很难认定项目产生的全部效果。通过指标来反映绩效，指标的科学性和全面性需要不断地完善和研究</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（二）评价结果分别编入政府决算和部门预算，并依法予以公开。</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三）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p>
    <w:p w14:paraId="584731B6">
      <w:pPr>
        <w:spacing w:line="540" w:lineRule="exact"/>
        <w:rPr>
          <w:rStyle w:val="18"/>
          <w:rFonts w:ascii="仿宋" w:hAnsi="仿宋" w:eastAsia="仿宋"/>
          <w:b w:val="0"/>
          <w:spacing w:val="-4"/>
          <w:sz w:val="32"/>
          <w:szCs w:val="32"/>
        </w:rPr>
      </w:pPr>
      <w:bookmarkStart w:id="0" w:name="_GoBack"/>
      <w:bookmarkEnd w:id="0"/>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Arial Unicode MS"/>
    <w:panose1 w:val="03000509000000000000"/>
    <w:charset w:val="86"/>
    <w:family w:val="script"/>
    <w:pitch w:val="default"/>
    <w:sig w:usb0="00000000" w:usb1="00000000" w:usb2="00000000" w:usb3="00000000" w:csb0="00040000" w:csb1="00000000"/>
  </w:font>
  <w:font w:name="仿宋_GB2312">
    <w:altName w:val="仿宋"/>
    <w:panose1 w:val="02010609030101010101"/>
    <w:charset w:val="86"/>
    <w:family w:val="auto"/>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35495F93">
        <w:pPr>
          <w:pStyle w:val="12"/>
          <w:jc w:val="center"/>
        </w:pPr>
        <w:r>
          <w:fldChar w:fldCharType="begin"/>
        </w:r>
        <w:r>
          <w:instrText xml:space="preserve">PAGE   \* MERGEFORMAT</w:instrText>
        </w:r>
        <w:r>
          <w:fldChar w:fldCharType="separate"/>
        </w:r>
        <w:r>
          <w:rPr>
            <w:lang w:val="zh-CN"/>
          </w:rPr>
          <w:t>2</w:t>
        </w:r>
        <w:r>
          <w:fldChar w:fldCharType="end"/>
        </w:r>
      </w:p>
    </w:sdtContent>
  </w:sdt>
  <w:p w14:paraId="51BCA022">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EA218F"/>
    <w:multiLevelType w:val="singleLevel"/>
    <w:tmpl w:val="3FEA218F"/>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QwNTUwY2Y3NzNhN2YyMWYyN2ZiODRmYTBmNDUyN2UifQ=="/>
  </w:docVars>
  <w:rsids>
    <w:rsidRoot w:val="00CA6457"/>
    <w:rsid w:val="00056465"/>
    <w:rsid w:val="00102DFF"/>
    <w:rsid w:val="0012073C"/>
    <w:rsid w:val="00121AE4"/>
    <w:rsid w:val="00146AAD"/>
    <w:rsid w:val="00151FA7"/>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0ED954A1"/>
    <w:rsid w:val="11BD75F7"/>
    <w:rsid w:val="13BE561A"/>
    <w:rsid w:val="15392994"/>
    <w:rsid w:val="18FE139B"/>
    <w:rsid w:val="2DFE7329"/>
    <w:rsid w:val="3029612C"/>
    <w:rsid w:val="32A221C5"/>
    <w:rsid w:val="33F20F2A"/>
    <w:rsid w:val="34C44675"/>
    <w:rsid w:val="3B5B5607"/>
    <w:rsid w:val="3CE21B3C"/>
    <w:rsid w:val="4D2606A1"/>
    <w:rsid w:val="51830480"/>
    <w:rsid w:val="53A616BE"/>
    <w:rsid w:val="54662BFB"/>
    <w:rsid w:val="62051CA5"/>
    <w:rsid w:val="6C3A69EF"/>
    <w:rsid w:val="755763BD"/>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5"/>
    <w:semiHidden/>
    <w:unhideWhenUsed/>
    <w:uiPriority w:val="99"/>
    <w:rPr>
      <w:sz w:val="18"/>
      <w:szCs w:val="18"/>
    </w:rPr>
  </w:style>
  <w:style w:type="paragraph" w:styleId="12">
    <w:name w:val="footer"/>
    <w:basedOn w:val="1"/>
    <w:link w:val="44"/>
    <w:unhideWhenUsed/>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autoRedefine/>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autoRedefine/>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autoRedefine/>
    <w:qFormat/>
    <w:uiPriority w:val="20"/>
    <w:rPr>
      <w:rFonts w:asciiTheme="minorHAnsi" w:hAnsiTheme="minorHAnsi"/>
      <w:b/>
      <w:i/>
      <w:iCs/>
    </w:rPr>
  </w:style>
  <w:style w:type="character" w:customStyle="1" w:styleId="20">
    <w:name w:val="标题 1 Char"/>
    <w:basedOn w:val="17"/>
    <w:link w:val="2"/>
    <w:autoRedefine/>
    <w:qFormat/>
    <w:uiPriority w:val="9"/>
    <w:rPr>
      <w:rFonts w:asciiTheme="majorHAnsi" w:hAnsiTheme="majorHAnsi" w:eastAsiaTheme="majorEastAsia"/>
      <w:b/>
      <w:bCs/>
      <w:kern w:val="32"/>
      <w:sz w:val="32"/>
      <w:szCs w:val="32"/>
    </w:rPr>
  </w:style>
  <w:style w:type="character" w:customStyle="1" w:styleId="21">
    <w:name w:val="标题 2 Char"/>
    <w:basedOn w:val="17"/>
    <w:link w:val="3"/>
    <w:autoRedefine/>
    <w:semiHidden/>
    <w:qFormat/>
    <w:uiPriority w:val="9"/>
    <w:rPr>
      <w:rFonts w:asciiTheme="majorHAnsi" w:hAnsiTheme="majorHAnsi" w:eastAsiaTheme="majorEastAsia"/>
      <w:b/>
      <w:bCs/>
      <w:i/>
      <w:iCs/>
      <w:sz w:val="28"/>
      <w:szCs w:val="28"/>
    </w:rPr>
  </w:style>
  <w:style w:type="character" w:customStyle="1" w:styleId="22">
    <w:name w:val="标题 3 Char"/>
    <w:basedOn w:val="17"/>
    <w:link w:val="4"/>
    <w:autoRedefine/>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autoRedefine/>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autoRedefine/>
    <w:semiHidden/>
    <w:qFormat/>
    <w:uiPriority w:val="9"/>
    <w:rPr>
      <w:sz w:val="24"/>
      <w:szCs w:val="24"/>
    </w:rPr>
  </w:style>
  <w:style w:type="character" w:customStyle="1" w:styleId="27">
    <w:name w:val="标题 8 Char"/>
    <w:basedOn w:val="17"/>
    <w:link w:val="9"/>
    <w:autoRedefine/>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autoRedefine/>
    <w:qFormat/>
    <w:uiPriority w:val="10"/>
    <w:rPr>
      <w:rFonts w:asciiTheme="majorHAnsi" w:hAnsiTheme="majorHAnsi" w:eastAsiaTheme="majorEastAsia"/>
      <w:b/>
      <w:bCs/>
      <w:kern w:val="28"/>
      <w:sz w:val="32"/>
      <w:szCs w:val="32"/>
    </w:rPr>
  </w:style>
  <w:style w:type="character" w:customStyle="1" w:styleId="30">
    <w:name w:val="副标题 Char"/>
    <w:basedOn w:val="17"/>
    <w:link w:val="14"/>
    <w:autoRedefine/>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autoRedefine/>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qFormat/>
    <w:uiPriority w:val="30"/>
    <w:rPr>
      <w:b/>
      <w:i/>
      <w:sz w:val="24"/>
    </w:rPr>
  </w:style>
  <w:style w:type="character" w:customStyle="1" w:styleId="37">
    <w:name w:val="不明显强调1"/>
    <w:autoRedefine/>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autoRedefine/>
    <w:qFormat/>
    <w:uiPriority w:val="31"/>
    <w:rPr>
      <w:sz w:val="24"/>
      <w:szCs w:val="24"/>
      <w:u w:val="single"/>
    </w:rPr>
  </w:style>
  <w:style w:type="character" w:customStyle="1" w:styleId="40">
    <w:name w:val="明显参考1"/>
    <w:basedOn w:val="17"/>
    <w:autoRedefine/>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qFormat/>
    <w:uiPriority w:val="99"/>
    <w:rPr>
      <w:rFonts w:ascii="Calibri" w:hAnsi="Calibri" w:eastAsia="宋体"/>
      <w:kern w:val="2"/>
      <w:sz w:val="18"/>
      <w:szCs w:val="18"/>
    </w:rPr>
  </w:style>
  <w:style w:type="character" w:customStyle="1" w:styleId="44">
    <w:name w:val="页脚 Char"/>
    <w:basedOn w:val="17"/>
    <w:link w:val="12"/>
    <w:qFormat/>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16</Pages>
  <Words>7504</Words>
  <Characters>7903</Characters>
  <Lines>4</Lines>
  <Paragraphs>1</Paragraphs>
  <TotalTime>9</TotalTime>
  <ScaleCrop>false</ScaleCrop>
  <LinksUpToDate>false</LinksUpToDate>
  <CharactersWithSpaces>7917</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青青</cp:lastModifiedBy>
  <cp:lastPrinted>2018-12-31T10:56:00Z</cp:lastPrinted>
  <dcterms:modified xsi:type="dcterms:W3CDTF">2024-08-14T09:04:23Z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C734C92AAAF24344A0E4232D8EB3359B</vt:lpwstr>
  </property>
</Properties>
</file>