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2023年中央专项彩票公益金支持地方社会公益事业发展（医疗卫生）资金预算</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玛纳斯县乐土驿卫生院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玛纳斯县乐土驿卫生院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海涛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印发自治区促进养老抚育服务健康发展工作方案的通知》(新政办法〔2021〕67号）和《关于印发自治区老年健康服务体系建设实施办法的通知》（新卫老龄发〔2020〕2号），通过实施社区医养结合能力提升工程，加大社区医养结合服务供给，建立完善健康教育、预防保健、疾病诊治、康复护理、长期照护、安宁疗护综合连续覆盖城乡的老年健康服务体系，有效满足老年人健康服务需求。该项目的实施，将进一步改善乐土驿卫生院医养结合服务能力和水平，对促进乐土驿卫生院医养结合建设具有重要意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本项目的建设是贯彻落实《关于开展医养结合机构服务质量提升行动的通知》（国卫办老龄函〔2020〕974 号）、《开展社区医养结合能力提升行动的通知》关国卫老龄函〔2022〕53 号以及《关于印发自治区促进养老抚育服务健康发展工作方案的通知》(新政办法〔2021〕67 号）等文件的相关精神，通过项目实施，逐步构建包括健康教育、预防保健、疾病诊治、康复护理、长期照护、安宁疗护的综合连续、覆盖城乡的老年健康服务体系，努力提高老年人健康水平，实现健康老龄化。通过实施社区医养结合能力提升工程，支持社区卫生服务机构和乡镇卫生院按照《自治区社区医养结合服务中心建设标准（试行）》通过内部改扩建，建设社区（乡镇）医养结合服务中心，并按照《自治区社区医养结合服务中心服务指南（试行）》，重点为失能、高龄、残疾等老年人提供疾病诊治、康复护理、长期照护、安宁疗护为主的医养结合服务，切实满足辖区内老年人健康和养老服务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5月开始实施，截止2023年11月已全部完成，通过本项目的实施与国家政策和规划相关，与自治区行业发展规划相关，与主管部门职能、规划及当年重点工作相关，具有现实需求，具有确定的受益对象，有明显的经济、社会、生态效益和可持续影响，属于财政资金支持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专项彩票公益金支持地方社会公益事业发展（医疗卫生）项目的实施主体为玛纳斯县乐土驿镇卫生院，该单位纳入2023年部门决算编制范围的有10个科室，分别是：预防保健科、内科、外科、妇科、检验科、药房、医技科、中医科、口腔科、财务室。</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编制人数为30人，事业编制30人。实有在职人数30人。离退休人员6人，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2023年中央专项彩票公益金支持地方社会公益事业发展（医疗卫生）项目预算安排总额为200万元，其中财政资金200万元，其他资金0万元，2023年实际收到预算资金200万元，预算资金到位率为100%。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截止2023年12月31日，2023年中央专项彩票公益金支持地方社会公益事业发展（医疗卫生）项目实际支付资金200万元，预算执行率100%。结转结余资金0万元，已上缴国库。项目资金主要用于改扩建业务用房 680 平方米，设计为地 上二层，框架结构，内设 20 张疗养床位，配套建设供电、供排水等 附属设施，并购置相关仪器设备等方面。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专项彩票公益金支持地方社会公益事业发展（医疗卫生）项目绩效总体目标为：本项目拟投入200万元用于玛纳斯县乐土驿卫生院医养结合能力提升工程建设项目，主要建设玛纳斯县乐土驿卫生院医养结合能力提升工程建设项目内容为：为深入推进医养结合发展，持续提升医养结合服务质量，进一步 丰富玛纳斯县乐土驿卫生院医养结合服务供给能力，满足项目区老年 人健康养老服务需求，本次拟改扩建业务用房 680 平方米，设计为地 上二层，框架结构，内设 20 张疗养床位，配套建设供电、供排水等 附属设施，并购置相关仪器设备。，于2022年10月31日前完工，通过本项目的实施，满足群众医养结合服务能力和水平的需要，促进医养结合能力提升的发展，完善健康教育、预防保健、疾病诊治、康复护理、长期照护、安宁疗护综合连续覆盖城乡的老年健康服务体系，改善医养结合的养老模式,使老年人多层次、多样化的健康养 老服务需求满意度达到80%。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“建设床位数（不少于20张）”指标，预期指标值为20张；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“业务用房及适老化 设施改造面积”指标，预期指标值为680平方米；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“培训人次数”指标，预期指标值为6人次；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“为辖区65岁以上老年人开展2次医养结合服务人数”指标，预期指标值为1400人；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“为辖区65岁以上失能老年人开展健康评估和健康 服务人数”指标，预期指标值为120人；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“设备购置数量”指标，预期指标值为20件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“建设项目合格率”指标，预期指标值为95%；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“购置设备合格率”指标，预期指标值为95%；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“人才培训合格率”指标，预期指标值为90%；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“65岁及以上老年人提供医养结合的服务率”指标，预期指标值为95%；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“工程按时完工率”指标，预期指标值为100%；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“床位建设费用”指标，预期指标值为4万元；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“业务用房及适老化 设施改造费用”指标，预期指标值为170万元；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“设备购置费用”指标，预期指标值为20万元；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“人才培训费用”指标，预期指标值为4万元；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“医养结合服务费用”指标，预期指标值为2万元；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“老年人健康服务水平”指标，预期指标值为逐步提高；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“65岁及以上老年人医养结合服务满意度65岁及以上老年人医养结合服务满意度”指标，预期指标值为90%。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专项彩票公益金支持地方社会公益事业发展（医疗卫生）资金预算项目绩效总体目标为：本项目拟投入200万元用于玛纳斯县乐土驿卫生院医养结合能力提升工程建设项目，主要建设玛纳斯县乐土驿卫生院医养结合能力提升工程建设项目内容为：为深入推进医养结合发展，持续提升医养结合服务质量，进一步 丰富玛纳斯县乐土驿卫生院医养结合服务供给能力，满足项目区老年 人健康养老服务需求，本次拟改扩建业务用房 680 平方米，设计为地 上二层，框架结构，内设 20 张疗养床位，配套建设供电、供排水等 附属设施，并购置相关仪器设备。，于2023年10月31日前完工，通过本项目的实施，满足群众医养结合服务能力和水平的需要，促进医养结合能力提升的发展，完善健康教育、预防保健、疾病诊治、康复护理、长期照护、安宁疗护综合连续覆盖城乡的老年健康服务体系，改善医养结合的养老模式,使老年人多层次、多样化的健康养 老服务需求满意度达到80%。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“建设床位数（不少于20张）”指标，预期指标值为=20张；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“业务用房及适老化 设施改造面积”指标，预期指标值为=680平方米；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“培训人次数”指标，预期指标值为=6人次；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“为辖区65岁以上老年人开展2次医养结合服务人数”指标，预期指标值为=1400人；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“为辖区65岁以上失能老年人开展健康评估和健康 服务人数”指标，预期指标值为=120人；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“设备购置数量”指标，预期指标值为=20件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“建设项目合格率”指标，预期指标值为&gt;=95%；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“购置设备合格率”指标，预期指标值为&gt;=95%；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“人才培训合格率”指标，预期指标值为&gt;=90%；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“65岁及以上老年人提供医养结合的服务率”指标，预期指标值为&gt;=95%；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“工程按时完工率”指标，预期指标值为=100%；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“床位建设费用”指标，预期指标值为&lt;=4万元；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“业务用房及适老化 设施改造费用”指标，预期指标值为&lt;=170万元；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“设备购置费用”指标，预期指标值为&lt;=20万元；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“人才培训费用”指标，预期指标值为&lt;=4万元；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“医养结合服务费用”指标，预期指标值为&lt;=2万元；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“老年人健康服务水平”指标，预期指标值为逐步提高；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“65岁及以上老年人医养结合服务满意度65岁及以上老年人医养结合服务满意度”指标，预期指标值为&gt;=90%。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此次我单位根据《财政支出绩效评价管理暂行办法》（财预〔2020〕10号）文件要求对2023年度我单位实施的2023年中央专项彩票公益金支持地方社会公益事业发展（医疗卫生））资金预算开展部门绩效评价。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专项彩票公益金支持地方社会公益事业发展（医疗卫生）资金预算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专项彩票公益金支持地方社会公益事业发展（医疗卫生）资金预算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王云财务总管任评价组组长，绩效评价工作职责为检查项目绩效指标完成情况，审定项目支出绩效评价结果及项目支出绩效评价报告。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海涛财务科主任评价组副组长，绩效评价工作职责为组织和协调项目工作人员采取实地调查、资料检查等方式，核实项目绩效指标完成情况；组织受益对象对项目工作进行评价等。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吴丹、张晓艳财务科科员任评价组成员，绩效评价工作职责为做好项目支出绩效评价工作的沟通协调工作，对项目实施情况进行实地调查，编写项目支出绩效评价报告。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专项彩票公益金支持地方社会公益事业发展（医疗卫生）资金预算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专项彩票公益金支持地方社会公益事业发展（医疗卫生）资金预算项目绩效进行客观评价，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关于印发自治区促进养老抚育服务健康发展工作方案的通知》(新政办法〔2021〕67号）和《关于印发自治区老年健康服务体系建设实施办法的通知》（新卫老龄发〔2020〕2号）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资金到位率=（200/200）×100%=100%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预算执行率=（200/200）×100%。=100%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①已制定《乐土驿卫生院财务管理办法》和《乐土驿卫生院项目业务管理办法》，具有相应的财务和业务管理制度；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项目产出类指标由3个二级指标和11个三级指标构成，权重分25分，实际得分25分，1.项目完成数量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“建设床位数（不少于20张）”指标，预期指标值为=20张，实际完成为=20张。实际完成率=（20张/20张）×100%=100%。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“业务用房及适老化 设施改造面积”指标，预期指标值为=680平方米，实际完成为=680平方米。实际完成率=（680平方米/680平方米）×100%=100%。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“培训人次数”指标，预期指标值为=6人次，实际完成为=6人次。实际完成率=（6人次/6人次）×100%=100%。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“为辖区65岁以上老年人开展2次医养结合服务人数”指标，预期指标值为1400人，实际完成为=1400人。实际完成率=1400人/1400人）×100%=100%。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“为辖区65岁以上失能老年人开展健康评估和健康 服务人数”指标，预期指标值为=120人，实际完成为=120人。实际完成率=（120人/120人）×100%=100%。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“设备购置数量”指标，预期指标值为=20件，实际完成为=20件。实际完成率=（20件/20件）×100%=100%。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综上，该项指标满分14分，得分14分。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“建设项目合格率”指标，预期指标值为&gt;=95%，实际完成为100%。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“购置设备合格率”指标，预期指标值为&gt;=95%，实际完成为100%。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“人才培训合格率”指标，预期指标值为&gt;=90%，实际完成为100%。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“65岁及以上老年人提供医养结合的服务率”指标，预期指标值为&gt;=95%，实际完成为100%。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综上，该项指标满分9分，得分9分。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“工程按时完工率”指标，预期指标值为100%，实际完成为100%。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项目成本类指标由1个二级指标和5个三级指标构成，权重分15分，实际得分15分，各指标业绩值和绩效分值如表4-3所示（详见上传的附件）：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年度指标值</w:t>
      </w:r>
      <w:r>
        <w:rPr>
          <w:rStyle w:val="18"/>
          <w:rFonts w:hint="eastAsia" w:ascii="楷体" w:hAnsi="楷体" w:eastAsia="楷体"/>
          <w:b w:val="0"/>
          <w:bCs w:val="0"/>
          <w:spacing w:val="-4"/>
          <w:sz w:val="32"/>
          <w:szCs w:val="32"/>
        </w:rPr>
        <w:tab/>
        <w:t>标杆分值</w:t>
      </w:r>
      <w:r>
        <w:rPr>
          <w:rStyle w:val="18"/>
          <w:rFonts w:hint="eastAsia" w:ascii="楷体" w:hAnsi="楷体" w:eastAsia="楷体"/>
          <w:b w:val="0"/>
          <w:bCs w:val="0"/>
          <w:spacing w:val="-4"/>
          <w:sz w:val="32"/>
          <w:szCs w:val="32"/>
        </w:rPr>
        <w:tab/>
        <w:t>全年实际完成值</w:t>
      </w:r>
      <w:r>
        <w:rPr>
          <w:rStyle w:val="18"/>
          <w:rFonts w:hint="eastAsia" w:ascii="楷体" w:hAnsi="楷体" w:eastAsia="楷体"/>
          <w:b w:val="0"/>
          <w:bCs w:val="0"/>
          <w:spacing w:val="-4"/>
          <w:sz w:val="32"/>
          <w:szCs w:val="32"/>
        </w:rPr>
        <w:tab/>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t>经济成本指标</w:t>
      </w:r>
      <w:r>
        <w:rPr>
          <w:rStyle w:val="18"/>
          <w:rFonts w:hint="eastAsia" w:ascii="楷体" w:hAnsi="楷体" w:eastAsia="楷体"/>
          <w:b w:val="0"/>
          <w:bCs w:val="0"/>
          <w:spacing w:val="-4"/>
          <w:sz w:val="32"/>
          <w:szCs w:val="32"/>
        </w:rPr>
        <w:tab/>
        <w:t>床位建设费用</w:t>
      </w:r>
      <w:r>
        <w:rPr>
          <w:rStyle w:val="18"/>
          <w:rFonts w:hint="eastAsia" w:ascii="楷体" w:hAnsi="楷体" w:eastAsia="楷体"/>
          <w:b w:val="0"/>
          <w:bCs w:val="0"/>
          <w:spacing w:val="-4"/>
          <w:sz w:val="32"/>
          <w:szCs w:val="32"/>
        </w:rPr>
        <w:tab/>
        <w:t>&lt;=4万元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=4万元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业务用房及适老化 设施改造费用</w:t>
      </w:r>
      <w:r>
        <w:rPr>
          <w:rStyle w:val="18"/>
          <w:rFonts w:hint="eastAsia" w:ascii="楷体" w:hAnsi="楷体" w:eastAsia="楷体"/>
          <w:b w:val="0"/>
          <w:bCs w:val="0"/>
          <w:spacing w:val="-4"/>
          <w:sz w:val="32"/>
          <w:szCs w:val="32"/>
        </w:rPr>
        <w:tab/>
        <w:t>&lt;=170万元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=170万元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设备购置费用</w:t>
      </w:r>
      <w:r>
        <w:rPr>
          <w:rStyle w:val="18"/>
          <w:rFonts w:hint="eastAsia" w:ascii="楷体" w:hAnsi="楷体" w:eastAsia="楷体"/>
          <w:b w:val="0"/>
          <w:bCs w:val="0"/>
          <w:spacing w:val="-4"/>
          <w:sz w:val="32"/>
          <w:szCs w:val="32"/>
        </w:rPr>
        <w:tab/>
        <w:t>&lt;=20万元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=20万元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人才培训费用</w:t>
      </w:r>
      <w:r>
        <w:rPr>
          <w:rStyle w:val="18"/>
          <w:rFonts w:hint="eastAsia" w:ascii="楷体" w:hAnsi="楷体" w:eastAsia="楷体"/>
          <w:b w:val="0"/>
          <w:bCs w:val="0"/>
          <w:spacing w:val="-4"/>
          <w:sz w:val="32"/>
          <w:szCs w:val="32"/>
        </w:rPr>
        <w:tab/>
        <w:t>&lt;=4万元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=4万元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医养结合服务费用</w:t>
      </w:r>
      <w:r>
        <w:rPr>
          <w:rStyle w:val="18"/>
          <w:rFonts w:hint="eastAsia" w:ascii="楷体" w:hAnsi="楷体" w:eastAsia="楷体"/>
          <w:b w:val="0"/>
          <w:bCs w:val="0"/>
          <w:spacing w:val="-4"/>
          <w:sz w:val="32"/>
          <w:szCs w:val="32"/>
        </w:rPr>
        <w:tab/>
        <w:t>&lt;=2万元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=2万元</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“床位建设费用”指标，预期指标值为&lt;=4万元，实际完成为=4万元。实际完成率=100%。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“业务用房及适老化 设施改造费用”指标，预期指标值为&lt;=170万元，实际完成为=170万元。实际完成率=100%。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“设备购置费用”指标，预期指标值为&lt;=20万元，实际完成为=20万元。实际完成率=100%。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“人才培训费用”指标，预期指标值为&lt;=4万元，实际完成为=4万元。实际完成率=100%。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“医养结合服务费用”指标，预期指标值为&lt;=2万元，实际完成为=2万元。实际完成率=100%。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“老年人健康服务水平”指标，预期指标值为逐步提高，实际完成为逐步提高。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通过项目的实施，有效改善了群众的医疗条件。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“65岁及以上老年人医养结合服务满意度65岁及以上老年人医养结合服务满意度”指标，预期指标值为&gt;=90%，实际完成为90%。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3F985CB8"/>
    <w:rsid w:val="4D2606A1"/>
    <w:rsid w:val="51830480"/>
    <w:rsid w:val="53A616BE"/>
    <w:rsid w:val="54662BFB"/>
    <w:rsid w:val="57250C48"/>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2024-04-11T04:53:56Z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