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市场监督管理局</w:t>
      </w:r>
    </w:p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中共玛纳斯县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委办公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印发《关于&lt;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机构改革方案&gt;的实施意见》的通知，调整部门单位预算。现将我单位预算调整情况补充公开如下：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spacing w:line="560" w:lineRule="exact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根据《关于&lt;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机构改革方案&gt;的实施意见》精神，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将县原县工商行政管理局、县原质量技术监督局、县原食品药品监督管理局三个部门的职责整体并入、重新组建县市场监督管理局，作为县人民政府工作部门，为一级单位。</w:t>
      </w:r>
    </w:p>
    <w:p>
      <w:pPr>
        <w:spacing w:line="560" w:lineRule="exact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涉及原县工商行政管理局、县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质量技术监督局、县原食品药品监督管理局三个部门的部门预算全部调整，以县工商行政管理局、县原质量技术监督局、县原食品药品监督管理局三个部门预算整体并入，形成市场监督管理局部门整体预算。贯彻落实玛纳斯县党政机构改革工作部署，本次将原县工商行政管理局、县原质量技术监督局、县原食品药品监督管理局三个部门职责整体划入市场监督管理局。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pStyle w:val="6"/>
        <w:numPr>
          <w:ilvl w:val="0"/>
          <w:numId w:val="0"/>
        </w:numPr>
        <w:spacing w:line="560" w:lineRule="exact"/>
        <w:ind w:left="480" w:leftChars="0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ind w:firstLine="800" w:firstLineChars="25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县工商行政管理局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>年初部门预算总额为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237.07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、原质量技术监督局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2019年年初部门预算总额为616.24万元，原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食品药品监督管理局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2019年年初部门预算总额为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237.07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工商行政管理局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本次整体调减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387.59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；原质量技术监督局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本次整体调减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243.13万元，原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食品药品监督管理局本次整体调减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168.61万元。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具体说明况为：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（一）因原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工商行政管理局整体</w:t>
      </w:r>
      <w:r>
        <w:rPr>
          <w:rFonts w:hint="eastAsia" w:ascii="仿宋_GB2312" w:hAnsi="仿宋_GB2312" w:eastAsia="仿宋_GB2312" w:cs="仿宋_GB2312"/>
          <w:sz w:val="32"/>
          <w:szCs w:val="32"/>
        </w:rPr>
        <w:t>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</w:t>
      </w:r>
      <w:r>
        <w:rPr>
          <w:rFonts w:hint="eastAsia" w:ascii="仿宋_GB2312" w:hAnsi="仿宋_GB2312" w:eastAsia="仿宋_GB2312" w:cs="仿宋_GB2312"/>
          <w:sz w:val="32"/>
          <w:szCs w:val="32"/>
        </w:rPr>
        <w:t>划入，在机构合并后，划入预算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387.59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387.59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（二）因原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质量技术监督局整体</w:t>
      </w:r>
      <w:r>
        <w:rPr>
          <w:rFonts w:hint="eastAsia" w:ascii="仿宋_GB2312" w:hAnsi="仿宋_GB2312" w:eastAsia="仿宋_GB2312" w:cs="仿宋_GB2312"/>
          <w:sz w:val="32"/>
          <w:szCs w:val="32"/>
        </w:rPr>
        <w:t>职能划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</w:t>
      </w:r>
      <w:r>
        <w:rPr>
          <w:rFonts w:hint="eastAsia" w:ascii="仿宋_GB2312" w:hAnsi="仿宋_GB2312" w:eastAsia="仿宋_GB2312" w:cs="仿宋_GB2312"/>
          <w:sz w:val="32"/>
          <w:szCs w:val="32"/>
        </w:rPr>
        <w:t>，在机构合并后，划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243.13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243.13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因原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食品药品监督管理局整体</w:t>
      </w:r>
      <w:r>
        <w:rPr>
          <w:rFonts w:hint="eastAsia" w:ascii="仿宋_GB2312" w:hAnsi="仿宋_GB2312" w:eastAsia="仿宋_GB2312" w:cs="仿宋_GB2312"/>
          <w:sz w:val="32"/>
          <w:szCs w:val="32"/>
        </w:rPr>
        <w:t>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</w:t>
      </w:r>
      <w:r>
        <w:rPr>
          <w:rFonts w:hint="eastAsia" w:ascii="仿宋_GB2312" w:hAnsi="仿宋_GB2312" w:eastAsia="仿宋_GB2312" w:cs="仿宋_GB2312"/>
          <w:sz w:val="32"/>
          <w:szCs w:val="32"/>
        </w:rPr>
        <w:t>划入，在机构合并后，划入预算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168.61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120.00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48.61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）“三公”经费变化情况：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县工商行政管理局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万元整体划出并入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市场监督管理局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。其中：因公出国（境）费0万元，公务用车购置0万元，公务用车运行费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原质量技术监督局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部分</w:t>
      </w:r>
      <w:r>
        <w:rPr>
          <w:rFonts w:hint="eastAsia" w:ascii="仿宋_GB2312" w:hAnsi="仿宋_GB2312" w:eastAsia="仿宋_GB2312" w:cs="仿宋_GB2312"/>
          <w:sz w:val="32"/>
          <w:szCs w:val="32"/>
        </w:rPr>
        <w:t>划出并入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市场监督管理局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。其中：因公出国（境）费0万元，公务用车购置0万元，公务用车运行费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县原食品药品监督管理局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万元整体划出并入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市场监督管理局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。其中：因公出国（境）费0万元，公务用车购置0万元，公务用车运行费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三、绩效目标调整情况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食品药品监督管理局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部门系统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个项目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48.61万元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、性质未发生变化，绩效目标整体并入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市场监督管理局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>。  详见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市场监督管理局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部门涉改部门单位调整预算补充公开内容。</w:t>
      </w:r>
    </w:p>
    <w:p>
      <w:pPr>
        <w:ind w:left="960" w:hanging="960" w:hanging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市场监督管理局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项目支出绩效目标表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40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869"/>
        <w:gridCol w:w="1652"/>
        <w:gridCol w:w="294"/>
        <w:gridCol w:w="685"/>
        <w:gridCol w:w="236"/>
        <w:gridCol w:w="236"/>
        <w:gridCol w:w="1130"/>
        <w:gridCol w:w="240"/>
        <w:gridCol w:w="577"/>
        <w:gridCol w:w="1253"/>
        <w:gridCol w:w="236"/>
        <w:gridCol w:w="278"/>
        <w:gridCol w:w="55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4032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支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出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绩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效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标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10" w:type="dxa"/>
          <w:trHeight w:val="271" w:hRule="atLeast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9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玛纳斯县食品药品监督管理局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重大公共卫生专项</w:t>
            </w:r>
            <w:r>
              <w:rPr>
                <w:rFonts w:ascii="宋体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农村药品管理及食品药品安全监管经费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　</w:t>
            </w:r>
          </w:p>
        </w:tc>
        <w:tc>
          <w:tcPr>
            <w:tcW w:w="1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　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2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3196" w:type="dxa"/>
            <w:gridSpan w:val="1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通过开展“四品一械”监督抽验、药品、医疗器械不良反应监测、应急能力建设、食品药品检验机构能力建设等工作，提高我县食品药品监管能力，保障新疆各族人民群众饮食用药用械安全。快检车主要用于食品快检筛查、监督抽样、日常监管、应急处置、重大活动食品安全保障等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药品监督抽验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快检车必须专车专用，优先保障食品安全事件应急处置工作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化妆品监督抽检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快检车必须专车专用，优先保障食品安全事件应急处置工作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医疗器械抽验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快检车必须专车专用，优先保障食品安全事件应急处置工作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药品监督抽验合格率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化妆品监督抽检合格率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高风险类医疗器械监管覆盖率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重大案件查办率、涉刑移送率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食品药品检验能力建设全疆覆盖率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重大活动检测快速合格率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食品生产企业监管覆盖率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各类抽检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现场检验的应当场告知被抽查人检验结果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车辆运行费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车辆燃油费及车辆保险费、停车费等根据出车抽检情况产生，预计车辆运行花费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车辆维护管理费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保证车辆的性能完好和车载设备的安全，及仪器设备的添置、维护、试剂及易损件的补充，快检人员的差旅补助和必须保持车辆内外卫生清洁。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仪器设备使用管理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建立健全各项仪器设备管理制度和档案。应根据仪器设备的实际运行状况，结合检测工作，编制仪器设备年度维护保养或检修计划，确保仪器设备处于正常状态。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检测工作程序管理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快速检测工作应当严格按照国家有关法律、法规、规章及快检工作手册的有关要求，依法实施监督检查和检测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3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食品药品检验能力建设全疆覆盖率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重大活动检测快速合格率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食品药品安全监管水平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化妆品生产经营安全管理水平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医疗器械安全监管水平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不发生重大信访事件。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快检筛查率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监督抽样率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日常监管率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应急处置率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重大活动食品安全保障率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促进食品行业健康有序发展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促进药品行业健康有序发展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提升监管单位及人员综合监管执法能力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8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食药监管工作社会认可及宣传工作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人民群众对食药监管工作满意度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4032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tabs>
                <w:tab w:val="left" w:pos="649"/>
              </w:tabs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支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出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绩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效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标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9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玛纳斯县食品药品监督管理局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重大公共卫生专项</w:t>
            </w:r>
            <w:r>
              <w:rPr>
                <w:rFonts w:ascii="宋体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农村药品管理及食品药品安全监管经费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4.28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　</w:t>
            </w:r>
          </w:p>
        </w:tc>
        <w:tc>
          <w:tcPr>
            <w:tcW w:w="1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4.28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　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2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3196" w:type="dxa"/>
            <w:gridSpan w:val="1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通过加强食品药品安全监管，提升食品药品检测能力，提高食品药品合格率，严厉打击食品药品违法犯罪，降低食品药品安全风险，促使公众满意度显著提升，食品药品安全治理水平稳步提高。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重大食品药品案件查办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培训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人·天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负责全县食品药品生产使用经营环节质量安全检查和处罚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按照程序规定，按时办结案件。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重大案件查办率、涉刑移送率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药品质量安全监管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食品质量安全监管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干部队伍能力建设项目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食品药品安全监管水平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化妆品生产经营安全管理水平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公众饮食用药安全科普知识素养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基层监管队伍执法能力和监管能力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医疗器械安全监管水平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食品药品安全监管水平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化妆品生产经营安全管理水平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医疗器械安全监管水平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基层监管队伍执法能力和监管能力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公众饮食用药安全科普知识素养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食品药品检验能力建设全疆覆盖率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不发生重大信访事件。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促进食品行业健康有序发展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促进药品行业健康有序发展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提升监管单位及人员综合监管执法能力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食药被监管对象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不发生重大信访事件。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4032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ind w:firstLine="1285" w:firstLineChars="400"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</w:pPr>
          </w:p>
          <w:p>
            <w:pPr>
              <w:widowControl/>
              <w:ind w:firstLine="1285" w:firstLineChars="400"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</w:pPr>
          </w:p>
          <w:p>
            <w:pPr>
              <w:widowControl/>
              <w:ind w:firstLine="1285" w:firstLineChars="400"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</w:pPr>
          </w:p>
          <w:p>
            <w:pPr>
              <w:widowControl/>
              <w:ind w:firstLine="1285" w:firstLineChars="400"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</w:pPr>
          </w:p>
          <w:p>
            <w:pPr>
              <w:widowControl/>
              <w:ind w:firstLine="1285" w:firstLineChars="400"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</w:pPr>
          </w:p>
          <w:p>
            <w:pPr>
              <w:widowControl/>
              <w:ind w:firstLine="1285" w:firstLineChars="400"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支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出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绩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效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标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10" w:type="dxa"/>
          <w:trHeight w:val="271" w:hRule="atLeast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9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玛纳斯县食品药品监督管理局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食品流通安全补贴</w:t>
            </w:r>
            <w:r>
              <w:rPr>
                <w:rFonts w:ascii="宋体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食用农用品抽检经费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　</w:t>
            </w:r>
          </w:p>
        </w:tc>
        <w:tc>
          <w:tcPr>
            <w:tcW w:w="1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　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2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3196" w:type="dxa"/>
            <w:gridSpan w:val="1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开展“四品一械”监督抽验、稽查打假执法办案、药品、医疗器械不良反应监测、应急能力建设、队伍能力建设及食品药品检验机构能力建设等工作，提高我区食品药品监管能力，保障新疆各族人民群众饮食用药用械安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重大食品药品案件查办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培训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人·天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任务完成时间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2019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药品监督抽验合格率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化妆品监督抽检合格率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高风险类医疗器械监管覆盖率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重大案件查办率、涉刑移送率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食品药品检验能力建设全疆覆盖率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重大活动检测快速合格率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食品生产企业监管覆盖率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药品监督抽验合格率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药品监督抽验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批次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化妆品监督抽检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批次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医疗器械抽验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批次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药品不良反应监测报告数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根据抽检情况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化妆品不良反应报告数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根据抽检情况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医疗器械不良反应监测报告数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根据抽检情况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开展多样性的科普宣传方式，网络、微信、广播，电视等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批次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药品监督抽验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批次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食品药品安全监管水平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化妆品生产经营安全管理水平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公众饮食用药安全科普知识素养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基层监管队伍执法能力和监管能力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医疗器械安全监管水平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食品药品安全监管水平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化妆品生产经营安全管理水平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医疗器械安全监管水平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基层监管队伍执法能力和监管能力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公众饮食用药安全科普知识素养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食品药品检验能力建设全疆覆盖率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生态效益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不发生重大信访事件。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可持续影响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促进食品行业健康有序发展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促进药品行业健康有序发展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提升监管单位及人员综合监管执法能力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8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抽验企业满意度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培训学员的满意度</w:t>
            </w:r>
          </w:p>
        </w:tc>
        <w:tc>
          <w:tcPr>
            <w:tcW w:w="78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E64966"/>
    <w:rsid w:val="00297950"/>
    <w:rsid w:val="002D4790"/>
    <w:rsid w:val="00382E0E"/>
    <w:rsid w:val="00500848"/>
    <w:rsid w:val="007F5EE2"/>
    <w:rsid w:val="00987DF7"/>
    <w:rsid w:val="00AE5BEA"/>
    <w:rsid w:val="00B75DE4"/>
    <w:rsid w:val="00C37365"/>
    <w:rsid w:val="00D06613"/>
    <w:rsid w:val="07962610"/>
    <w:rsid w:val="0FEE4429"/>
    <w:rsid w:val="119E7751"/>
    <w:rsid w:val="11E64966"/>
    <w:rsid w:val="1DBE498B"/>
    <w:rsid w:val="1E3A6E57"/>
    <w:rsid w:val="2D81333D"/>
    <w:rsid w:val="38CB03ED"/>
    <w:rsid w:val="3CA127DB"/>
    <w:rsid w:val="4181193A"/>
    <w:rsid w:val="46D0773E"/>
    <w:rsid w:val="573E017F"/>
    <w:rsid w:val="5A9F6A5F"/>
    <w:rsid w:val="629322B4"/>
    <w:rsid w:val="68625F1D"/>
    <w:rsid w:val="712B4DFA"/>
    <w:rsid w:val="7A7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DE5636-D6F6-4994-ACB9-D70AC6ED3A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</Words>
  <Characters>740</Characters>
  <Lines>6</Lines>
  <Paragraphs>1</Paragraphs>
  <TotalTime>3</TotalTime>
  <ScaleCrop>false</ScaleCrop>
  <LinksUpToDate>false</LinksUpToDate>
  <CharactersWithSpaces>868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2019-03-06T05:18:00Z</dcterms:created>
  <dc:creator>Administrator</dc:creator>
  <cp:lastModifiedBy>Administrator</cp:lastModifiedBy>
  <cp:lastPrinted>2019-06-14T08:42:00Z</cp:lastPrinted>
  <dcterms:modified xsi:type="dcterms:W3CDTF">2024-03-25T02:19:46Z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