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720" w:firstLineChars="200"/>
        <w:jc w:val="center"/>
        <w:rPr>
          <w:rFonts w:ascii="仿宋" w:hAnsi="仿宋" w:eastAsia="仿宋" w:cs="仿宋"/>
          <w:sz w:val="36"/>
          <w:szCs w:val="36"/>
        </w:rPr>
      </w:pPr>
      <w:r>
        <w:rPr>
          <w:rFonts w:hint="eastAsia" w:ascii="仿宋" w:hAnsi="仿宋" w:eastAsia="仿宋" w:cs="仿宋"/>
          <w:sz w:val="36"/>
          <w:szCs w:val="36"/>
        </w:rPr>
        <w:t>2017年度玛纳斯县委宣传部决算公开说明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玛纳斯县委宣传部单位概况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部门主要职能：负责指导全县理论学习、理论宣传、理论研究工作和指导干部理论教育的工作；负责引导社会舆论，指导、协调新闻单位紧紧围绕党的中心任务和重点工作，组织战役性宣传；对广播电视局等部门的工作实施方针政策的指导和宏观管理；负责对外宣传工作的组织、指导、协调；负责规划、部署全县的思想政治工作任务；配合县委组织部作好党员教育工作；编写党员教育材料；会同有关部门研究和改进群众思想教育工作；负责指导全县精神文明建设指导委员会办公室的工作；负责规划、部署全县群众性的社会主义精神文明建设活动；负责全县“五大创建”活动的规划、指导、督查、评验工作和全县精神文明建设大型活动的协调、组织工作；负责全县《公民道德建设实施纲要》的学习宣传、贯彻落实；负责从宏观上指导全县精神产品的生产和文化市场的管理以及体育工作的开展，对全县文化体育工作在政治方向和方针政策方面实施指导；负责提出全县宣传思想文化事业发展的指导方针，指导宣传文化系统制定有关政策、法规，协调宣传文化系统各部门工作；负责宣传思想工作的督查，及时向党委反映重要情况，提出建议；负责组织、协调重大节日、纪念日的宣传和庆祝活动；负责组织、协调全县大型文体活动和社会宣传工作。</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机构设置和人员编制：县委宣传部不设内设机构，根据工作需要进行人员分工，实行定岗定责。共核定编制为16个，其中：行政编制8人（包括工勤编制1人），事业编制8人，实有人数为13人。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从决算单位构成看，县委宣传部部门决算包括：县委宣传部部门本级决算、所属单位决算等。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纳入县委宣传部2017年部门决算编制范围的单位名单见下表：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4166"/>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16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27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416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县委宣传部单位本级</w:t>
            </w:r>
          </w:p>
        </w:tc>
        <w:tc>
          <w:tcPr>
            <w:tcW w:w="2272"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2017年度收入</w:t>
      </w:r>
      <w:r>
        <w:rPr>
          <w:rFonts w:ascii="仿宋" w:hAnsi="仿宋" w:eastAsia="仿宋" w:cs="仿宋"/>
          <w:sz w:val="30"/>
          <w:szCs w:val="30"/>
        </w:rPr>
        <w:t>239</w:t>
      </w:r>
      <w:r>
        <w:rPr>
          <w:rFonts w:hint="eastAsia" w:ascii="仿宋" w:hAnsi="仿宋" w:eastAsia="仿宋" w:cs="仿宋"/>
          <w:sz w:val="30"/>
          <w:szCs w:val="30"/>
        </w:rPr>
        <w:t>.</w:t>
      </w:r>
      <w:r>
        <w:rPr>
          <w:rFonts w:ascii="仿宋" w:hAnsi="仿宋" w:eastAsia="仿宋" w:cs="仿宋"/>
          <w:sz w:val="30"/>
          <w:szCs w:val="30"/>
        </w:rPr>
        <w:t>4</w:t>
      </w:r>
      <w:r>
        <w:rPr>
          <w:rFonts w:hint="eastAsia" w:ascii="仿宋" w:hAnsi="仿宋" w:eastAsia="仿宋" w:cs="仿宋"/>
          <w:sz w:val="30"/>
          <w:szCs w:val="30"/>
        </w:rPr>
        <w:t>9万元,较上年增加239.49万元，增长100%；支出239.49万元,较上年增加239.49万元，增长100%。没有结余。调增的原因是宣传部2017年宣传部决算单独核算。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2017年年初预算支出230.87万元，增加8.62万元，增长3.7%，预算数230.87万元，决算支出239.49万元。增加8.62万元。增长主要原因人员经费增加。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239.49万元，其中：财政拨款收入239.49万元，占99%；其他收入123.41元，占1%。上级补助收入0万元，占0%；事业收入0万元，占0%；经营收入0万元，占0%；附属单位缴款0万元，占0%；增减变动原因是宣传部2017年宣传部决算单独核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有预算情况相比</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2017年初预算收入230.87万元，增加8.62万元，增长3.7%，增长主要原因人员经费增加。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本年支出合计239.49万元，较上年增加239.49万元，增长100%其中：基本支出133.68万元，占55.8%；项目支出</w:t>
      </w:r>
      <w:r>
        <w:rPr>
          <w:rFonts w:ascii="仿宋" w:hAnsi="仿宋" w:eastAsia="仿宋" w:cs="仿宋"/>
          <w:sz w:val="30"/>
          <w:szCs w:val="30"/>
        </w:rPr>
        <w:t>105</w:t>
      </w:r>
      <w:r>
        <w:rPr>
          <w:rFonts w:hint="eastAsia" w:ascii="仿宋" w:hAnsi="仿宋" w:eastAsia="仿宋" w:cs="仿宋"/>
          <w:sz w:val="30"/>
          <w:szCs w:val="30"/>
          <w:lang w:val="en-US" w:eastAsia="zh-CN"/>
        </w:rPr>
        <w:t>.</w:t>
      </w:r>
      <w:r>
        <w:rPr>
          <w:rFonts w:ascii="仿宋" w:hAnsi="仿宋" w:eastAsia="仿宋" w:cs="仿宋"/>
          <w:sz w:val="30"/>
          <w:szCs w:val="30"/>
        </w:rPr>
        <w:t>82</w:t>
      </w:r>
      <w:r>
        <w:rPr>
          <w:rFonts w:hint="eastAsia" w:ascii="仿宋" w:hAnsi="仿宋" w:eastAsia="仿宋" w:cs="仿宋"/>
          <w:sz w:val="30"/>
          <w:szCs w:val="30"/>
        </w:rPr>
        <w:t>万元，占44.2%。上缴上级支出0万元，占0%；经营支出0万元，占0%；对附属单位补助支出0万元，占0%。增减变化的主要原因是宣传部2017年宣传部决算单独核算。</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与预算情况相比</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2017年玛纳斯县委宣传部支出预算为230.87</w:t>
      </w:r>
      <w:r>
        <w:rPr>
          <w:rFonts w:hint="eastAsia" w:ascii="仿宋_GB2312" w:hAnsi="宋体" w:eastAsia="仿宋_GB2312"/>
          <w:sz w:val="32"/>
          <w:szCs w:val="32"/>
          <w:lang w:eastAsia="zh-CN"/>
        </w:rPr>
        <w:t>万</w:t>
      </w:r>
      <w:r>
        <w:rPr>
          <w:rFonts w:hint="eastAsia" w:ascii="仿宋_GB2312" w:hAnsi="宋体" w:eastAsia="仿宋_GB2312"/>
          <w:sz w:val="32"/>
          <w:szCs w:val="32"/>
        </w:rPr>
        <w:t>元，较预算增加8.62万元，增长3.7%。其中：基本支出预算137.87</w:t>
      </w:r>
      <w:r>
        <w:rPr>
          <w:rFonts w:hint="eastAsia" w:ascii="仿宋_GB2312" w:hAnsi="宋体" w:eastAsia="仿宋_GB2312"/>
          <w:sz w:val="32"/>
          <w:szCs w:val="32"/>
          <w:lang w:eastAsia="zh-CN"/>
        </w:rPr>
        <w:t>万</w:t>
      </w:r>
      <w:r>
        <w:rPr>
          <w:rFonts w:hint="eastAsia" w:ascii="仿宋_GB2312" w:hAnsi="宋体" w:eastAsia="仿宋_GB2312"/>
          <w:sz w:val="32"/>
          <w:szCs w:val="32"/>
        </w:rPr>
        <w:t>元，项目支出预算93</w:t>
      </w:r>
      <w:r>
        <w:rPr>
          <w:rFonts w:hint="eastAsia" w:ascii="仿宋_GB2312" w:hAnsi="宋体" w:eastAsia="仿宋_GB2312"/>
          <w:sz w:val="32"/>
          <w:szCs w:val="32"/>
          <w:lang w:eastAsia="zh-CN"/>
        </w:rPr>
        <w:t>万</w:t>
      </w:r>
      <w:r>
        <w:rPr>
          <w:rFonts w:hint="eastAsia" w:ascii="仿宋_GB2312" w:hAnsi="宋体" w:eastAsia="仿宋_GB2312"/>
          <w:sz w:val="32"/>
          <w:szCs w:val="32"/>
        </w:rPr>
        <w:t>元。变动原因是项目支出增加。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2017年度财政拨款收入239.49万元，与上年相比增加239.49万元，增长100%，财政拨款支出239.49万元，与上年相比增加239.49万元，增长100%，其中：基本支出133.68万元，项目支出</w:t>
      </w:r>
      <w:r>
        <w:rPr>
          <w:rFonts w:ascii="仿宋" w:hAnsi="仿宋" w:eastAsia="仿宋" w:cs="仿宋"/>
          <w:sz w:val="30"/>
          <w:szCs w:val="30"/>
        </w:rPr>
        <w:t>105</w:t>
      </w:r>
      <w:r>
        <w:rPr>
          <w:rFonts w:hint="eastAsia" w:ascii="仿宋" w:hAnsi="仿宋" w:eastAsia="仿宋" w:cs="仿宋"/>
          <w:sz w:val="30"/>
          <w:szCs w:val="30"/>
        </w:rPr>
        <w:t>.</w:t>
      </w:r>
      <w:r>
        <w:rPr>
          <w:rFonts w:ascii="仿宋" w:hAnsi="仿宋" w:eastAsia="仿宋" w:cs="仿宋"/>
          <w:sz w:val="30"/>
          <w:szCs w:val="30"/>
        </w:rPr>
        <w:t>82</w:t>
      </w:r>
      <w:r>
        <w:rPr>
          <w:rFonts w:hint="eastAsia" w:ascii="仿宋" w:hAnsi="仿宋" w:eastAsia="仿宋" w:cs="仿宋"/>
          <w:sz w:val="30"/>
          <w:szCs w:val="30"/>
        </w:rPr>
        <w:t xml:space="preserve">万元。财政拨款结转结余0万元，与上年相比增加0万元，增长0%，增减变动主要原因为县委宣传部委2017年新增单位。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40" w:firstLineChars="200"/>
        <w:rPr>
          <w:rFonts w:ascii="仿宋" w:hAnsi="仿宋" w:eastAsia="仿宋" w:cs="仿宋"/>
          <w:sz w:val="30"/>
          <w:szCs w:val="30"/>
        </w:rPr>
      </w:pPr>
      <w:r>
        <w:rPr>
          <w:rFonts w:hint="eastAsia" w:ascii="仿宋_GB2312" w:hAnsi="宋体" w:eastAsia="仿宋_GB2312"/>
          <w:sz w:val="32"/>
          <w:szCs w:val="32"/>
        </w:rPr>
        <w:t>2017年玛纳斯县委宣传部支出预算为230.87元，较预算增加8.62万元，增长3.7%。其中：基本支出预算137.87元，项目支出预算93元。增减变动主要原因为人员经费增加。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2017年度一般公共预算财政拨款支出239.49万元。与上年相比增加239.49万元，增长100%，其中：按功能分类科目，一般公共服务支出</w:t>
      </w:r>
      <w:r>
        <w:rPr>
          <w:rFonts w:ascii="仿宋" w:hAnsi="仿宋" w:eastAsia="仿宋" w:cs="仿宋"/>
          <w:sz w:val="30"/>
          <w:szCs w:val="30"/>
        </w:rPr>
        <w:t>121</w:t>
      </w:r>
      <w:r>
        <w:rPr>
          <w:rFonts w:hint="eastAsia" w:ascii="仿宋" w:hAnsi="仿宋" w:eastAsia="仿宋" w:cs="仿宋"/>
          <w:sz w:val="30"/>
          <w:szCs w:val="30"/>
        </w:rPr>
        <w:t>.</w:t>
      </w:r>
      <w:r>
        <w:rPr>
          <w:rFonts w:ascii="仿宋" w:hAnsi="仿宋" w:eastAsia="仿宋" w:cs="仿宋"/>
          <w:sz w:val="30"/>
          <w:szCs w:val="30"/>
        </w:rPr>
        <w:t>4</w:t>
      </w:r>
      <w:r>
        <w:rPr>
          <w:rFonts w:hint="eastAsia" w:ascii="仿宋" w:hAnsi="仿宋" w:eastAsia="仿宋" w:cs="仿宋"/>
          <w:sz w:val="30"/>
          <w:szCs w:val="30"/>
        </w:rPr>
        <w:t>9万元，文化体育与传媒支出</w:t>
      </w:r>
      <w:r>
        <w:rPr>
          <w:rFonts w:ascii="仿宋" w:hAnsi="仿宋" w:eastAsia="仿宋" w:cs="仿宋"/>
          <w:sz w:val="30"/>
          <w:szCs w:val="30"/>
        </w:rPr>
        <w:t>105</w:t>
      </w:r>
      <w:r>
        <w:rPr>
          <w:rFonts w:hint="eastAsia" w:ascii="仿宋" w:hAnsi="仿宋" w:eastAsia="仿宋" w:cs="仿宋"/>
          <w:sz w:val="30"/>
          <w:szCs w:val="30"/>
        </w:rPr>
        <w:t>.</w:t>
      </w:r>
      <w:r>
        <w:rPr>
          <w:rFonts w:ascii="仿宋" w:hAnsi="仿宋" w:eastAsia="仿宋" w:cs="仿宋"/>
          <w:sz w:val="30"/>
          <w:szCs w:val="30"/>
        </w:rPr>
        <w:t>82</w:t>
      </w:r>
      <w:r>
        <w:rPr>
          <w:rFonts w:hint="eastAsia" w:ascii="仿宋" w:hAnsi="仿宋" w:eastAsia="仿宋" w:cs="仿宋"/>
          <w:sz w:val="30"/>
          <w:szCs w:val="30"/>
        </w:rPr>
        <w:t>万元，社会保障和就业支出</w:t>
      </w:r>
      <w:r>
        <w:rPr>
          <w:rFonts w:ascii="仿宋" w:hAnsi="仿宋" w:eastAsia="仿宋" w:cs="仿宋"/>
          <w:sz w:val="30"/>
          <w:szCs w:val="30"/>
        </w:rPr>
        <w:t>12</w:t>
      </w: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rPr>
        <w:t>8万元。按经济分类科目人员支出119.5万元，商品服务支出108万元，对个人家庭补助支出11.5万元。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2017年玛纳斯县委宣传部</w:t>
      </w:r>
      <w:bookmarkStart w:id="0" w:name="_GoBack"/>
      <w:bookmarkEnd w:id="0"/>
      <w:r>
        <w:rPr>
          <w:rFonts w:hint="eastAsia" w:ascii="仿宋_GB2312" w:hAnsi="宋体" w:eastAsia="仿宋_GB2312"/>
          <w:sz w:val="32"/>
          <w:szCs w:val="32"/>
        </w:rPr>
        <w:t>预算数为230.87元，较预算增加8.62万元，增长3.7%。</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2017年末结转结余0万元。与上年相比，增加0万元，增长0%。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其中财政拨款结转结余0万元。与上年相比，增加0万元，增长0%。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2017年度一般公共预算“三公”经费支出决算</w:t>
      </w:r>
      <w:r>
        <w:rPr>
          <w:rFonts w:ascii="仿宋" w:hAnsi="仿宋" w:eastAsia="仿宋" w:cs="仿宋"/>
          <w:sz w:val="30"/>
          <w:szCs w:val="30"/>
        </w:rPr>
        <w:t>9</w:t>
      </w:r>
      <w:r>
        <w:rPr>
          <w:rFonts w:hint="eastAsia" w:ascii="仿宋" w:hAnsi="仿宋" w:eastAsia="仿宋" w:cs="仿宋"/>
          <w:sz w:val="30"/>
          <w:szCs w:val="30"/>
        </w:rPr>
        <w:t>.</w:t>
      </w:r>
      <w:r>
        <w:rPr>
          <w:rFonts w:ascii="仿宋" w:hAnsi="仿宋" w:eastAsia="仿宋" w:cs="仿宋"/>
          <w:sz w:val="30"/>
          <w:szCs w:val="30"/>
        </w:rPr>
        <w:t>8</w:t>
      </w:r>
      <w:r>
        <w:rPr>
          <w:rFonts w:hint="eastAsia" w:ascii="仿宋" w:hAnsi="仿宋" w:eastAsia="仿宋" w:cs="仿宋"/>
          <w:sz w:val="30"/>
          <w:szCs w:val="30"/>
        </w:rPr>
        <w:t>6万元，较上年相比增加9.86万元，增长100%，增长主要原因是本的为新增单位，其中：因公出国（境）费支出0万元，比上年增加0万元，增长0%，公务用车运行维护费支出</w:t>
      </w:r>
      <w:r>
        <w:rPr>
          <w:rFonts w:ascii="仿宋" w:hAnsi="仿宋" w:eastAsia="仿宋" w:cs="仿宋"/>
          <w:sz w:val="30"/>
          <w:szCs w:val="30"/>
        </w:rPr>
        <w:t>5</w:t>
      </w:r>
      <w:r>
        <w:rPr>
          <w:rFonts w:hint="eastAsia" w:ascii="仿宋" w:hAnsi="仿宋" w:eastAsia="仿宋" w:cs="仿宋"/>
          <w:sz w:val="30"/>
          <w:szCs w:val="30"/>
        </w:rPr>
        <w:t>.</w:t>
      </w:r>
      <w:r>
        <w:rPr>
          <w:rFonts w:ascii="仿宋" w:hAnsi="仿宋" w:eastAsia="仿宋" w:cs="仿宋"/>
          <w:sz w:val="30"/>
          <w:szCs w:val="30"/>
        </w:rPr>
        <w:t>20</w:t>
      </w:r>
      <w:r>
        <w:rPr>
          <w:rFonts w:hint="eastAsia" w:ascii="仿宋" w:hAnsi="仿宋" w:eastAsia="仿宋" w:cs="仿宋"/>
          <w:sz w:val="30"/>
          <w:szCs w:val="30"/>
        </w:rPr>
        <w:t>万元，占52.7%，比上年,（减少）0.53万元，（降低）10%，公务接待费支出</w:t>
      </w:r>
      <w:r>
        <w:rPr>
          <w:rFonts w:ascii="仿宋" w:hAnsi="仿宋" w:eastAsia="仿宋" w:cs="仿宋"/>
          <w:sz w:val="30"/>
          <w:szCs w:val="30"/>
        </w:rPr>
        <w:t>4</w:t>
      </w:r>
      <w:r>
        <w:rPr>
          <w:rFonts w:hint="eastAsia" w:ascii="仿宋" w:hAnsi="仿宋" w:eastAsia="仿宋" w:cs="仿宋"/>
          <w:sz w:val="30"/>
          <w:szCs w:val="30"/>
        </w:rPr>
        <w:t>.</w:t>
      </w:r>
      <w:r>
        <w:rPr>
          <w:rFonts w:ascii="仿宋" w:hAnsi="仿宋" w:eastAsia="仿宋" w:cs="仿宋"/>
          <w:sz w:val="30"/>
          <w:szCs w:val="30"/>
        </w:rPr>
        <w:t>6</w:t>
      </w:r>
      <w:r>
        <w:rPr>
          <w:rFonts w:hint="eastAsia" w:ascii="仿宋" w:hAnsi="仿宋" w:eastAsia="仿宋" w:cs="仿宋"/>
          <w:sz w:val="30"/>
          <w:szCs w:val="30"/>
        </w:rPr>
        <w:t>7万元，占47.3%，比上年（减少）0.3万元，（降低）6.4%，增加变动主要原因为执行八项规定，压缩三公经费支出。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因公出国（境）费支出0万元。宣传部单位全年使用一般公共预算财政拨款安排的出国（境）团组0个，累计0人次。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公务用车运行维护费</w:t>
      </w:r>
      <w:r>
        <w:rPr>
          <w:rFonts w:ascii="仿宋" w:hAnsi="仿宋" w:eastAsia="仿宋" w:cs="仿宋"/>
          <w:sz w:val="30"/>
          <w:szCs w:val="30"/>
        </w:rPr>
        <w:t>5</w:t>
      </w:r>
      <w:r>
        <w:rPr>
          <w:rFonts w:hint="eastAsia" w:ascii="仿宋" w:hAnsi="仿宋" w:eastAsia="仿宋" w:cs="仿宋"/>
          <w:sz w:val="30"/>
          <w:szCs w:val="30"/>
        </w:rPr>
        <w:t>.</w:t>
      </w:r>
      <w:r>
        <w:rPr>
          <w:rFonts w:ascii="仿宋" w:hAnsi="仿宋" w:eastAsia="仿宋" w:cs="仿宋"/>
          <w:sz w:val="30"/>
          <w:szCs w:val="30"/>
        </w:rPr>
        <w:t>20</w:t>
      </w:r>
      <w:r>
        <w:rPr>
          <w:rFonts w:hint="eastAsia" w:ascii="仿宋" w:hAnsi="仿宋" w:eastAsia="仿宋" w:cs="仿宋"/>
          <w:sz w:val="30"/>
          <w:szCs w:val="30"/>
        </w:rPr>
        <w:t xml:space="preserve">万元,2017年，单位一般公共财政拨款安排的公务用车购置量0辆，保有量为1辆。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4</w:t>
      </w:r>
      <w:r>
        <w:rPr>
          <w:rFonts w:hint="eastAsia" w:ascii="仿宋" w:hAnsi="仿宋" w:eastAsia="仿宋" w:cs="仿宋"/>
          <w:sz w:val="30"/>
          <w:szCs w:val="30"/>
        </w:rPr>
        <w:t>.</w:t>
      </w:r>
      <w:r>
        <w:rPr>
          <w:rFonts w:ascii="仿宋" w:hAnsi="仿宋" w:eastAsia="仿宋" w:cs="仿宋"/>
          <w:sz w:val="30"/>
          <w:szCs w:val="30"/>
        </w:rPr>
        <w:t>6</w:t>
      </w:r>
      <w:r>
        <w:rPr>
          <w:rFonts w:hint="eastAsia" w:ascii="仿宋" w:hAnsi="仿宋" w:eastAsia="仿宋" w:cs="仿宋"/>
          <w:sz w:val="30"/>
          <w:szCs w:val="30"/>
        </w:rPr>
        <w:t>7万元。具体是：国内公务接待支出</w:t>
      </w:r>
      <w:r>
        <w:rPr>
          <w:rFonts w:ascii="仿宋" w:hAnsi="仿宋" w:eastAsia="仿宋" w:cs="仿宋"/>
          <w:sz w:val="30"/>
          <w:szCs w:val="30"/>
        </w:rPr>
        <w:t>4</w:t>
      </w:r>
      <w:r>
        <w:rPr>
          <w:rFonts w:hint="eastAsia" w:ascii="仿宋" w:hAnsi="仿宋" w:eastAsia="仿宋" w:cs="仿宋"/>
          <w:sz w:val="30"/>
          <w:szCs w:val="30"/>
        </w:rPr>
        <w:t>.</w:t>
      </w:r>
      <w:r>
        <w:rPr>
          <w:rFonts w:ascii="仿宋" w:hAnsi="仿宋" w:eastAsia="仿宋" w:cs="仿宋"/>
          <w:sz w:val="30"/>
          <w:szCs w:val="30"/>
        </w:rPr>
        <w:t>6</w:t>
      </w:r>
      <w:r>
        <w:rPr>
          <w:rFonts w:hint="eastAsia" w:ascii="仿宋" w:hAnsi="仿宋" w:eastAsia="仿宋" w:cs="仿宋"/>
          <w:sz w:val="30"/>
          <w:szCs w:val="30"/>
        </w:rPr>
        <w:t>7万元，国内公务接待90批次，1500人次。</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与预算相比较情况，三公经费预算数为10.69万元，减少0.83万元，减少7.7%。增加变动主要原因为执行八项规定，压缩三公经费支出。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2017年度宣传部机关运行经费支出</w:t>
      </w:r>
      <w:r>
        <w:rPr>
          <w:rFonts w:ascii="仿宋" w:hAnsi="仿宋" w:eastAsia="仿宋" w:cs="仿宋"/>
          <w:sz w:val="30"/>
          <w:szCs w:val="30"/>
        </w:rPr>
        <w:t>3</w:t>
      </w:r>
      <w:r>
        <w:rPr>
          <w:rFonts w:hint="eastAsia" w:ascii="仿宋" w:hAnsi="仿宋" w:eastAsia="仿宋" w:cs="仿宋"/>
          <w:sz w:val="30"/>
          <w:szCs w:val="30"/>
        </w:rPr>
        <w:t>万元。与上年相比，增加3万元，增长100%，增加变动主要原因本单位为新增单位。</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宣传部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w:t>
      </w:r>
      <w:r>
        <w:rPr>
          <w:rFonts w:ascii="仿宋" w:hAnsi="仿宋" w:eastAsia="仿宋" w:cs="仿宋"/>
          <w:sz w:val="30"/>
          <w:szCs w:val="30"/>
        </w:rPr>
        <w:t>93</w:t>
      </w:r>
      <w:r>
        <w:rPr>
          <w:rFonts w:hint="eastAsia" w:ascii="仿宋" w:hAnsi="仿宋" w:eastAsia="仿宋" w:cs="仿宋"/>
          <w:sz w:val="30"/>
          <w:szCs w:val="30"/>
        </w:rPr>
        <w:t>.</w:t>
      </w:r>
      <w:r>
        <w:rPr>
          <w:rFonts w:ascii="仿宋" w:hAnsi="仿宋" w:eastAsia="仿宋" w:cs="仿宋"/>
          <w:sz w:val="30"/>
          <w:szCs w:val="30"/>
        </w:rPr>
        <w:t>9</w:t>
      </w:r>
      <w:r>
        <w:rPr>
          <w:rFonts w:hint="eastAsia" w:ascii="仿宋" w:hAnsi="仿宋" w:eastAsia="仿宋" w:cs="仿宋"/>
          <w:sz w:val="30"/>
          <w:szCs w:val="30"/>
        </w:rPr>
        <w:t>5万元，其中：流动资产</w:t>
      </w:r>
      <w:r>
        <w:rPr>
          <w:rFonts w:ascii="仿宋" w:hAnsi="仿宋" w:eastAsia="仿宋" w:cs="仿宋"/>
          <w:sz w:val="30"/>
          <w:szCs w:val="30"/>
        </w:rPr>
        <w:t>45</w:t>
      </w:r>
      <w:r>
        <w:rPr>
          <w:rFonts w:hint="eastAsia" w:ascii="仿宋" w:hAnsi="仿宋" w:eastAsia="仿宋" w:cs="仿宋"/>
          <w:sz w:val="30"/>
          <w:szCs w:val="30"/>
        </w:rPr>
        <w:t>.</w:t>
      </w:r>
      <w:r>
        <w:rPr>
          <w:rFonts w:ascii="仿宋" w:hAnsi="仿宋" w:eastAsia="仿宋" w:cs="仿宋"/>
          <w:sz w:val="30"/>
          <w:szCs w:val="30"/>
        </w:rPr>
        <w:t>98</w:t>
      </w:r>
      <w:r>
        <w:rPr>
          <w:rFonts w:hint="eastAsia" w:ascii="仿宋" w:hAnsi="仿宋" w:eastAsia="仿宋" w:cs="仿宋"/>
          <w:sz w:val="30"/>
          <w:szCs w:val="30"/>
        </w:rPr>
        <w:t>万元，固定资产</w:t>
      </w:r>
      <w:r>
        <w:rPr>
          <w:rFonts w:ascii="仿宋" w:hAnsi="仿宋" w:eastAsia="仿宋" w:cs="仿宋"/>
          <w:sz w:val="30"/>
          <w:szCs w:val="30"/>
        </w:rPr>
        <w:t>47</w:t>
      </w:r>
      <w:r>
        <w:rPr>
          <w:rFonts w:hint="eastAsia" w:ascii="仿宋" w:hAnsi="仿宋" w:eastAsia="仿宋" w:cs="仿宋"/>
          <w:sz w:val="30"/>
          <w:szCs w:val="30"/>
        </w:rPr>
        <w:t>.</w:t>
      </w:r>
      <w:r>
        <w:rPr>
          <w:rFonts w:ascii="仿宋" w:hAnsi="仿宋" w:eastAsia="仿宋" w:cs="仿宋"/>
          <w:sz w:val="30"/>
          <w:szCs w:val="30"/>
        </w:rPr>
        <w:t>96</w:t>
      </w:r>
      <w:r>
        <w:rPr>
          <w:rFonts w:hint="eastAsia" w:ascii="仿宋" w:hAnsi="仿宋" w:eastAsia="仿宋" w:cs="仿宋"/>
          <w:sz w:val="30"/>
          <w:szCs w:val="30"/>
        </w:rPr>
        <w:t>万元，其中：共有车辆1辆，价值</w:t>
      </w:r>
      <w:r>
        <w:rPr>
          <w:rFonts w:ascii="仿宋" w:hAnsi="仿宋" w:eastAsia="仿宋" w:cs="仿宋"/>
          <w:sz w:val="30"/>
          <w:szCs w:val="30"/>
        </w:rPr>
        <w:t>15</w:t>
      </w:r>
      <w:r>
        <w:rPr>
          <w:rFonts w:hint="eastAsia" w:ascii="仿宋" w:hAnsi="仿宋" w:eastAsia="仿宋" w:cs="仿宋"/>
          <w:sz w:val="30"/>
          <w:szCs w:val="30"/>
        </w:rPr>
        <w:t>.</w:t>
      </w:r>
      <w:r>
        <w:rPr>
          <w:rFonts w:ascii="仿宋" w:hAnsi="仿宋" w:eastAsia="仿宋" w:cs="仿宋"/>
          <w:sz w:val="30"/>
          <w:szCs w:val="30"/>
        </w:rPr>
        <w:t>58</w:t>
      </w:r>
      <w:r>
        <w:rPr>
          <w:rFonts w:hint="eastAsia" w:ascii="仿宋" w:hAnsi="仿宋" w:eastAsia="仿宋" w:cs="仿宋"/>
          <w:sz w:val="30"/>
          <w:szCs w:val="30"/>
        </w:rPr>
        <w:t>万元，其他固定资产价值</w:t>
      </w:r>
      <w:r>
        <w:rPr>
          <w:rFonts w:ascii="仿宋" w:hAnsi="仿宋" w:eastAsia="仿宋" w:cs="仿宋"/>
          <w:sz w:val="30"/>
          <w:szCs w:val="30"/>
        </w:rPr>
        <w:t>32</w:t>
      </w:r>
      <w:r>
        <w:rPr>
          <w:rFonts w:hint="eastAsia" w:ascii="仿宋" w:hAnsi="仿宋" w:eastAsia="仿宋" w:cs="仿宋"/>
          <w:sz w:val="30"/>
          <w:szCs w:val="30"/>
        </w:rPr>
        <w:t>.</w:t>
      </w:r>
      <w:r>
        <w:rPr>
          <w:rFonts w:ascii="仿宋" w:hAnsi="仿宋" w:eastAsia="仿宋" w:cs="仿宋"/>
          <w:sz w:val="30"/>
          <w:szCs w:val="30"/>
        </w:rPr>
        <w:t>38</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截至2017年12月31日，单位资产有偿使用收入合计0万元，资产处置收入合计0万元。其中：已缴国库0万元，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2017年度，本部门单位实行绩效管理的项目0个，涉及预算0万元，项目支出决算0万元。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本单位支出功能分类说明。2013301：指行政运行。××（类）2079999：指其他文化体育与传媒支出。 2080505：指机关事业单位基本养老保险缴费支出。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0637AF"/>
    <w:rsid w:val="00085E31"/>
    <w:rsid w:val="000B70B5"/>
    <w:rsid w:val="001906F1"/>
    <w:rsid w:val="0023560C"/>
    <w:rsid w:val="002759EB"/>
    <w:rsid w:val="003800E8"/>
    <w:rsid w:val="00472A92"/>
    <w:rsid w:val="005F7240"/>
    <w:rsid w:val="00717196"/>
    <w:rsid w:val="007603E0"/>
    <w:rsid w:val="00867430"/>
    <w:rsid w:val="008D6124"/>
    <w:rsid w:val="00994856"/>
    <w:rsid w:val="009B236A"/>
    <w:rsid w:val="00A03A30"/>
    <w:rsid w:val="00A81A4A"/>
    <w:rsid w:val="00D31EB6"/>
    <w:rsid w:val="00F11ADC"/>
    <w:rsid w:val="00F960B3"/>
    <w:rsid w:val="1F5335AB"/>
    <w:rsid w:val="2B572AFB"/>
    <w:rsid w:val="2F4D44FA"/>
    <w:rsid w:val="42CE5B74"/>
    <w:rsid w:val="50480D1B"/>
    <w:rsid w:val="659A5690"/>
    <w:rsid w:val="6ABD3020"/>
    <w:rsid w:val="77964A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table" w:styleId="5">
    <w:name w:val="Table Grid"/>
    <w:basedOn w:val="4"/>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rFonts w:ascii="Tahoma" w:hAnsi="Tahoma" w:eastAsia="微软雅黑"/>
      <w:kern w:val="0"/>
      <w:sz w:val="18"/>
      <w:szCs w:val="18"/>
    </w:rPr>
  </w:style>
  <w:style w:type="character" w:customStyle="1" w:styleId="8">
    <w:name w:val="页脚 Char"/>
    <w:basedOn w:val="6"/>
    <w:link w:val="2"/>
    <w:semiHidden/>
    <w:uiPriority w:val="99"/>
    <w:rPr>
      <w:rFonts w:ascii="Tahoma" w:hAnsi="Tahoma" w:eastAsia="微软雅黑"/>
      <w:kern w:val="0"/>
      <w:sz w:val="18"/>
      <w:szCs w:val="18"/>
    </w:r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904</Words>
  <Characters>5158</Characters>
  <Lines>42</Lines>
  <Paragraphs>12</Paragraphs>
  <TotalTime>41</TotalTime>
  <ScaleCrop>false</ScaleCrop>
  <LinksUpToDate>false</LinksUpToDate>
  <CharactersWithSpaces>6050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2024-03-15T10:39:02Z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