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firstLine="720" w:firstLineChars="200"/>
        <w:rPr>
          <w:rFonts w:ascii="仿宋" w:hAnsi="仿宋" w:eastAsia="仿宋" w:cs="仿宋"/>
          <w:sz w:val="36"/>
          <w:szCs w:val="36"/>
        </w:rPr>
      </w:pPr>
      <w:r>
        <w:rPr>
          <w:rFonts w:hint="eastAsia" w:ascii="仿宋" w:hAnsi="仿宋" w:eastAsia="仿宋" w:cs="仿宋"/>
          <w:sz w:val="36"/>
          <w:szCs w:val="36"/>
        </w:rPr>
        <w:t xml:space="preserve">2017年度玛纳斯县组织部部门决算公开说明 </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目录</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第一部分组织部部单位概况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第三部分专业名词解释</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第四部分部门决算报表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p>
    <w:p>
      <w:pPr>
        <w:spacing w:after="0" w:line="560" w:lineRule="exact"/>
        <w:rPr>
          <w:rFonts w:ascii="仿宋_GB2312" w:hAnsi="仿宋_GB2312" w:eastAsia="仿宋_GB2312" w:cs="仿宋_GB2312"/>
          <w:sz w:val="32"/>
          <w:szCs w:val="32"/>
        </w:rPr>
      </w:pPr>
    </w:p>
    <w:p>
      <w:pPr>
        <w:spacing w:after="0" w:line="560" w:lineRule="exact"/>
        <w:jc w:val="center"/>
        <w:rPr>
          <w:rFonts w:ascii="黑体" w:hAnsi="黑体" w:eastAsia="黑体" w:cs="黑体"/>
          <w:sz w:val="32"/>
          <w:szCs w:val="32"/>
        </w:rPr>
      </w:pPr>
      <w:r>
        <w:rPr>
          <w:rFonts w:hint="eastAsia" w:ascii="黑体" w:hAnsi="黑体" w:eastAsia="黑体" w:cs="黑体"/>
          <w:sz w:val="32"/>
          <w:szCs w:val="32"/>
        </w:rPr>
        <w:t>第一部分部门单位概况</w:t>
      </w:r>
    </w:p>
    <w:p>
      <w:pPr>
        <w:spacing w:after="0" w:line="560" w:lineRule="exact"/>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一、部门单位基本情况：</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中共玛纳斯县委员会组织部位于新疆玛纳斯县双景路，组织部核定编制人数</w:t>
      </w:r>
      <w:r>
        <w:rPr>
          <w:rFonts w:ascii="仿宋_GB2312" w:hAnsi="仿宋_GB2312" w:eastAsia="仿宋_GB2312" w:cs="仿宋_GB2312"/>
          <w:sz w:val="32"/>
          <w:szCs w:val="32"/>
        </w:rPr>
        <w:t>29</w:t>
      </w:r>
      <w:r>
        <w:rPr>
          <w:rFonts w:hint="eastAsia" w:ascii="仿宋_GB2312" w:hAnsi="仿宋_GB2312" w:eastAsia="仿宋_GB2312" w:cs="仿宋_GB2312"/>
          <w:sz w:val="32"/>
          <w:szCs w:val="32"/>
        </w:rPr>
        <w:t>人，年末实有人数</w:t>
      </w:r>
      <w:r>
        <w:rPr>
          <w:rFonts w:ascii="仿宋_GB2312" w:hAnsi="仿宋_GB2312" w:eastAsia="仿宋_GB2312" w:cs="仿宋_GB2312"/>
          <w:sz w:val="32"/>
          <w:szCs w:val="32"/>
        </w:rPr>
        <w:t>21</w:t>
      </w:r>
      <w:r>
        <w:rPr>
          <w:rFonts w:hint="eastAsia" w:ascii="仿宋_GB2312" w:hAnsi="仿宋_GB2312" w:eastAsia="仿宋_GB2312" w:cs="仿宋_GB2312"/>
          <w:sz w:val="32"/>
          <w:szCs w:val="32"/>
        </w:rPr>
        <w:t>人。</w:t>
      </w:r>
    </w:p>
    <w:p>
      <w:pPr>
        <w:spacing w:after="0"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年新编纳入预算和决算，无上年对比情况。</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玛纳斯县委组织部内设机构</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个职能部门，分别为：办公室、组织科、干部科、干部监督科、人才（援疆）办、干部培训科、基层办（“访惠聚”办）、党员教育中心、信息调研室。</w:t>
      </w:r>
    </w:p>
    <w:p>
      <w:pPr>
        <w:spacing w:after="0" w:line="560" w:lineRule="exact"/>
        <w:ind w:firstLine="643" w:firstLineChars="200"/>
        <w:rPr>
          <w:rFonts w:ascii="仿宋_GB2312" w:hAnsi="仿宋_GB2312" w:eastAsia="仿宋_GB2312" w:cs="仿宋_GB2312"/>
          <w:b/>
          <w:bCs/>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、办公室及其主要职能：</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部机关文秘、信访、机要、文印、收发、对外接待和人事文书档案工作；负责会务组织、文电处理、文件审核、督查督办、部机关办公自动化和保密工作；负责部务会议的安排和会议记录；负责制定本部门工作计划和各项工作制度并督促落实；负责起草部分报告、文件和工作总结，撰写大事记；部内各科室内务管理工作；协调部内各科室有关业务工作；负责部机关财务，固定资产管理，环境卫生和车辆管理工作；负责县级干部工资的报批；负责配合协同老干局做好老干部待遇落实等项工作；负责部内干部的自身建设。</w:t>
      </w:r>
    </w:p>
    <w:p>
      <w:pPr>
        <w:spacing w:after="0" w:line="560" w:lineRule="exact"/>
        <w:ind w:firstLine="643" w:firstLineChars="200"/>
        <w:rPr>
          <w:rFonts w:ascii="仿宋_GB2312" w:hAnsi="仿宋_GB2312" w:eastAsia="仿宋_GB2312" w:cs="仿宋_GB2312"/>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、组织科及其工作职能</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指导党的组织建设和党员队伍建设，负责对全县基层党组织贯彻党的组织制度、党内生活制度执行情况进行督促检查；调查研究农牧区、企业、机关、学校、科研机构、街道社区、非公有制经济组织和其它基层党组织的建设，提出指导性意见；与时俱进、大胆创新，积极探索新形势下基层党组织建设工作的新途径和新方法，不断提高基层组织建设工作水平；制定基层组织建设的规划和基层党组织目标管理责任制方案，并抓好责任制的指导、实施、落实、检查验收和总结工作；负责基层党组织的设置和管理工作；负责检查、指导全县党员教育管理和发展党员工作；负责指导全县的民主评议党员工作和评选表彰先进党组织、优秀党员、优秀党务工作者工作，督促检查各党委落实“三老”人员政治生活待遇的情况；负责党内统计信息数据库建设和党内统计年报；负责全县党费收缴管理工作。</w:t>
      </w:r>
    </w:p>
    <w:p>
      <w:pPr>
        <w:spacing w:after="0" w:line="560" w:lineRule="exact"/>
        <w:ind w:firstLine="643" w:firstLineChars="200"/>
        <w:rPr>
          <w:rFonts w:ascii="仿宋_GB2312" w:hAnsi="仿宋_GB2312" w:eastAsia="仿宋_GB2312" w:cs="仿宋_GB2312"/>
          <w:b/>
          <w:bCs/>
          <w:sz w:val="32"/>
          <w:szCs w:val="32"/>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、干部科及其工作职能</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干部工作的综合协调和宏观管理。负责全县副科级以上干部的管理工作，承办各乡镇、机关事业单位领导班子及事业单位副科以上党委管理干部的考核、考察、任免及年度考评工作；负责副营职以上军转干部的安置工作，做好干部的交流和服务工作；做好县、乡镇及群团组织的换届选举工作；负责组织实施县委、政府工作部门及部分专业单位领导成员的公开选拔和竞争上岗工作；制定后备干部队伍建设的规划、改革、制度和措施，负责科级后备干部的培养、选拔、考察、管理工作；负责对选拔任用领导干部的工作情况进行经常性的跟踪、检查、监督工作；负责县党政群机关、事业单位领导班子的思想、作风建设和指导基层班子民主生活会。办理县委和组织部门管理的干部、县委各工作部门干部的工作调配手续及出国人员的政审工作；承办全县在职科级领导干部、县直党群干部的工龄审定及学历的认定、审核工作。</w:t>
      </w:r>
    </w:p>
    <w:p>
      <w:pPr>
        <w:spacing w:after="0" w:line="560" w:lineRule="exact"/>
        <w:ind w:firstLine="643" w:firstLineChars="200"/>
        <w:rPr>
          <w:rFonts w:ascii="仿宋_GB2312" w:hAnsi="仿宋_GB2312" w:eastAsia="仿宋_GB2312" w:cs="仿宋_GB2312"/>
          <w:b/>
          <w:bCs/>
          <w:sz w:val="32"/>
          <w:szCs w:val="32"/>
        </w:rPr>
      </w:pPr>
      <w:r>
        <w:rPr>
          <w:rFonts w:ascii="仿宋_GB2312" w:hAnsi="仿宋_GB2312" w:eastAsia="仿宋_GB2312" w:cs="仿宋_GB2312"/>
          <w:b/>
          <w:bCs/>
          <w:sz w:val="32"/>
          <w:szCs w:val="32"/>
        </w:rPr>
        <w:t>4</w:t>
      </w:r>
      <w:r>
        <w:rPr>
          <w:rFonts w:hint="eastAsia" w:ascii="仿宋_GB2312" w:hAnsi="仿宋_GB2312" w:eastAsia="仿宋_GB2312" w:cs="仿宋_GB2312"/>
          <w:b/>
          <w:bCs/>
          <w:sz w:val="32"/>
          <w:szCs w:val="32"/>
        </w:rPr>
        <w:t>、干部监督科及其工作职能</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对全县科级领导干部进行监督管理，督办或直接办理违反干部选拔任用工作条例和组织人事纪律的案件，受理反映干部问题的举报；办理县、部领导批办的有关干部问题的案件，负责制定对科级干部任期经济责任审计离任审计的计划并做好委托审计工作。</w:t>
      </w:r>
    </w:p>
    <w:p>
      <w:pPr>
        <w:spacing w:after="0" w:line="560" w:lineRule="exact"/>
        <w:ind w:firstLine="643" w:firstLineChars="200"/>
        <w:rPr>
          <w:rFonts w:ascii="仿宋_GB2312" w:hAnsi="仿宋_GB2312" w:eastAsia="仿宋_GB2312" w:cs="仿宋_GB2312"/>
          <w:b/>
          <w:bCs/>
          <w:sz w:val="32"/>
          <w:szCs w:val="32"/>
        </w:rPr>
      </w:pPr>
      <w:r>
        <w:rPr>
          <w:rFonts w:ascii="仿宋_GB2312" w:hAnsi="仿宋_GB2312" w:eastAsia="仿宋_GB2312" w:cs="仿宋_GB2312"/>
          <w:b/>
          <w:bCs/>
          <w:sz w:val="32"/>
          <w:szCs w:val="32"/>
        </w:rPr>
        <w:t>5</w:t>
      </w:r>
      <w:r>
        <w:rPr>
          <w:rFonts w:hint="eastAsia" w:ascii="仿宋_GB2312" w:hAnsi="仿宋_GB2312" w:eastAsia="仿宋_GB2312" w:cs="仿宋_GB2312"/>
          <w:b/>
          <w:bCs/>
          <w:sz w:val="32"/>
          <w:szCs w:val="32"/>
        </w:rPr>
        <w:t>、干部培训科及其工作职能</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全县干部教育培训工作的宏观管理和组织协调；制定干部教育培训工作的政策、规划、规定、计划；承担玛纳斯县南疆少数民族异地挂职培训工作领导小组办公室、干部教育领导小组办公室日常工作；做好干部教育培训信息库的建设工作；负责干部的培训、调训工作；指导县、乡（镇）党校的规范化建设及党校教员的考察、调配，承担县乡</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镇</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党校学历班次的审核和招生协调，协调做好党校系统教师职称的评审工作。</w:t>
      </w:r>
    </w:p>
    <w:p>
      <w:pPr>
        <w:spacing w:after="0" w:line="560" w:lineRule="exact"/>
        <w:ind w:firstLine="643" w:firstLineChars="200"/>
        <w:rPr>
          <w:rFonts w:ascii="仿宋_GB2312" w:hAnsi="仿宋_GB2312" w:eastAsia="仿宋_GB2312" w:cs="仿宋_GB2312"/>
          <w:b/>
          <w:bCs/>
          <w:sz w:val="32"/>
          <w:szCs w:val="32"/>
        </w:rPr>
      </w:pPr>
      <w:r>
        <w:rPr>
          <w:rFonts w:ascii="仿宋_GB2312" w:hAnsi="仿宋_GB2312" w:eastAsia="仿宋_GB2312" w:cs="仿宋_GB2312"/>
          <w:b/>
          <w:bCs/>
          <w:sz w:val="32"/>
          <w:szCs w:val="32"/>
        </w:rPr>
        <w:t>6</w:t>
      </w:r>
      <w:r>
        <w:rPr>
          <w:rFonts w:hint="eastAsia" w:ascii="仿宋_GB2312" w:hAnsi="仿宋_GB2312" w:eastAsia="仿宋_GB2312" w:cs="仿宋_GB2312"/>
          <w:b/>
          <w:bCs/>
          <w:sz w:val="32"/>
          <w:szCs w:val="32"/>
        </w:rPr>
        <w:t>、人才（援疆）办及其工作职能</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全县人才队伍建设宏观管理的有关工作，研究拟定并协调落实人才队伍建设规划；拟定或协调有关部门制定玛纳斯县人才工作有关政策、规定，负责组织玛纳斯县人才工作情况的调查研究，提出加强人才工作和人才队伍建设的意见；指导、协调、检查玛纳斯县人才工作，负责玛纳斯县人才工作考核总结、经验交流工作；建立和管理玛纳斯县高层次人才信息库，协调落实国家、区、州组织的各类专项重点工作；承担县委援疆工作领导小组办公室日常工作；负责县级拔尖人才的评选、管理和科技副职的选配工作。</w:t>
      </w:r>
    </w:p>
    <w:p>
      <w:pPr>
        <w:spacing w:after="0" w:line="560" w:lineRule="exact"/>
        <w:ind w:firstLine="643" w:firstLineChars="200"/>
        <w:rPr>
          <w:rFonts w:ascii="仿宋_GB2312" w:hAnsi="仿宋_GB2312" w:eastAsia="仿宋_GB2312" w:cs="仿宋_GB2312"/>
          <w:b/>
          <w:bCs/>
          <w:sz w:val="32"/>
          <w:szCs w:val="32"/>
        </w:rPr>
      </w:pPr>
      <w:r>
        <w:rPr>
          <w:rFonts w:ascii="仿宋_GB2312" w:hAnsi="仿宋_GB2312" w:eastAsia="仿宋_GB2312" w:cs="仿宋_GB2312"/>
          <w:b/>
          <w:bCs/>
          <w:sz w:val="32"/>
          <w:szCs w:val="32"/>
        </w:rPr>
        <w:t>7</w:t>
      </w:r>
      <w:r>
        <w:rPr>
          <w:rFonts w:hint="eastAsia" w:ascii="仿宋_GB2312" w:hAnsi="仿宋_GB2312" w:eastAsia="仿宋_GB2312" w:cs="仿宋_GB2312"/>
          <w:b/>
          <w:bCs/>
          <w:sz w:val="32"/>
          <w:szCs w:val="32"/>
        </w:rPr>
        <w:t>、基层办及其工作职能</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负责全县基层组织建设工作；负责承办县委农基层办的日常工作；拟定全县基层组织建设规划，提出指导工作的意见和建议；负责开展基层组织建设整顿工作，组织开展督促检查活动；负责了解掌握基层组织建设和整顿工作情况；组织开展调查研究，总结推广各地加强农牧区基层党组织；负责其他涉及党的基层组织建设的相关工作。</w:t>
      </w:r>
    </w:p>
    <w:p>
      <w:pPr>
        <w:spacing w:after="0" w:line="560" w:lineRule="exact"/>
        <w:ind w:firstLine="643" w:firstLineChars="200"/>
        <w:rPr>
          <w:rFonts w:ascii="仿宋_GB2312" w:hAnsi="仿宋_GB2312" w:eastAsia="仿宋_GB2312" w:cs="仿宋_GB2312"/>
          <w:sz w:val="32"/>
          <w:szCs w:val="32"/>
        </w:rPr>
      </w:pPr>
      <w:r>
        <w:rPr>
          <w:rFonts w:ascii="仿宋_GB2312" w:hAnsi="仿宋_GB2312" w:eastAsia="仿宋_GB2312" w:cs="仿宋_GB2312"/>
          <w:b/>
          <w:bCs/>
          <w:sz w:val="32"/>
          <w:szCs w:val="32"/>
        </w:rPr>
        <w:t>8</w:t>
      </w:r>
      <w:r>
        <w:rPr>
          <w:rFonts w:hint="eastAsia" w:ascii="仿宋_GB2312" w:hAnsi="仿宋_GB2312" w:eastAsia="仿宋_GB2312" w:cs="仿宋_GB2312"/>
          <w:b/>
          <w:bCs/>
          <w:sz w:val="32"/>
          <w:szCs w:val="32"/>
        </w:rPr>
        <w:t>远教办及其工作职能</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全县党员干部现代远程教育和党员电教育工作的检查指导；承担全县基层党组织远程教育网络和电教片收录转发工作。负责远程教育设备管理技术指导，负责全县远程教育工作人员培训工作负责拍摄专题片，做好党建宣传专题报道；负责玛纳斯县党建网维护、管理工作；负责州远教办安排其他工作。</w:t>
      </w:r>
    </w:p>
    <w:p>
      <w:pPr>
        <w:spacing w:after="0" w:line="560" w:lineRule="exact"/>
        <w:ind w:firstLine="643" w:firstLineChars="200"/>
        <w:rPr>
          <w:rFonts w:ascii="仿宋_GB2312" w:hAnsi="仿宋_GB2312" w:eastAsia="仿宋_GB2312" w:cs="仿宋_GB2312"/>
          <w:b/>
          <w:bCs/>
          <w:sz w:val="32"/>
          <w:szCs w:val="32"/>
        </w:rPr>
      </w:pPr>
      <w:r>
        <w:rPr>
          <w:rFonts w:ascii="仿宋_GB2312" w:hAnsi="仿宋_GB2312" w:eastAsia="仿宋_GB2312" w:cs="仿宋_GB2312"/>
          <w:b/>
          <w:bCs/>
          <w:sz w:val="32"/>
          <w:szCs w:val="32"/>
        </w:rPr>
        <w:t>9</w:t>
      </w:r>
      <w:r>
        <w:rPr>
          <w:rFonts w:hint="eastAsia" w:ascii="仿宋_GB2312" w:hAnsi="仿宋_GB2312" w:eastAsia="仿宋_GB2312" w:cs="仿宋_GB2312"/>
          <w:b/>
          <w:bCs/>
          <w:sz w:val="32"/>
          <w:szCs w:val="32"/>
        </w:rPr>
        <w:t>、信息调研室及其工作职能</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负责党的组织建设、干部工作重要政策的综合研究与信息工作，调查了解领导班子和干部队伍、党员队伍建设情况；研究审核组织和干部工作有关制度；承担干部人事制度改革的综合研究、总结和推广典型经验；承担州党委组织部下达调研课题的组织实施工作；指导全县组织系统的调研工作和信息工作；负责州党建研究会研究课题的实施工作。</w:t>
      </w:r>
    </w:p>
    <w:p>
      <w:pPr>
        <w:spacing w:after="0" w:line="560" w:lineRule="exact"/>
        <w:ind w:firstLine="643" w:firstLineChars="200"/>
        <w:rPr>
          <w:rFonts w:ascii="黑体" w:hAnsi="黑体" w:eastAsia="黑体" w:cs="黑体"/>
          <w:b/>
          <w:bCs/>
          <w:sz w:val="32"/>
          <w:szCs w:val="32"/>
        </w:rPr>
      </w:pPr>
      <w:r>
        <w:rPr>
          <w:rFonts w:hint="eastAsia" w:ascii="楷体_GB2312" w:hAnsi="楷体_GB2312" w:eastAsia="楷体_GB2312" w:cs="楷体_GB2312"/>
          <w:b/>
          <w:bCs/>
          <w:sz w:val="32"/>
          <w:szCs w:val="32"/>
        </w:rPr>
        <w:t>二、部门决算单位构成。</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从决算单位构成看，组织部部门决算包括：组织部部门本级决算、所属单位决算等。</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纳入组织部</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ascii="仿宋" w:hAnsi="仿宋" w:eastAsia="仿宋" w:cs="仿宋"/>
                <w:sz w:val="30"/>
                <w:szCs w:val="30"/>
              </w:rPr>
              <w:t>1</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县组织部单位本级</w:t>
            </w:r>
          </w:p>
        </w:tc>
        <w:tc>
          <w:tcPr>
            <w:tcW w:w="2841" w:type="dxa"/>
          </w:tcPr>
          <w:p>
            <w:pPr>
              <w:widowControl w:val="0"/>
              <w:spacing w:line="220" w:lineRule="atLeast"/>
              <w:jc w:val="center"/>
              <w:rPr>
                <w:rFonts w:ascii="仿宋" w:hAnsi="仿宋" w:eastAsia="仿宋" w:cs="仿宋"/>
                <w:sz w:val="30"/>
                <w:szCs w:val="30"/>
              </w:rPr>
            </w:pPr>
          </w:p>
        </w:tc>
      </w:tr>
    </w:tbl>
    <w:p>
      <w:pPr>
        <w:spacing w:after="0" w:line="560" w:lineRule="exact"/>
        <w:ind w:firstLine="640" w:firstLineChars="200"/>
        <w:rPr>
          <w:rFonts w:ascii="仿宋_GB2312" w:hAnsi="仿宋_GB2312" w:eastAsia="仿宋_GB2312" w:cs="仿宋_GB2312"/>
          <w:sz w:val="32"/>
          <w:szCs w:val="32"/>
        </w:rPr>
      </w:pPr>
    </w:p>
    <w:p>
      <w:pPr>
        <w:spacing w:after="0" w:line="560" w:lineRule="exact"/>
        <w:rPr>
          <w:rFonts w:ascii="仿宋_GB2312" w:hAnsi="仿宋_GB2312" w:eastAsia="仿宋_GB2312" w:cs="仿宋_GB2312"/>
          <w:sz w:val="32"/>
          <w:szCs w:val="32"/>
        </w:rPr>
      </w:pPr>
    </w:p>
    <w:p>
      <w:pPr>
        <w:spacing w:after="0" w:line="560" w:lineRule="exact"/>
        <w:jc w:val="center"/>
        <w:rPr>
          <w:rFonts w:ascii="黑体" w:hAnsi="黑体" w:eastAsia="黑体" w:cs="黑体"/>
          <w:b/>
          <w:bCs/>
          <w:sz w:val="32"/>
          <w:szCs w:val="32"/>
        </w:rPr>
      </w:pPr>
      <w:r>
        <w:rPr>
          <w:rFonts w:hint="eastAsia" w:ascii="黑体" w:hAnsi="黑体" w:eastAsia="黑体" w:cs="黑体"/>
          <w:b/>
          <w:bCs/>
          <w:sz w:val="32"/>
          <w:szCs w:val="32"/>
        </w:rPr>
        <w:t>第二部分部门决算情况说明</w:t>
      </w:r>
    </w:p>
    <w:p>
      <w:pPr>
        <w:spacing w:after="0"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一、部门收支总体情况</w:t>
      </w:r>
    </w:p>
    <w:p>
      <w:pPr>
        <w:spacing w:after="0"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（一）部门收入支出决算总体情况说明</w:t>
      </w:r>
    </w:p>
    <w:p>
      <w:pPr>
        <w:spacing w:after="0"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年度决算收入</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万元，与上年相比增加1308.9万元，增长100%，支出1308.9万元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与上年相比增加1308.9万元，增长100%，结余结转基本支出0万元，与上年相比，增加0万元，增长增长100%。较上年增加主要原因为本单位以前年度在县委办核算，今年数新增单位。</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p>
    <w:p>
      <w:pPr>
        <w:spacing w:after="0"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年度决算收入</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万元（含其他收入），预算收入</w:t>
      </w:r>
      <w:r>
        <w:rPr>
          <w:rFonts w:ascii="仿宋_GB2312" w:hAnsi="仿宋_GB2312" w:eastAsia="仿宋_GB2312" w:cs="仿宋_GB2312"/>
          <w:sz w:val="32"/>
          <w:szCs w:val="32"/>
        </w:rPr>
        <w:t>596.60</w:t>
      </w:r>
      <w:r>
        <w:rPr>
          <w:rFonts w:hint="eastAsia" w:ascii="仿宋_GB2312" w:hAnsi="仿宋_GB2312" w:eastAsia="仿宋_GB2312" w:cs="仿宋_GB2312"/>
          <w:sz w:val="32"/>
          <w:szCs w:val="32"/>
        </w:rPr>
        <w:t>万元，增加</w:t>
      </w:r>
      <w:r>
        <w:rPr>
          <w:rFonts w:ascii="仿宋_GB2312" w:hAnsi="仿宋_GB2312" w:eastAsia="仿宋_GB2312" w:cs="仿宋_GB2312"/>
          <w:sz w:val="32"/>
          <w:szCs w:val="32"/>
        </w:rPr>
        <w:t>712.30</w:t>
      </w:r>
      <w:r>
        <w:rPr>
          <w:rFonts w:hint="eastAsia" w:ascii="仿宋_GB2312" w:hAnsi="仿宋_GB2312" w:eastAsia="仿宋_GB2312" w:cs="仿宋_GB2312"/>
          <w:sz w:val="32"/>
          <w:szCs w:val="32"/>
        </w:rPr>
        <w:t>万元，增长119.4%，决算支出</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万元，预算支出</w:t>
      </w:r>
      <w:r>
        <w:rPr>
          <w:rFonts w:ascii="仿宋_GB2312" w:hAnsi="仿宋_GB2312" w:eastAsia="仿宋_GB2312" w:cs="仿宋_GB2312"/>
          <w:sz w:val="32"/>
          <w:szCs w:val="32"/>
        </w:rPr>
        <w:t>596.60</w:t>
      </w:r>
      <w:r>
        <w:rPr>
          <w:rFonts w:hint="eastAsia" w:ascii="仿宋_GB2312" w:hAnsi="仿宋_GB2312" w:eastAsia="仿宋_GB2312" w:cs="仿宋_GB2312"/>
          <w:sz w:val="32"/>
          <w:szCs w:val="32"/>
        </w:rPr>
        <w:t>万元，增加712.3万元，增长119.4%，决算收入和支出大于预算主要原因为：“访惠聚“工作经费和其他组织事务经费追加。</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年县委组织部开始实行独立核算。</w:t>
      </w:r>
    </w:p>
    <w:p>
      <w:pPr>
        <w:spacing w:after="0"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（二）部门收入总体情况说明</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本年收入合计</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万元，其中：财政拨款收入</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100.00%,</w:t>
      </w:r>
      <w:r>
        <w:rPr>
          <w:rFonts w:hint="eastAsia" w:ascii="仿宋" w:hAnsi="仿宋" w:eastAsia="仿宋" w:cs="仿宋"/>
          <w:sz w:val="30"/>
          <w:szCs w:val="30"/>
        </w:rPr>
        <w:t>上级补助收入0万元，占0%；事业收入0万元，占0%；经营收入0万元，占0%；附属单位缴款0万元，占0%；其他收入0万元，占0%。</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年县委组织部财务开始独立核算，</w:t>
      </w:r>
      <w:r>
        <w:rPr>
          <w:rFonts w:hint="eastAsia" w:ascii="仿宋" w:hAnsi="仿宋" w:eastAsia="仿宋" w:cs="仿宋"/>
          <w:sz w:val="30"/>
          <w:szCs w:val="30"/>
        </w:rPr>
        <w:t>调增的主要原因是</w:t>
      </w:r>
      <w:r>
        <w:rPr>
          <w:rFonts w:hint="eastAsia" w:ascii="仿宋_GB2312" w:hAnsi="仿宋_GB2312" w:eastAsia="仿宋_GB2312" w:cs="仿宋_GB2312"/>
          <w:sz w:val="32"/>
          <w:szCs w:val="32"/>
        </w:rPr>
        <w:t>“访惠聚“工作经费和其他组织事务经费追加。</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p>
    <w:p>
      <w:pPr>
        <w:spacing w:after="0"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年预算收入为</w:t>
      </w:r>
      <w:r>
        <w:rPr>
          <w:rFonts w:ascii="仿宋_GB2312" w:hAnsi="仿宋_GB2312" w:eastAsia="仿宋_GB2312" w:cs="仿宋_GB2312"/>
          <w:sz w:val="32"/>
          <w:szCs w:val="32"/>
        </w:rPr>
        <w:t>596.60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年度决算收入</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万元，决算比预算收入增加</w:t>
      </w:r>
      <w:r>
        <w:rPr>
          <w:rFonts w:ascii="仿宋_GB2312" w:hAnsi="仿宋_GB2312" w:eastAsia="仿宋_GB2312" w:cs="仿宋_GB2312"/>
          <w:sz w:val="32"/>
          <w:szCs w:val="32"/>
        </w:rPr>
        <w:t>712.30</w:t>
      </w:r>
      <w:r>
        <w:rPr>
          <w:rFonts w:hint="eastAsia" w:ascii="仿宋_GB2312" w:hAnsi="仿宋_GB2312" w:eastAsia="仿宋_GB2312" w:cs="仿宋_GB2312"/>
          <w:sz w:val="32"/>
          <w:szCs w:val="32"/>
        </w:rPr>
        <w:t>万元，增长119.4%，原因为：“访惠聚“工作经费和其他组织事务经费追加。</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年县委组织部开始实行独立核算。</w:t>
      </w:r>
    </w:p>
    <w:p>
      <w:pPr>
        <w:spacing w:after="0"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（三）部门支出总体情况说明</w:t>
      </w:r>
    </w:p>
    <w:p>
      <w:pPr>
        <w:spacing w:after="0" w:line="560" w:lineRule="exact"/>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本年支出合计</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万元，其中：基本支出</w:t>
      </w:r>
      <w:r>
        <w:rPr>
          <w:rFonts w:ascii="仿宋_GB2312" w:hAnsi="仿宋_GB2312" w:eastAsia="仿宋_GB2312" w:cs="仿宋_GB2312"/>
          <w:sz w:val="32"/>
          <w:szCs w:val="32"/>
        </w:rPr>
        <w:t>315.90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30.78%</w:t>
      </w:r>
      <w:r>
        <w:rPr>
          <w:rFonts w:hint="eastAsia" w:ascii="仿宋_GB2312" w:hAnsi="仿宋_GB2312" w:eastAsia="仿宋_GB2312" w:cs="仿宋_GB2312"/>
          <w:sz w:val="32"/>
          <w:szCs w:val="32"/>
        </w:rPr>
        <w:t>；项目支出</w:t>
      </w:r>
      <w:r>
        <w:rPr>
          <w:rFonts w:ascii="仿宋_GB2312" w:hAnsi="仿宋_GB2312" w:eastAsia="仿宋_GB2312" w:cs="仿宋_GB2312"/>
          <w:sz w:val="32"/>
          <w:szCs w:val="32"/>
        </w:rPr>
        <w:t>710.30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69.20%</w:t>
      </w:r>
      <w:r>
        <w:rPr>
          <w:rFonts w:hint="eastAsia" w:ascii="仿宋_GB2312" w:hAnsi="仿宋_GB2312" w:eastAsia="仿宋_GB2312" w:cs="仿宋_GB2312"/>
          <w:sz w:val="32"/>
          <w:szCs w:val="32"/>
        </w:rPr>
        <w:t>。</w:t>
      </w:r>
      <w:r>
        <w:rPr>
          <w:rFonts w:hint="eastAsia" w:ascii="仿宋" w:hAnsi="仿宋" w:eastAsia="仿宋" w:cs="仿宋"/>
          <w:sz w:val="30"/>
          <w:szCs w:val="30"/>
        </w:rPr>
        <w:t>上缴上级支出0万元，占0%；经营支出0万元，占0%；对附属单位补助支出0万元，占0%。增减变化的主要原因是</w:t>
      </w:r>
      <w:r>
        <w:rPr>
          <w:rFonts w:hint="eastAsia" w:ascii="仿宋_GB2312" w:hAnsi="仿宋_GB2312" w:eastAsia="仿宋_GB2312" w:cs="仿宋_GB2312"/>
          <w:sz w:val="32"/>
          <w:szCs w:val="32"/>
        </w:rPr>
        <w:t>增减变化主要原因“访惠聚“工作经费和其他组织事务专项经费追加。</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决算支出</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万元，预算支出</w:t>
      </w:r>
      <w:r>
        <w:rPr>
          <w:rFonts w:ascii="仿宋_GB2312" w:hAnsi="仿宋_GB2312" w:eastAsia="仿宋_GB2312" w:cs="仿宋_GB2312"/>
          <w:sz w:val="32"/>
          <w:szCs w:val="32"/>
        </w:rPr>
        <w:t>596.60</w:t>
      </w:r>
      <w:r>
        <w:rPr>
          <w:rFonts w:hint="eastAsia" w:ascii="仿宋_GB2312" w:hAnsi="仿宋_GB2312" w:eastAsia="仿宋_GB2312" w:cs="仿宋_GB2312"/>
          <w:sz w:val="32"/>
          <w:szCs w:val="32"/>
        </w:rPr>
        <w:t>万元，增加712.3万元，增长119.3%，决算收入和支出大于预算主要原因为：“访惠聚”工作经费及其他组织事务经费追加。</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年县委组织部开始实行财务独立核算。</w:t>
      </w:r>
    </w:p>
    <w:p>
      <w:pPr>
        <w:spacing w:after="0" w:line="560" w:lineRule="exact"/>
        <w:ind w:firstLine="643" w:firstLineChars="200"/>
        <w:rPr>
          <w:rFonts w:ascii="仿宋_GB2312" w:hAnsi="仿宋_GB2312" w:eastAsia="仿宋_GB2312" w:cs="仿宋_GB2312"/>
          <w:b/>
          <w:bCs/>
          <w:sz w:val="32"/>
          <w:szCs w:val="32"/>
        </w:rPr>
      </w:pPr>
      <w:r>
        <w:rPr>
          <w:rFonts w:hint="eastAsia" w:ascii="楷体_GB2312" w:hAnsi="楷体_GB2312" w:eastAsia="楷体_GB2312" w:cs="楷体_GB2312"/>
          <w:b/>
          <w:bCs/>
          <w:sz w:val="32"/>
          <w:szCs w:val="32"/>
        </w:rPr>
        <w:t>二、部门财政拨款收支情况</w:t>
      </w:r>
    </w:p>
    <w:p>
      <w:pPr>
        <w:spacing w:after="0"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（一）财政拨款收支总体情况说明</w:t>
      </w:r>
    </w:p>
    <w:p>
      <w:pPr>
        <w:spacing w:after="0"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年度财政拨款收入</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万元；与上年相比增加1308.9万元，增长100%，财政拨款支出</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万元，其中：基本支出</w:t>
      </w:r>
      <w:r>
        <w:rPr>
          <w:rFonts w:ascii="仿宋_GB2312" w:hAnsi="仿宋_GB2312" w:eastAsia="仿宋_GB2312" w:cs="仿宋_GB2312"/>
          <w:sz w:val="32"/>
          <w:szCs w:val="32"/>
        </w:rPr>
        <w:t>315.9</w:t>
      </w:r>
      <w:r>
        <w:rPr>
          <w:rFonts w:hint="eastAsia" w:ascii="仿宋_GB2312" w:hAnsi="仿宋_GB2312" w:eastAsia="仿宋_GB2312" w:cs="仿宋_GB2312"/>
          <w:sz w:val="32"/>
          <w:szCs w:val="32"/>
        </w:rPr>
        <w:t>万元，项目支出</w:t>
      </w:r>
      <w:r>
        <w:rPr>
          <w:rFonts w:ascii="仿宋_GB2312" w:hAnsi="仿宋_GB2312" w:eastAsia="仿宋_GB2312" w:cs="仿宋_GB2312"/>
          <w:sz w:val="32"/>
          <w:szCs w:val="32"/>
        </w:rPr>
        <w:t>710.30</w:t>
      </w:r>
      <w:r>
        <w:rPr>
          <w:rFonts w:hint="eastAsia" w:ascii="仿宋_GB2312" w:hAnsi="仿宋_GB2312" w:eastAsia="仿宋_GB2312" w:cs="仿宋_GB2312"/>
          <w:sz w:val="32"/>
          <w:szCs w:val="32"/>
        </w:rPr>
        <w:t>万元，与上年相比增加1308.9万元，增长100%。财政拨款结转结余0万元.与上年相比，增加0万元，增长0%。主要原因是较上年增加主要原因为本单位以前年度在县委办核算，今年数新增单位。</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p>
    <w:p>
      <w:pPr>
        <w:spacing w:after="0" w:line="560" w:lineRule="exact"/>
        <w:ind w:firstLine="640" w:firstLineChars="200"/>
        <w:rPr>
          <w:rFonts w:ascii="仿宋" w:hAnsi="仿宋" w:eastAsia="仿宋" w:cs="仿宋"/>
          <w:sz w:val="30"/>
          <w:szCs w:val="30"/>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年决算财政拨款收入</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年预算收入为</w:t>
      </w:r>
      <w:r>
        <w:rPr>
          <w:rFonts w:ascii="仿宋_GB2312" w:hAnsi="仿宋_GB2312" w:eastAsia="仿宋_GB2312" w:cs="仿宋_GB2312"/>
          <w:sz w:val="32"/>
          <w:szCs w:val="32"/>
        </w:rPr>
        <w:t>596.60</w:t>
      </w:r>
      <w:r>
        <w:rPr>
          <w:rFonts w:hint="eastAsia" w:ascii="仿宋_GB2312" w:hAnsi="仿宋_GB2312" w:eastAsia="仿宋_GB2312" w:cs="仿宋_GB2312"/>
          <w:sz w:val="32"/>
          <w:szCs w:val="32"/>
        </w:rPr>
        <w:t>万元，增加712.3万元，增长119.3%。变动</w:t>
      </w:r>
      <w:r>
        <w:rPr>
          <w:rFonts w:hint="eastAsia" w:ascii="仿宋" w:hAnsi="仿宋" w:eastAsia="仿宋" w:cs="仿宋"/>
          <w:sz w:val="30"/>
          <w:szCs w:val="30"/>
        </w:rPr>
        <w:t>主要原因是</w:t>
      </w:r>
      <w:r>
        <w:rPr>
          <w:rFonts w:hint="eastAsia" w:ascii="仿宋_GB2312" w:hAnsi="仿宋_GB2312" w:eastAsia="仿宋_GB2312" w:cs="仿宋_GB2312"/>
          <w:sz w:val="32"/>
          <w:szCs w:val="32"/>
        </w:rPr>
        <w:t>“访惠聚”工作经费及其他组织事务经费追加。</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年县委组织部开始实行财务独立核算。</w:t>
      </w:r>
    </w:p>
    <w:p>
      <w:pPr>
        <w:spacing w:after="0" w:line="56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（二）一般公共预算支出决算情况说明</w:t>
      </w:r>
    </w:p>
    <w:p>
      <w:pPr>
        <w:spacing w:after="0"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年度一般公共预算财政拨款支出</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万元。与上年相比增加1308.9万元，增长100%，其中：按功能分类科目，一般公共服务支出</w:t>
      </w:r>
      <w:r>
        <w:rPr>
          <w:rFonts w:ascii="仿宋_GB2312" w:hAnsi="仿宋_GB2312" w:eastAsia="仿宋_GB2312" w:cs="仿宋_GB2312"/>
          <w:sz w:val="32"/>
          <w:szCs w:val="32"/>
        </w:rPr>
        <w:t>998.30</w:t>
      </w:r>
      <w:r>
        <w:rPr>
          <w:rFonts w:hint="eastAsia" w:ascii="仿宋_GB2312" w:hAnsi="仿宋_GB2312" w:eastAsia="仿宋_GB2312" w:cs="仿宋_GB2312"/>
          <w:sz w:val="32"/>
          <w:szCs w:val="32"/>
        </w:rPr>
        <w:t>万元，社会保障和就业支出</w:t>
      </w:r>
      <w:r>
        <w:rPr>
          <w:rFonts w:ascii="仿宋_GB2312" w:hAnsi="仿宋_GB2312" w:eastAsia="仿宋_GB2312" w:cs="仿宋_GB2312"/>
          <w:sz w:val="32"/>
          <w:szCs w:val="32"/>
        </w:rPr>
        <w:t>27.85</w:t>
      </w:r>
      <w:r>
        <w:rPr>
          <w:rFonts w:hint="eastAsia" w:ascii="仿宋_GB2312" w:hAnsi="仿宋_GB2312" w:eastAsia="仿宋_GB2312" w:cs="仿宋_GB2312"/>
          <w:sz w:val="32"/>
          <w:szCs w:val="32"/>
        </w:rPr>
        <w:t>万元。按经济分类科目，工资福利支出</w:t>
      </w:r>
      <w:r>
        <w:rPr>
          <w:rFonts w:hint="eastAsia" w:ascii="仿宋_GB2312" w:hAnsi="仿宋_GB2312" w:eastAsia="仿宋_GB2312" w:cs="仿宋_GB2312"/>
          <w:sz w:val="32"/>
          <w:szCs w:val="32"/>
          <w:lang w:val="en-US" w:eastAsia="zh-CN"/>
        </w:rPr>
        <w:t>233.84</w:t>
      </w:r>
      <w:r>
        <w:rPr>
          <w:rFonts w:hint="eastAsia" w:ascii="仿宋_GB2312" w:hAnsi="仿宋_GB2312" w:eastAsia="仿宋_GB2312" w:cs="仿宋_GB2312"/>
          <w:sz w:val="32"/>
          <w:szCs w:val="32"/>
        </w:rPr>
        <w:t>万元，商品和服务支出</w:t>
      </w:r>
      <w:r>
        <w:rPr>
          <w:rFonts w:hint="eastAsia" w:ascii="仿宋_GB2312" w:hAnsi="仿宋_GB2312" w:eastAsia="仿宋_GB2312" w:cs="仿宋_GB2312"/>
          <w:sz w:val="32"/>
          <w:szCs w:val="32"/>
          <w:lang w:val="en-US" w:eastAsia="zh-CN"/>
        </w:rPr>
        <w:t>43.66万元</w:t>
      </w:r>
      <w:r>
        <w:rPr>
          <w:rFonts w:hint="eastAsia" w:ascii="仿宋_GB2312" w:hAnsi="仿宋_GB2312" w:eastAsia="仿宋_GB2312" w:cs="仿宋_GB2312"/>
          <w:sz w:val="32"/>
          <w:szCs w:val="32"/>
        </w:rPr>
        <w:t>，对个人和家庭的补助</w:t>
      </w:r>
      <w:r>
        <w:rPr>
          <w:rFonts w:hint="eastAsia" w:ascii="仿宋_GB2312" w:hAnsi="仿宋_GB2312" w:eastAsia="仿宋_GB2312" w:cs="仿宋_GB2312"/>
          <w:sz w:val="32"/>
          <w:szCs w:val="32"/>
          <w:lang w:val="en-US" w:eastAsia="zh-CN"/>
        </w:rPr>
        <w:t>41.88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其他资本性支出928.9万元</w:t>
      </w:r>
      <w:r>
        <w:rPr>
          <w:rFonts w:hint="eastAsia" w:ascii="仿宋_GB2312" w:hAnsi="仿宋_GB2312" w:eastAsia="仿宋_GB2312" w:cs="仿宋_GB2312"/>
          <w:sz w:val="32"/>
          <w:szCs w:val="32"/>
        </w:rPr>
        <w:t>。较上年增加主要原因为本单位以前年度在县委办核算，今年</w:t>
      </w:r>
      <w:r>
        <w:rPr>
          <w:rFonts w:hint="eastAsia" w:ascii="仿宋_GB2312" w:hAnsi="仿宋_GB2312" w:eastAsia="仿宋_GB2312" w:cs="仿宋_GB2312"/>
          <w:sz w:val="32"/>
          <w:szCs w:val="32"/>
          <w:lang w:eastAsia="zh-CN"/>
        </w:rPr>
        <w:t>独立核算，是</w:t>
      </w:r>
      <w:r>
        <w:rPr>
          <w:rFonts w:hint="eastAsia" w:ascii="仿宋_GB2312" w:hAnsi="仿宋_GB2312" w:eastAsia="仿宋_GB2312" w:cs="仿宋_GB2312"/>
          <w:sz w:val="32"/>
          <w:szCs w:val="32"/>
        </w:rPr>
        <w:t>新增单位。</w:t>
      </w:r>
    </w:p>
    <w:p>
      <w:pPr>
        <w:spacing w:after="0"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、与预算相比情况。</w:t>
      </w:r>
    </w:p>
    <w:p>
      <w:pPr>
        <w:spacing w:after="0" w:line="560" w:lineRule="exact"/>
        <w:rPr>
          <w:rFonts w:ascii="仿宋_GB2312" w:hAnsi="仿宋_GB2312" w:eastAsia="仿宋_GB2312" w:cs="仿宋_GB2312"/>
          <w:sz w:val="32"/>
          <w:szCs w:val="32"/>
        </w:rPr>
      </w:pPr>
      <w:r>
        <w:rPr>
          <w:rFonts w:ascii="仿宋_GB2312" w:hAnsi="仿宋_GB2312" w:eastAsia="仿宋_GB2312" w:cs="仿宋_GB2312"/>
          <w:sz w:val="32"/>
          <w:szCs w:val="32"/>
        </w:rPr>
        <w:t xml:space="preserve">    2017</w:t>
      </w:r>
      <w:r>
        <w:rPr>
          <w:rFonts w:hint="eastAsia" w:ascii="仿宋_GB2312" w:hAnsi="仿宋_GB2312" w:eastAsia="仿宋_GB2312" w:cs="仿宋_GB2312"/>
          <w:sz w:val="32"/>
          <w:szCs w:val="32"/>
        </w:rPr>
        <w:t>年度一般公共预算财政拨款支出</w:t>
      </w:r>
      <w:r>
        <w:rPr>
          <w:rFonts w:ascii="仿宋_GB2312" w:hAnsi="仿宋_GB2312" w:eastAsia="仿宋_GB2312" w:cs="仿宋_GB2312"/>
          <w:sz w:val="32"/>
          <w:szCs w:val="32"/>
        </w:rPr>
        <w:t>1308.90</w:t>
      </w:r>
      <w:r>
        <w:rPr>
          <w:rFonts w:hint="eastAsia" w:ascii="仿宋_GB2312" w:hAnsi="仿宋_GB2312" w:eastAsia="仿宋_GB2312" w:cs="仿宋_GB2312"/>
          <w:sz w:val="32"/>
          <w:szCs w:val="32"/>
        </w:rPr>
        <w:t>万元，与年初预算</w:t>
      </w:r>
      <w:r>
        <w:rPr>
          <w:rFonts w:ascii="仿宋_GB2312" w:hAnsi="仿宋_GB2312" w:eastAsia="仿宋_GB2312" w:cs="仿宋_GB2312"/>
          <w:sz w:val="32"/>
          <w:szCs w:val="32"/>
        </w:rPr>
        <w:t>596.60</w:t>
      </w:r>
      <w:r>
        <w:rPr>
          <w:rFonts w:hint="eastAsia" w:ascii="仿宋_GB2312" w:hAnsi="仿宋_GB2312" w:eastAsia="仿宋_GB2312" w:cs="仿宋_GB2312"/>
          <w:sz w:val="32"/>
          <w:szCs w:val="32"/>
        </w:rPr>
        <w:t>万元，增加712.3万元，增长119.3</w:t>
      </w:r>
      <w:r>
        <w:rPr>
          <w:rFonts w:ascii="仿宋_GB2312" w:hAnsi="仿宋_GB2312" w:eastAsia="仿宋_GB2312" w:cs="仿宋_GB2312"/>
          <w:sz w:val="32"/>
          <w:szCs w:val="32"/>
        </w:rPr>
        <w:t>.00%</w:t>
      </w:r>
      <w:r>
        <w:rPr>
          <w:rFonts w:hint="eastAsia" w:ascii="仿宋_GB2312" w:hAnsi="仿宋_GB2312" w:eastAsia="仿宋_GB2312" w:cs="仿宋_GB2312"/>
          <w:sz w:val="32"/>
          <w:szCs w:val="32"/>
        </w:rPr>
        <w:t>，增加变动主要原因其中访汇聚工作组经费占主要超支。</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年县委组织部开始实行财务独立核算。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万元，与上年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2017年度政府性基金预算支出0元。与上年相比，增加0万元，增长0%。增减变化的主要原因是：年初无预算安排。其他有关说明内容。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6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三、部门结转结余情况</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年末收支结余0万元。与上年相比，增长0万元，增长0%。</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其中财政拨款结转结余0万元。与上年相比，增长0万元，增长0%。</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年县委组织部开始实行财务独立核算</w:t>
      </w:r>
    </w:p>
    <w:p>
      <w:pPr>
        <w:spacing w:after="0"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四、一般公共预算“三公”经费支出情况</w:t>
      </w:r>
    </w:p>
    <w:p>
      <w:pPr>
        <w:spacing w:after="0" w:line="52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年度一般公共预算“三公”经费支出决算15.27万元，公务用车购置及运行维护费支出</w:t>
      </w:r>
      <w:r>
        <w:rPr>
          <w:rFonts w:ascii="仿宋_GB2312" w:hAnsi="仿宋_GB2312" w:eastAsia="仿宋_GB2312" w:cs="仿宋_GB2312"/>
          <w:sz w:val="32"/>
          <w:szCs w:val="32"/>
        </w:rPr>
        <w:t>7.25</w:t>
      </w:r>
      <w:r>
        <w:rPr>
          <w:rFonts w:hint="eastAsia" w:ascii="仿宋_GB2312" w:hAnsi="仿宋_GB2312" w:eastAsia="仿宋_GB2312" w:cs="仿宋_GB2312"/>
          <w:sz w:val="32"/>
          <w:szCs w:val="32"/>
        </w:rPr>
        <w:t>万元，占47</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。具体情况如下：公务用车购置及运行维护费</w:t>
      </w:r>
      <w:r>
        <w:rPr>
          <w:rFonts w:ascii="仿宋_GB2312" w:hAnsi="仿宋_GB2312" w:eastAsia="仿宋_GB2312" w:cs="仿宋_GB2312"/>
          <w:sz w:val="32"/>
          <w:szCs w:val="32"/>
        </w:rPr>
        <w:t>7.25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其中，公务用车购置</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万元，公务用车运行维护费</w:t>
      </w:r>
      <w:r>
        <w:rPr>
          <w:rFonts w:ascii="仿宋_GB2312" w:hAnsi="仿宋_GB2312" w:eastAsia="仿宋_GB2312" w:cs="仿宋_GB2312"/>
          <w:sz w:val="32"/>
          <w:szCs w:val="32"/>
        </w:rPr>
        <w:t>7.25</w:t>
      </w:r>
      <w:r>
        <w:rPr>
          <w:rFonts w:hint="eastAsia" w:ascii="仿宋_GB2312" w:hAnsi="仿宋_GB2312" w:eastAsia="仿宋_GB2312" w:cs="仿宋_GB2312"/>
          <w:sz w:val="32"/>
          <w:szCs w:val="32"/>
        </w:rPr>
        <w:t>万元。主要用于车辆维修保养及燃料等。</w:t>
      </w:r>
      <w:r>
        <w:rPr>
          <w:rFonts w:hint="eastAsia" w:ascii="仿宋" w:hAnsi="仿宋" w:eastAsia="仿宋" w:cs="仿宋"/>
          <w:sz w:val="30"/>
          <w:szCs w:val="30"/>
        </w:rPr>
        <w:t xml:space="preserve">公务接待费支8.02万元，占53%，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因公出国（境）费支出0万元。单位全年使用一般公共预算财政拨款安排的出国（境）团组0个，累计0人次。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公务用车购置及运行维护费7.52万元,其中，公务用车购置0万元，公务用车运行维护费7.52万元。主要用于车辆运行维修，2017年单位一般公共财政拨款安排的公务用车购置量0辆，保有量为1辆。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公务接待费8.02万元。具体是：国内公务接待支出8.02万元。××单位国内公务接待200批次，600人次。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与预算情况相比，2017年预算安排三公经费16万元，减少0.73万元，减少4.5%。减少主要原因是缩减执行三公经费政策。</w:t>
      </w:r>
    </w:p>
    <w:p>
      <w:pPr>
        <w:spacing w:after="0" w:line="56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五、机关运行经费支出情况</w:t>
      </w:r>
    </w:p>
    <w:p>
      <w:pPr>
        <w:spacing w:after="0"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年度玛纳斯县委组织部机关运行经费支出262万元。比上年增加262万元，增长100%，较上年增加主要原因为本单位以前年度在县委办核算，今年数新增单位。</w:t>
      </w:r>
    </w:p>
    <w:p>
      <w:pPr>
        <w:spacing w:after="0" w:line="56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六、政府采购情况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县委组织部单位政府采购计划0万元，其中：政府采购货物支出0万元、政府采购工程支出0万元、政府采购服务支出0万元；实际采购0万元，其中：政府采购货物支出0万元、政府采购工程支出0万元、政府采购服务支出0万元。 </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after="0" w:line="560" w:lineRule="exact"/>
        <w:ind w:firstLine="640" w:firstLineChars="200"/>
        <w:rPr>
          <w:rFonts w:ascii="黑体" w:hAnsi="黑体" w:eastAsia="黑体" w:cs="黑体"/>
          <w:sz w:val="32"/>
          <w:szCs w:val="32"/>
        </w:rPr>
      </w:pPr>
      <w:r>
        <w:rPr>
          <w:rFonts w:hint="eastAsia" w:ascii="黑体" w:hAnsi="黑体" w:eastAsia="黑体" w:cs="黑体"/>
          <w:sz w:val="32"/>
          <w:szCs w:val="32"/>
        </w:rPr>
        <w:t>七、其他重要事项的情况</w:t>
      </w:r>
    </w:p>
    <w:p>
      <w:pPr>
        <w:spacing w:after="0"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（一）国有资产占用情况说明</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日，资产总计</w:t>
      </w:r>
      <w:r>
        <w:rPr>
          <w:rFonts w:ascii="仿宋_GB2312" w:hAnsi="仿宋_GB2312" w:eastAsia="仿宋_GB2312" w:cs="仿宋_GB2312"/>
          <w:sz w:val="32"/>
          <w:szCs w:val="32"/>
        </w:rPr>
        <w:t>2322.85</w:t>
      </w:r>
      <w:r>
        <w:rPr>
          <w:rFonts w:hint="eastAsia" w:ascii="仿宋_GB2312" w:hAnsi="仿宋_GB2312" w:eastAsia="仿宋_GB2312" w:cs="仿宋_GB2312"/>
          <w:sz w:val="32"/>
          <w:szCs w:val="32"/>
        </w:rPr>
        <w:t>万元，其中：流动资产</w:t>
      </w:r>
      <w:r>
        <w:rPr>
          <w:rFonts w:ascii="仿宋_GB2312" w:hAnsi="仿宋_GB2312" w:eastAsia="仿宋_GB2312" w:cs="仿宋_GB2312"/>
          <w:sz w:val="32"/>
          <w:szCs w:val="32"/>
        </w:rPr>
        <w:t>2204.23</w:t>
      </w:r>
      <w:r>
        <w:rPr>
          <w:rFonts w:hint="eastAsia" w:ascii="仿宋_GB2312" w:hAnsi="仿宋_GB2312" w:eastAsia="仿宋_GB2312" w:cs="仿宋_GB2312"/>
          <w:sz w:val="32"/>
          <w:szCs w:val="32"/>
        </w:rPr>
        <w:t>万元，固定资产</w:t>
      </w:r>
      <w:r>
        <w:rPr>
          <w:rFonts w:ascii="仿宋_GB2312" w:hAnsi="仿宋_GB2312" w:eastAsia="仿宋_GB2312" w:cs="仿宋_GB2312"/>
          <w:sz w:val="32"/>
          <w:szCs w:val="32"/>
        </w:rPr>
        <w:t>119.62</w:t>
      </w:r>
      <w:r>
        <w:rPr>
          <w:rFonts w:hint="eastAsia" w:ascii="仿宋_GB2312" w:hAnsi="仿宋_GB2312" w:eastAsia="仿宋_GB2312" w:cs="仿宋_GB2312"/>
          <w:sz w:val="32"/>
          <w:szCs w:val="32"/>
        </w:rPr>
        <w:t>万元，其中：其他固定资产价值</w:t>
      </w:r>
      <w:r>
        <w:rPr>
          <w:rFonts w:ascii="仿宋_GB2312" w:hAnsi="仿宋_GB2312" w:eastAsia="仿宋_GB2312" w:cs="仿宋_GB2312"/>
          <w:sz w:val="32"/>
          <w:szCs w:val="32"/>
        </w:rPr>
        <w:t>119.62</w:t>
      </w:r>
      <w:r>
        <w:rPr>
          <w:rFonts w:hint="eastAsia" w:ascii="仿宋_GB2312" w:hAnsi="仿宋_GB2312" w:eastAsia="仿宋_GB2312" w:cs="仿宋_GB2312"/>
          <w:sz w:val="32"/>
          <w:szCs w:val="32"/>
        </w:rPr>
        <w:t>万元。</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截至2017年12月31日，单位资产有偿使用收入合计0万元，资产处置收入合计0万元。其中：已缴国库0万元， 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2017年度，本部门单位实行绩效管理的项目0个，涉及预算0万元，项目支出决算</w:t>
      </w:r>
      <w:r>
        <w:rPr>
          <w:rFonts w:hint="eastAsia" w:ascii="仿宋" w:hAnsi="仿宋" w:eastAsia="仿宋" w:cs="仿宋"/>
          <w:sz w:val="30"/>
          <w:szCs w:val="30"/>
          <w:lang w:val="en-US" w:eastAsia="zh-CN"/>
        </w:rPr>
        <w:t>710.3</w:t>
      </w:r>
      <w:r>
        <w:rPr>
          <w:rFonts w:hint="eastAsia" w:ascii="仿宋" w:hAnsi="仿宋" w:eastAsia="仿宋" w:cs="仿宋"/>
          <w:sz w:val="30"/>
          <w:szCs w:val="30"/>
        </w:rPr>
        <w:t>万元。</w:t>
      </w:r>
      <w:bookmarkStart w:id="0" w:name="_GoBack"/>
      <w:bookmarkEnd w:id="0"/>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60" w:lineRule="exact"/>
        <w:rPr>
          <w:rFonts w:ascii="仿宋_GB2312" w:hAnsi="仿宋_GB2312" w:eastAsia="仿宋_GB2312" w:cs="仿宋_GB2312"/>
          <w:sz w:val="32"/>
          <w:szCs w:val="32"/>
        </w:rPr>
      </w:pPr>
    </w:p>
    <w:p>
      <w:pPr>
        <w:spacing w:after="0" w:line="560" w:lineRule="exact"/>
        <w:rPr>
          <w:rFonts w:ascii="仿宋_GB2312" w:hAnsi="仿宋_GB2312" w:eastAsia="仿宋_GB2312" w:cs="仿宋_GB2312"/>
          <w:sz w:val="32"/>
          <w:szCs w:val="32"/>
        </w:rPr>
      </w:pPr>
    </w:p>
    <w:p>
      <w:pPr>
        <w:spacing w:after="0" w:line="560" w:lineRule="exact"/>
        <w:rPr>
          <w:rFonts w:ascii="仿宋_GB2312" w:hAnsi="仿宋_GB2312" w:eastAsia="仿宋_GB2312" w:cs="仿宋_GB2312"/>
          <w:sz w:val="32"/>
          <w:szCs w:val="32"/>
        </w:rPr>
      </w:pPr>
    </w:p>
    <w:p>
      <w:pPr>
        <w:spacing w:after="0" w:line="560" w:lineRule="exact"/>
        <w:rPr>
          <w:rFonts w:ascii="仿宋_GB2312" w:hAnsi="仿宋_GB2312" w:eastAsia="仿宋_GB2312" w:cs="仿宋_GB2312"/>
          <w:sz w:val="32"/>
          <w:szCs w:val="32"/>
        </w:rPr>
      </w:pPr>
    </w:p>
    <w:p>
      <w:pPr>
        <w:spacing w:after="0" w:line="560" w:lineRule="exact"/>
        <w:rPr>
          <w:rFonts w:ascii="仿宋_GB2312" w:hAnsi="仿宋_GB2312" w:eastAsia="仿宋_GB2312" w:cs="仿宋_GB2312"/>
          <w:sz w:val="32"/>
          <w:szCs w:val="32"/>
        </w:rPr>
      </w:pPr>
    </w:p>
    <w:p>
      <w:pPr>
        <w:spacing w:after="0" w:line="560" w:lineRule="exact"/>
        <w:rPr>
          <w:rFonts w:ascii="仿宋_GB2312" w:hAnsi="仿宋_GB2312" w:eastAsia="仿宋_GB2312" w:cs="仿宋_GB2312"/>
          <w:sz w:val="32"/>
          <w:szCs w:val="32"/>
        </w:rPr>
      </w:pPr>
    </w:p>
    <w:p>
      <w:pPr>
        <w:spacing w:after="0" w:line="560" w:lineRule="exact"/>
        <w:rPr>
          <w:rFonts w:ascii="仿宋_GB2312" w:hAnsi="仿宋_GB2312" w:eastAsia="仿宋_GB2312" w:cs="仿宋_GB2312"/>
          <w:sz w:val="32"/>
          <w:szCs w:val="32"/>
        </w:rPr>
      </w:pPr>
    </w:p>
    <w:p>
      <w:pPr>
        <w:spacing w:after="0" w:line="560" w:lineRule="exact"/>
        <w:rPr>
          <w:rFonts w:ascii="仿宋_GB2312" w:hAnsi="仿宋_GB2312" w:eastAsia="仿宋_GB2312" w:cs="仿宋_GB2312"/>
          <w:sz w:val="32"/>
          <w:szCs w:val="32"/>
        </w:rPr>
      </w:pPr>
    </w:p>
    <w:p>
      <w:pPr>
        <w:spacing w:after="0" w:line="560" w:lineRule="exact"/>
        <w:rPr>
          <w:rFonts w:ascii="仿宋_GB2312" w:hAnsi="仿宋_GB2312" w:eastAsia="仿宋_GB2312" w:cs="仿宋_GB2312"/>
          <w:sz w:val="32"/>
          <w:szCs w:val="32"/>
        </w:rPr>
      </w:pPr>
    </w:p>
    <w:p>
      <w:pPr>
        <w:spacing w:line="220" w:lineRule="atLeast"/>
        <w:ind w:firstLine="602" w:firstLineChars="200"/>
        <w:jc w:val="center"/>
        <w:rPr>
          <w:rFonts w:ascii="仿宋" w:hAnsi="仿宋" w:eastAsia="仿宋" w:cs="仿宋"/>
          <w:b/>
          <w:sz w:val="30"/>
          <w:szCs w:val="30"/>
        </w:rPr>
      </w:pPr>
      <w:r>
        <w:rPr>
          <w:rFonts w:hint="eastAsia" w:ascii="仿宋" w:hAnsi="仿宋" w:eastAsia="仿宋" w:cs="仿宋"/>
          <w:b/>
          <w:sz w:val="30"/>
          <w:szCs w:val="30"/>
        </w:rPr>
        <w:t>第三部分专业名词解释</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附属单位缴款：指事业单位附属的独立核算单位按有关规定上缴的收入。</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其他收入：指除上述“财政拨款收入”、“事业收入”、“经营收入”、“附属单位缴款”等之外取得的收入。</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本单位支出功能分类说明。</w:t>
      </w:r>
      <w:r>
        <w:rPr>
          <w:rFonts w:ascii="仿宋_GB2312" w:hAnsi="仿宋_GB2312" w:eastAsia="仿宋_GB2312" w:cs="仿宋_GB2312"/>
          <w:sz w:val="32"/>
          <w:szCs w:val="32"/>
        </w:rPr>
        <w:t>201</w:t>
      </w:r>
      <w:r>
        <w:rPr>
          <w:rFonts w:hint="eastAsia" w:ascii="仿宋_GB2312" w:hAnsi="仿宋_GB2312" w:eastAsia="仿宋_GB2312" w:cs="仿宋_GB2312"/>
          <w:sz w:val="32"/>
          <w:szCs w:val="32"/>
        </w:rPr>
        <w:t>一般公共服务支出（类）</w:t>
      </w:r>
      <w:r>
        <w:rPr>
          <w:rFonts w:ascii="仿宋_GB2312" w:hAnsi="仿宋_GB2312" w:eastAsia="仿宋_GB2312" w:cs="仿宋_GB2312"/>
          <w:sz w:val="32"/>
          <w:szCs w:val="32"/>
        </w:rPr>
        <w:t>20132</w:t>
      </w:r>
      <w:r>
        <w:rPr>
          <w:rFonts w:hint="eastAsia" w:ascii="仿宋_GB2312" w:hAnsi="仿宋_GB2312" w:eastAsia="仿宋_GB2312" w:cs="仿宋_GB2312"/>
          <w:sz w:val="32"/>
          <w:szCs w:val="32"/>
        </w:rPr>
        <w:t>组织事务（款）</w:t>
      </w:r>
      <w:r>
        <w:rPr>
          <w:rFonts w:ascii="仿宋_GB2312" w:hAnsi="仿宋_GB2312" w:eastAsia="仿宋_GB2312" w:cs="仿宋_GB2312"/>
          <w:sz w:val="32"/>
          <w:szCs w:val="32"/>
        </w:rPr>
        <w:t>2013201</w:t>
      </w:r>
      <w:r>
        <w:rPr>
          <w:rFonts w:hint="eastAsia" w:ascii="仿宋_GB2312" w:hAnsi="仿宋_GB2312" w:eastAsia="仿宋_GB2312" w:cs="仿宋_GB2312"/>
          <w:sz w:val="32"/>
          <w:szCs w:val="32"/>
        </w:rPr>
        <w:t>行政运行，</w:t>
      </w:r>
      <w:r>
        <w:rPr>
          <w:rFonts w:ascii="仿宋_GB2312" w:hAnsi="仿宋_GB2312" w:eastAsia="仿宋_GB2312" w:cs="仿宋_GB2312"/>
          <w:sz w:val="32"/>
          <w:szCs w:val="32"/>
        </w:rPr>
        <w:t>2080505</w:t>
      </w:r>
      <w:r>
        <w:rPr>
          <w:rFonts w:hint="eastAsia" w:ascii="仿宋_GB2312" w:hAnsi="仿宋_GB2312" w:eastAsia="仿宋_GB2312" w:cs="仿宋_GB2312"/>
          <w:sz w:val="32"/>
          <w:szCs w:val="32"/>
        </w:rPr>
        <w:t>机关事业单位基本养老保险缴费支出（项）</w:t>
      </w:r>
    </w:p>
    <w:p>
      <w:pPr>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其他有关说明内容。</w:t>
      </w:r>
    </w:p>
    <w:p>
      <w:pPr>
        <w:spacing w:after="0" w:line="560" w:lineRule="exact"/>
        <w:ind w:firstLine="640" w:firstLineChars="200"/>
        <w:rPr>
          <w:rFonts w:ascii="仿宋_GB2312" w:hAnsi="仿宋_GB2312" w:eastAsia="仿宋_GB2312" w:cs="仿宋_GB2312"/>
          <w:sz w:val="32"/>
          <w:szCs w:val="32"/>
        </w:rPr>
      </w:pPr>
    </w:p>
    <w:p>
      <w:pPr>
        <w:spacing w:after="0" w:line="560" w:lineRule="exact"/>
        <w:ind w:firstLine="640" w:firstLineChars="200"/>
        <w:rPr>
          <w:rFonts w:ascii="仿宋_GB2312" w:hAnsi="仿宋_GB2312" w:eastAsia="仿宋_GB2312" w:cs="仿宋_GB2312"/>
          <w:sz w:val="32"/>
          <w:szCs w:val="32"/>
        </w:rPr>
      </w:pPr>
    </w:p>
    <w:p>
      <w:pPr>
        <w:spacing w:line="220" w:lineRule="atLeast"/>
        <w:ind w:firstLine="602" w:firstLineChars="200"/>
        <w:jc w:val="center"/>
        <w:rPr>
          <w:rFonts w:ascii="仿宋" w:hAnsi="仿宋" w:eastAsia="仿宋" w:cs="仿宋"/>
          <w:b/>
          <w:sz w:val="30"/>
          <w:szCs w:val="30"/>
        </w:rPr>
      </w:pPr>
      <w:r>
        <w:rPr>
          <w:rFonts w:hint="eastAsia" w:ascii="仿宋" w:hAnsi="仿宋" w:eastAsia="仿宋" w:cs="仿宋"/>
          <w:b/>
          <w:sz w:val="30"/>
          <w:szCs w:val="30"/>
        </w:rPr>
        <w:t>第四部分部门决算报表（见附表）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spacing w:after="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三十、《</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年度一般公共预算“三公”经费支出情况表》</w:t>
      </w:r>
    </w:p>
    <w:sectPr>
      <w:footerReference r:id="rId3" w:type="default"/>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3"/>
                </w:pP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PAGE  \* MERGEFORMAT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1</w:t>
                </w:r>
                <w:r>
                  <w:rPr>
                    <w:rFonts w:ascii="仿宋_GB2312" w:hAnsi="仿宋_GB2312" w:eastAsia="仿宋_GB2312" w:cs="仿宋_GB2312"/>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7240"/>
    <w:rsid w:val="000828D5"/>
    <w:rsid w:val="000908BF"/>
    <w:rsid w:val="000A052B"/>
    <w:rsid w:val="000C6CCB"/>
    <w:rsid w:val="000D0E5B"/>
    <w:rsid w:val="000E02FA"/>
    <w:rsid w:val="000E38CC"/>
    <w:rsid w:val="000F5C24"/>
    <w:rsid w:val="0010769C"/>
    <w:rsid w:val="0011222F"/>
    <w:rsid w:val="001178D3"/>
    <w:rsid w:val="00117B8E"/>
    <w:rsid w:val="00120F83"/>
    <w:rsid w:val="00124956"/>
    <w:rsid w:val="00185A59"/>
    <w:rsid w:val="001A100E"/>
    <w:rsid w:val="001A2415"/>
    <w:rsid w:val="001B632F"/>
    <w:rsid w:val="001C2E65"/>
    <w:rsid w:val="001C7C6D"/>
    <w:rsid w:val="00215CF4"/>
    <w:rsid w:val="0023560C"/>
    <w:rsid w:val="0023572E"/>
    <w:rsid w:val="00262593"/>
    <w:rsid w:val="002C030E"/>
    <w:rsid w:val="002C1AC4"/>
    <w:rsid w:val="002F36C7"/>
    <w:rsid w:val="00317321"/>
    <w:rsid w:val="003201C8"/>
    <w:rsid w:val="003B6905"/>
    <w:rsid w:val="0040469C"/>
    <w:rsid w:val="00404929"/>
    <w:rsid w:val="00407608"/>
    <w:rsid w:val="0041757F"/>
    <w:rsid w:val="004229A0"/>
    <w:rsid w:val="0044054A"/>
    <w:rsid w:val="00442A8F"/>
    <w:rsid w:val="00442BBD"/>
    <w:rsid w:val="00453B6F"/>
    <w:rsid w:val="00465E1E"/>
    <w:rsid w:val="00472A92"/>
    <w:rsid w:val="00475115"/>
    <w:rsid w:val="004E11BC"/>
    <w:rsid w:val="004F0E8A"/>
    <w:rsid w:val="00561B6E"/>
    <w:rsid w:val="0057061A"/>
    <w:rsid w:val="005924F0"/>
    <w:rsid w:val="005A6966"/>
    <w:rsid w:val="005B0DE2"/>
    <w:rsid w:val="005C1BCD"/>
    <w:rsid w:val="005D637A"/>
    <w:rsid w:val="005F0E36"/>
    <w:rsid w:val="005F21F0"/>
    <w:rsid w:val="005F7240"/>
    <w:rsid w:val="006058FD"/>
    <w:rsid w:val="006127BC"/>
    <w:rsid w:val="00621109"/>
    <w:rsid w:val="00621B2F"/>
    <w:rsid w:val="0062359F"/>
    <w:rsid w:val="0063241F"/>
    <w:rsid w:val="00642787"/>
    <w:rsid w:val="00646EEF"/>
    <w:rsid w:val="00657AC1"/>
    <w:rsid w:val="006659A7"/>
    <w:rsid w:val="006D7B5F"/>
    <w:rsid w:val="00732C5D"/>
    <w:rsid w:val="0073594C"/>
    <w:rsid w:val="007415CA"/>
    <w:rsid w:val="007603E0"/>
    <w:rsid w:val="00772288"/>
    <w:rsid w:val="00797498"/>
    <w:rsid w:val="007A28B6"/>
    <w:rsid w:val="008278F2"/>
    <w:rsid w:val="00835497"/>
    <w:rsid w:val="00844BF5"/>
    <w:rsid w:val="0088086F"/>
    <w:rsid w:val="008D3963"/>
    <w:rsid w:val="008F657E"/>
    <w:rsid w:val="00911F00"/>
    <w:rsid w:val="0094625D"/>
    <w:rsid w:val="009B4D1B"/>
    <w:rsid w:val="009B7CEF"/>
    <w:rsid w:val="009C3FD1"/>
    <w:rsid w:val="009F2137"/>
    <w:rsid w:val="00A06553"/>
    <w:rsid w:val="00A07488"/>
    <w:rsid w:val="00A11037"/>
    <w:rsid w:val="00A17735"/>
    <w:rsid w:val="00A30DD6"/>
    <w:rsid w:val="00A53941"/>
    <w:rsid w:val="00A640FE"/>
    <w:rsid w:val="00A73948"/>
    <w:rsid w:val="00A93702"/>
    <w:rsid w:val="00AA4A41"/>
    <w:rsid w:val="00AA6BEA"/>
    <w:rsid w:val="00B178D3"/>
    <w:rsid w:val="00B231E1"/>
    <w:rsid w:val="00B4643F"/>
    <w:rsid w:val="00B7601F"/>
    <w:rsid w:val="00B94246"/>
    <w:rsid w:val="00BB609A"/>
    <w:rsid w:val="00BC61F7"/>
    <w:rsid w:val="00C15994"/>
    <w:rsid w:val="00C80CE9"/>
    <w:rsid w:val="00C83EC0"/>
    <w:rsid w:val="00CD2411"/>
    <w:rsid w:val="00D13FC1"/>
    <w:rsid w:val="00D2523E"/>
    <w:rsid w:val="00DE0664"/>
    <w:rsid w:val="00DF6DF4"/>
    <w:rsid w:val="00DF75C6"/>
    <w:rsid w:val="00E61534"/>
    <w:rsid w:val="00E63B20"/>
    <w:rsid w:val="00E80332"/>
    <w:rsid w:val="00E80DAC"/>
    <w:rsid w:val="00E85CEE"/>
    <w:rsid w:val="00EA050B"/>
    <w:rsid w:val="00EB3F09"/>
    <w:rsid w:val="00EB5523"/>
    <w:rsid w:val="00F04759"/>
    <w:rsid w:val="00F5593C"/>
    <w:rsid w:val="00F765EC"/>
    <w:rsid w:val="00F960B3"/>
    <w:rsid w:val="00FD7172"/>
    <w:rsid w:val="00FE1FCA"/>
    <w:rsid w:val="00FE2B8B"/>
    <w:rsid w:val="1E856DEB"/>
    <w:rsid w:val="24E06863"/>
    <w:rsid w:val="3622548B"/>
    <w:rsid w:val="4104007B"/>
    <w:rsid w:val="4DD2149A"/>
    <w:rsid w:val="5A725679"/>
    <w:rsid w:val="62074094"/>
    <w:rsid w:val="676D5772"/>
    <w:rsid w:val="730D4FB2"/>
    <w:rsid w:val="74411308"/>
    <w:rsid w:val="7B5C18D8"/>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style>
  <w:style w:type="paragraph" w:styleId="3">
    <w:name w:val="footer"/>
    <w:basedOn w:val="1"/>
    <w:link w:val="11"/>
    <w:semiHidden/>
    <w:qFormat/>
    <w:uiPriority w:val="99"/>
    <w:pPr>
      <w:tabs>
        <w:tab w:val="center" w:pos="4153"/>
        <w:tab w:val="right" w:pos="8306"/>
      </w:tabs>
    </w:pPr>
    <w:rPr>
      <w:sz w:val="18"/>
      <w:szCs w:val="18"/>
    </w:rPr>
  </w:style>
  <w:style w:type="paragraph" w:styleId="4">
    <w:name w:val="header"/>
    <w:basedOn w:val="1"/>
    <w:link w:val="12"/>
    <w:semiHidden/>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qFormat/>
    <w:uiPriority w:val="99"/>
    <w:pPr>
      <w:adjustRightInd/>
      <w:snapToGrid/>
      <w:spacing w:before="100" w:beforeAutospacing="1" w:after="100" w:afterAutospacing="1"/>
    </w:pPr>
    <w:rPr>
      <w:rFonts w:ascii="宋体" w:hAnsi="宋体" w:eastAsia="宋体" w:cs="宋体"/>
      <w:sz w:val="24"/>
      <w:szCs w:val="24"/>
    </w:rPr>
  </w:style>
  <w:style w:type="character" w:styleId="7">
    <w:name w:val="Hyperlink"/>
    <w:basedOn w:val="6"/>
    <w:semiHidden/>
    <w:qFormat/>
    <w:uiPriority w:val="99"/>
    <w:rPr>
      <w:rFonts w:cs="Times New Roman"/>
      <w:color w:val="136EC2"/>
      <w:u w:val="none"/>
    </w:rPr>
  </w:style>
  <w:style w:type="table" w:styleId="9">
    <w:name w:val="Table Grid"/>
    <w:basedOn w:val="8"/>
    <w:uiPriority w:val="9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批注文字 Char"/>
    <w:basedOn w:val="6"/>
    <w:link w:val="2"/>
    <w:semiHidden/>
    <w:uiPriority w:val="99"/>
    <w:rPr>
      <w:rFonts w:ascii="Tahoma" w:hAnsi="Tahoma" w:eastAsia="微软雅黑" w:cs="Times New Roman"/>
      <w:kern w:val="0"/>
      <w:sz w:val="22"/>
    </w:rPr>
  </w:style>
  <w:style w:type="character" w:customStyle="1" w:styleId="11">
    <w:name w:val="页脚 Char"/>
    <w:basedOn w:val="6"/>
    <w:link w:val="3"/>
    <w:semiHidden/>
    <w:qFormat/>
    <w:locked/>
    <w:uiPriority w:val="99"/>
    <w:rPr>
      <w:rFonts w:ascii="Tahoma" w:hAnsi="Tahoma" w:eastAsia="微软雅黑" w:cs="Times New Roman"/>
      <w:kern w:val="0"/>
      <w:sz w:val="18"/>
      <w:szCs w:val="18"/>
    </w:rPr>
  </w:style>
  <w:style w:type="character" w:customStyle="1" w:styleId="12">
    <w:name w:val="页眉 Char"/>
    <w:basedOn w:val="6"/>
    <w:link w:val="4"/>
    <w:semiHidden/>
    <w:qFormat/>
    <w:locked/>
    <w:uiPriority w:val="99"/>
    <w:rPr>
      <w:rFonts w:ascii="Tahoma" w:hAnsi="Tahoma" w:eastAsia="微软雅黑" w:cs="Times New Roman"/>
      <w:kern w:val="0"/>
      <w:sz w:val="18"/>
      <w:szCs w:val="18"/>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16</Pages>
  <Words>1172</Words>
  <Characters>6681</Characters>
  <Lines>55</Lines>
  <Paragraphs>15</Paragraphs>
  <TotalTime>1</TotalTime>
  <ScaleCrop>false</ScaleCrop>
  <LinksUpToDate>false</LinksUpToDate>
  <CharactersWithSpaces>7838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cp:lastPrinted>2018-08-21T03:47:00Z</cp:lastPrinted>
  <dcterms:modified xsi:type="dcterms:W3CDTF">2018-12-22T09:37:20Z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