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line="520" w:lineRule="exact"/>
        <w:rPr>
          <w:rFonts w:ascii="仿宋" w:hAnsi="仿宋" w:eastAsia="仿宋" w:cs="仿宋"/>
          <w:sz w:val="36"/>
          <w:szCs w:val="36"/>
        </w:rPr>
      </w:pPr>
      <w:r>
        <w:rPr>
          <w:rFonts w:hint="eastAsia" w:ascii="仿宋" w:hAnsi="仿宋" w:eastAsia="仿宋" w:cs="仿宋"/>
          <w:sz w:val="36"/>
          <w:szCs w:val="36"/>
        </w:rPr>
        <w:t>2017年度玛纳斯县政协办公室部门决算公开说明</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lang w:val="en-US" w:eastAsia="zh-CN"/>
        </w:rPr>
        <w:t xml:space="preserve">第一部分 玛纳斯县政协单位概况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《2017年度一般公共预算“三公”经费支出情况表》 </w:t>
      </w:r>
    </w:p>
    <w:p>
      <w:pPr>
        <w:spacing w:line="220" w:lineRule="atLeast"/>
        <w:ind w:firstLine="600" w:firstLineChars="200"/>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numPr>
          <w:ilvl w:val="0"/>
          <w:numId w:val="1"/>
        </w:num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部门单位基本情况</w:t>
      </w:r>
      <w:r>
        <w:rPr>
          <w:rFonts w:hint="eastAsia" w:ascii="仿宋" w:hAnsi="仿宋" w:eastAsia="仿宋" w:cs="仿宋"/>
          <w:sz w:val="30"/>
          <w:szCs w:val="30"/>
          <w:lang w:eastAsia="zh-CN"/>
        </w:rPr>
        <w:t>：</w:t>
      </w:r>
    </w:p>
    <w:p>
      <w:pPr>
        <w:pStyle w:val="4"/>
        <w:keepNext w:val="0"/>
        <w:keepLines w:val="0"/>
        <w:widowControl/>
        <w:suppressLineNumbers w:val="0"/>
        <w:spacing w:line="560" w:lineRule="exact"/>
        <w:ind w:left="0" w:firstLine="300" w:firstLineChars="100"/>
        <w:rPr>
          <w:rFonts w:hint="eastAsia" w:ascii="仿宋" w:hAnsi="仿宋" w:eastAsia="仿宋" w:cs="仿宋"/>
          <w:snapToGrid/>
          <w:kern w:val="0"/>
          <w:sz w:val="30"/>
          <w:szCs w:val="30"/>
          <w:lang w:val="en-US" w:eastAsia="zh-CN" w:bidi="ar-SA"/>
        </w:rPr>
      </w:pPr>
      <w:r>
        <w:rPr>
          <w:rFonts w:hint="eastAsia" w:ascii="仿宋" w:hAnsi="仿宋" w:eastAsia="仿宋" w:cs="仿宋"/>
          <w:snapToGrid/>
          <w:kern w:val="0"/>
          <w:sz w:val="30"/>
          <w:szCs w:val="30"/>
          <w:lang w:val="en-US" w:eastAsia="zh-CN" w:bidi="ar-SA"/>
        </w:rPr>
        <w:t>（一） 主要职能：</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部门职能：政治协商、民主监督、参政议政。</w:t>
      </w:r>
    </w:p>
    <w:p>
      <w:pPr>
        <w:pStyle w:val="4"/>
        <w:keepNext w:val="0"/>
        <w:keepLines w:val="0"/>
        <w:widowControl/>
        <w:suppressLineNumbers w:val="0"/>
        <w:spacing w:line="448" w:lineRule="atLeast"/>
        <w:rPr>
          <w:rFonts w:hint="eastAsia" w:ascii="仿宋" w:hAnsi="仿宋" w:eastAsia="仿宋" w:cs="仿宋"/>
          <w:snapToGrid/>
          <w:kern w:val="0"/>
          <w:sz w:val="30"/>
          <w:szCs w:val="30"/>
          <w:lang w:val="en-US" w:eastAsia="zh-CN" w:bidi="ar-SA"/>
        </w:rPr>
      </w:pPr>
      <w:r>
        <w:rPr>
          <w:rFonts w:hint="eastAsia" w:ascii="仿宋" w:hAnsi="仿宋" w:eastAsia="仿宋" w:cs="仿宋"/>
          <w:snapToGrid/>
          <w:kern w:val="0"/>
          <w:sz w:val="30"/>
          <w:szCs w:val="30"/>
          <w:lang w:val="en-US" w:eastAsia="zh-CN" w:bidi="ar-SA"/>
        </w:rPr>
        <w:t xml:space="preserve">  （二） 机构设置情况、年末编制情况、实有人数情况</w:t>
      </w:r>
    </w:p>
    <w:p>
      <w:pPr>
        <w:pStyle w:val="4"/>
        <w:keepNext w:val="0"/>
        <w:keepLines w:val="0"/>
        <w:widowControl/>
        <w:suppressLineNumbers w:val="0"/>
        <w:spacing w:line="448" w:lineRule="atLeast"/>
        <w:ind w:left="0" w:firstLine="472"/>
        <w:rPr>
          <w:rFonts w:hint="eastAsia" w:ascii="仿宋" w:hAnsi="仿宋" w:eastAsia="仿宋" w:cs="仿宋"/>
          <w:snapToGrid/>
          <w:kern w:val="0"/>
          <w:sz w:val="30"/>
          <w:szCs w:val="30"/>
          <w:lang w:val="en-US" w:eastAsia="zh-CN" w:bidi="ar-SA"/>
        </w:rPr>
      </w:pPr>
      <w:r>
        <w:rPr>
          <w:rFonts w:hint="eastAsia" w:ascii="仿宋" w:hAnsi="仿宋" w:eastAsia="仿宋" w:cs="仿宋"/>
          <w:snapToGrid/>
          <w:kern w:val="0"/>
          <w:sz w:val="30"/>
          <w:szCs w:val="30"/>
          <w:lang w:val="en-US" w:eastAsia="zh-CN" w:bidi="ar-SA"/>
        </w:rPr>
        <w:t xml:space="preserve">1、机构情况：玛纳斯县财政局独立核算机构1个，独立编制机构。2017年独立核算机构、独立编制单位与上年相比没有变化。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2、人员情况：</w:t>
      </w:r>
      <w:r>
        <w:rPr>
          <w:rFonts w:hint="eastAsia" w:ascii="仿宋" w:hAnsi="仿宋" w:eastAsia="仿宋" w:cs="仿宋"/>
          <w:sz w:val="30"/>
          <w:szCs w:val="30"/>
        </w:rPr>
        <w:t>2017年年末编制数12人，实有人数19人，其中：机关人员14人， 工勤人员3人，事业编1人，遗属人员1人。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从决算单位构成看，玛纳斯县政协部门决算仅包括：玛纳斯县政协部门本级决算。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 xml:space="preserve">纳入玛纳斯县政协2017年部门决算编制范围的单位名单见下表： </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序号</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单位名称</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1</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玛纳斯县政协本级</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单户</w:t>
            </w:r>
          </w:p>
        </w:tc>
      </w:tr>
    </w:tbl>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2017年度收入295.96万元,与上年相比，减少110.85万元，降低27.28%，支出295.56万元,与上年相比，减少122.95万元，降低29.38%，结余0万元。 增减变化的主要原因是：2016年全年，玛纳斯县政协召开了2次全会、1次换届会，而2017年没有召开大型会议，加上2017年财政局收回预算指标8.48万元导致。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w:t>
      </w:r>
      <w:r>
        <w:rPr>
          <w:rFonts w:hint="eastAsia" w:ascii="仿宋" w:hAnsi="仿宋" w:eastAsia="仿宋" w:cs="仿宋"/>
          <w:sz w:val="30"/>
          <w:szCs w:val="30"/>
        </w:rPr>
        <w:t>2017年预算收入304.04万元，支出304.04万元，增减变化的主要原因是：人员变动，导致人员经费减少。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本年收入合计295.56万元，其中：财政拨款收入295.56万元，占100%。上级补助收入0元，占0%；事业收入0万元，占0%；经营收入0万元，占0%；附属单位缴款0万元，占0%；其他收入0万元，占0%。 增减变化的主要原因是：2016年全年，玛纳斯县政协召开了2次全会、1次换届会，而2017年没有召开大型会议，加上2017年财政局收回预算指标8.48万元导致。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w:t>
      </w:r>
      <w:r>
        <w:rPr>
          <w:rFonts w:hint="eastAsia" w:ascii="仿宋" w:hAnsi="仿宋" w:eastAsia="仿宋" w:cs="仿宋"/>
          <w:sz w:val="30"/>
          <w:szCs w:val="30"/>
        </w:rPr>
        <w:t>2017年预算收入304.04万元，其中：财政拨款收入304.04万元，占100%。 增减变化的主要原因是：人员变动，导致人员经费减少。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295.56万元，全部为基本支出295.56万元，占总支出的100%。项目支出0万元，占0%；上缴上级支出0万元，占0%；经营支出0万元，占0%；对附属单位补助支出0万元，占0%。增减变化的主要原因是：2016年全年，玛纳斯县政协召开了2次全会、1次换届会，而2017年没有召开大型会议，加上2017年财政局收回预算指标8.48万元导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w:t>
      </w:r>
      <w:r>
        <w:rPr>
          <w:rFonts w:hint="eastAsia" w:ascii="仿宋" w:hAnsi="仿宋" w:eastAsia="仿宋" w:cs="仿宋"/>
          <w:sz w:val="30"/>
          <w:szCs w:val="30"/>
          <w:lang w:eastAsia="zh-CN"/>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2017年预算支出304.04万元，其中：基本支出304.04万元，占100%。增减变化的主要原因是：人员变动，导致人员经费减少。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财政拨款收入295.56万元，与上年相比，减少110.85万元，降低27.28%。增减变化的主要原因是：2016年全年，玛纳斯县政协召开了2次全会、1次换届会，而2017年没有召开大型会议，加上2017年财政局收回预算指标8.48万元导致。</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财政拨款支出295.56万元，与上年相比，减少122.95万元，降低29.38%。全部为基本支出295.56万元。增减变化的主要原因是：2016年全年，玛纳斯县政协召开了2次全会、1次换届会，而2017年没有召开大型会议，加上2017年财政局收回预算指标8.48万元导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财政拨款结转结余0万元，与上年相比，增加,0万元，增长0%。增减变化的主要原因是：严格按照财政预算执行。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2017年预算支出304.04万元，其中：基本支出304.04万元，占100%。增减变化的主要原因是：人员变动，导致人员经费减少。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其他有关说明内容。 无</w:t>
      </w:r>
    </w:p>
    <w:p>
      <w:pPr>
        <w:spacing w:after="0" w:line="520" w:lineRule="exact"/>
        <w:rPr>
          <w:rFonts w:ascii="仿宋" w:hAnsi="仿宋" w:eastAsia="仿宋" w:cs="仿宋"/>
          <w:sz w:val="30"/>
          <w:szCs w:val="30"/>
        </w:rPr>
      </w:pPr>
      <w:r>
        <w:rPr>
          <w:rFonts w:hint="eastAsia" w:ascii="仿宋" w:hAnsi="仿宋" w:eastAsia="仿宋" w:cs="仿宋"/>
          <w:sz w:val="30"/>
          <w:szCs w:val="30"/>
        </w:rPr>
        <w:t xml:space="preserve"> （二）一般公共预算支出决算情况说明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一般公共预算财政拨款支出295.56万元。与上年相比，减少122.95万元，降低29.38%。增减变化的主要原因是：2016年全年，玛纳斯县政协召开了2次全会、1次换届会，而2017年没有召开大型会议，加上2017年财政局收回预算指标8.48万元导致。其中：按功能分类科目</w:t>
      </w:r>
      <w:r>
        <w:rPr>
          <w:rFonts w:hint="eastAsia" w:ascii="仿宋" w:hAnsi="仿宋" w:eastAsia="仿宋" w:cs="仿宋"/>
          <w:sz w:val="30"/>
          <w:szCs w:val="30"/>
          <w:lang w:eastAsia="zh-CN"/>
        </w:rPr>
        <w:t>：一般公共服务支出（</w:t>
      </w:r>
      <w:r>
        <w:rPr>
          <w:rFonts w:hint="eastAsia" w:ascii="仿宋" w:hAnsi="仿宋" w:eastAsia="仿宋" w:cs="仿宋"/>
          <w:sz w:val="30"/>
          <w:szCs w:val="30"/>
        </w:rPr>
        <w:t>2010201政协行政运行支出</w:t>
      </w:r>
      <w:r>
        <w:rPr>
          <w:rFonts w:hint="eastAsia" w:ascii="仿宋" w:hAnsi="仿宋" w:eastAsia="仿宋" w:cs="仿宋"/>
          <w:sz w:val="30"/>
          <w:szCs w:val="30"/>
          <w:lang w:eastAsia="zh-CN"/>
        </w:rPr>
        <w:t>）</w:t>
      </w:r>
      <w:r>
        <w:rPr>
          <w:rFonts w:hint="eastAsia" w:ascii="仿宋" w:hAnsi="仿宋" w:eastAsia="仿宋" w:cs="仿宋"/>
          <w:sz w:val="30"/>
          <w:szCs w:val="30"/>
        </w:rPr>
        <w:t>266.49万元</w:t>
      </w:r>
      <w:r>
        <w:rPr>
          <w:rFonts w:hint="eastAsia" w:ascii="仿宋" w:hAnsi="仿宋" w:eastAsia="仿宋" w:cs="仿宋"/>
          <w:sz w:val="30"/>
          <w:szCs w:val="30"/>
          <w:lang w:eastAsia="zh-CN"/>
        </w:rPr>
        <w:t>；</w:t>
      </w:r>
      <w:r>
        <w:rPr>
          <w:rFonts w:hint="eastAsia" w:ascii="仿宋" w:hAnsi="仿宋" w:eastAsia="仿宋" w:cs="仿宋"/>
          <w:sz w:val="30"/>
          <w:szCs w:val="30"/>
        </w:rPr>
        <w:t>社会保障和就业支出</w:t>
      </w:r>
      <w:r>
        <w:rPr>
          <w:rFonts w:hint="eastAsia" w:ascii="仿宋" w:hAnsi="仿宋" w:eastAsia="仿宋" w:cs="仿宋"/>
          <w:sz w:val="30"/>
          <w:szCs w:val="30"/>
          <w:lang w:eastAsia="zh-CN"/>
        </w:rPr>
        <w:t>（</w:t>
      </w:r>
      <w:r>
        <w:rPr>
          <w:rFonts w:hint="eastAsia" w:ascii="仿宋" w:hAnsi="仿宋" w:eastAsia="仿宋" w:cs="仿宋"/>
          <w:sz w:val="30"/>
          <w:szCs w:val="30"/>
        </w:rPr>
        <w:t>2080505机关事业单位基本养老保险支出</w:t>
      </w:r>
      <w:r>
        <w:rPr>
          <w:rFonts w:hint="eastAsia" w:ascii="仿宋" w:hAnsi="仿宋" w:eastAsia="仿宋" w:cs="仿宋"/>
          <w:sz w:val="30"/>
          <w:szCs w:val="30"/>
          <w:lang w:eastAsia="zh-CN"/>
        </w:rPr>
        <w:t>）</w:t>
      </w:r>
      <w:r>
        <w:rPr>
          <w:rFonts w:hint="eastAsia" w:ascii="仿宋" w:hAnsi="仿宋" w:eastAsia="仿宋" w:cs="仿宋"/>
          <w:sz w:val="30"/>
          <w:szCs w:val="30"/>
        </w:rPr>
        <w:t xml:space="preserve">29.07万元。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按经济分类科目</w:t>
      </w:r>
      <w:r>
        <w:rPr>
          <w:rFonts w:hint="eastAsia" w:ascii="仿宋" w:hAnsi="仿宋" w:eastAsia="仿宋" w:cs="仿宋"/>
          <w:sz w:val="30"/>
          <w:szCs w:val="30"/>
          <w:lang w:eastAsia="zh-CN"/>
        </w:rPr>
        <w:t>：</w:t>
      </w:r>
      <w:r>
        <w:rPr>
          <w:rFonts w:hint="eastAsia" w:ascii="仿宋" w:hAnsi="仿宋" w:eastAsia="仿宋" w:cs="仿宋"/>
          <w:sz w:val="30"/>
          <w:szCs w:val="30"/>
        </w:rPr>
        <w:t xml:space="preserve"> 工资福利支出</w:t>
      </w:r>
      <w:r>
        <w:rPr>
          <w:rFonts w:hint="eastAsia" w:ascii="仿宋" w:hAnsi="仿宋" w:eastAsia="仿宋" w:cs="仿宋"/>
          <w:sz w:val="30"/>
          <w:szCs w:val="30"/>
          <w:lang w:val="en-US" w:eastAsia="zh-CN"/>
        </w:rPr>
        <w:t>237.78</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rPr>
        <w:t>商品和服务支出</w:t>
      </w:r>
      <w:r>
        <w:rPr>
          <w:rFonts w:hint="eastAsia" w:ascii="仿宋" w:hAnsi="仿宋" w:eastAsia="仿宋" w:cs="仿宋"/>
          <w:sz w:val="30"/>
          <w:szCs w:val="30"/>
          <w:lang w:val="en-US" w:eastAsia="zh-CN"/>
        </w:rPr>
        <w:t>31.5</w:t>
      </w:r>
      <w:r>
        <w:rPr>
          <w:rFonts w:hint="eastAsia" w:ascii="仿宋" w:hAnsi="仿宋" w:eastAsia="仿宋" w:cs="仿宋"/>
          <w:sz w:val="30"/>
          <w:szCs w:val="30"/>
        </w:rPr>
        <w:t>万元</w:t>
      </w:r>
      <w:r>
        <w:rPr>
          <w:rFonts w:hint="eastAsia" w:ascii="仿宋" w:hAnsi="仿宋" w:eastAsia="仿宋" w:cs="仿宋"/>
          <w:sz w:val="30"/>
          <w:szCs w:val="30"/>
          <w:lang w:eastAsia="zh-CN"/>
        </w:rPr>
        <w:t>，对个人和家庭的补助</w:t>
      </w:r>
      <w:r>
        <w:rPr>
          <w:rFonts w:hint="eastAsia" w:ascii="仿宋" w:hAnsi="仿宋" w:eastAsia="仿宋" w:cs="仿宋"/>
          <w:sz w:val="30"/>
          <w:szCs w:val="30"/>
          <w:lang w:val="en-US" w:eastAsia="zh-CN"/>
        </w:rPr>
        <w:t>26.23万元</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numPr>
          <w:ilvl w:val="0"/>
          <w:numId w:val="2"/>
        </w:num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政府性基金预算收支决算情况说明     </w:t>
      </w:r>
    </w:p>
    <w:p>
      <w:pPr>
        <w:spacing w:after="0" w:line="520" w:lineRule="exact"/>
        <w:ind w:firstLine="600" w:firstLineChars="200"/>
        <w:rPr>
          <w:rFonts w:hint="eastAsia" w:ascii="仿宋" w:hAnsi="仿宋" w:eastAsia="仿宋" w:cs="仿宋"/>
          <w:sz w:val="30"/>
          <w:szCs w:val="30"/>
          <w:lang w:val="en-US"/>
        </w:rPr>
      </w:pPr>
      <w:r>
        <w:rPr>
          <w:rFonts w:hint="eastAsia" w:ascii="仿宋" w:hAnsi="仿宋" w:eastAsia="仿宋" w:cs="仿宋"/>
          <w:sz w:val="30"/>
          <w:szCs w:val="30"/>
        </w:rPr>
        <w:t>2017年度政府性基金预算财政拨款收入0万元，与上年相比，增加0万元，增长0%。增减变化的主要原因是：年初无预算安排。政府性基金预算财政拨款支出0万元，与上年相比，增加0万元，增长0%。</w:t>
      </w:r>
      <w:r>
        <w:rPr>
          <w:rFonts w:hint="eastAsia" w:ascii="仿宋" w:hAnsi="仿宋" w:eastAsia="仿宋" w:cs="仿宋"/>
          <w:sz w:val="30"/>
          <w:szCs w:val="30"/>
          <w:lang w:val="en-US" w:eastAsia="zh-CN"/>
        </w:rPr>
        <w:t xml:space="preserve">增减变化的主要原因是：严格执行预算。 </w:t>
      </w:r>
    </w:p>
    <w:p>
      <w:pPr>
        <w:numPr>
          <w:ilvl w:val="0"/>
          <w:numId w:val="2"/>
        </w:num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2017年度政府性基金预算支出0万元。与上年相比，增加0万元，增长0%。增减变化的主要原因是：年初无预算安排。其中：按功能分类科目，2010201政协行政运行支出0万元，2080505机关事业单位基本养老保险支出0万元。 按经济分类科目，政协行政运行支出0万元，机关事业单位基本养老支出0万元。</w:t>
      </w:r>
    </w:p>
    <w:p>
      <w:pPr>
        <w:spacing w:after="0" w:line="520" w:lineRule="exact"/>
        <w:ind w:firstLine="600" w:firstLineChars="200"/>
        <w:rPr>
          <w:rFonts w:hint="eastAsia" w:ascii="仿宋" w:hAnsi="仿宋" w:eastAsia="仿宋" w:cs="仿宋"/>
          <w:sz w:val="30"/>
          <w:szCs w:val="30"/>
          <w:lang w:val="en-US"/>
        </w:rPr>
      </w:pPr>
      <w:r>
        <w:rPr>
          <w:rFonts w:hint="eastAsia" w:ascii="仿宋" w:hAnsi="仿宋" w:eastAsia="仿宋" w:cs="仿宋"/>
          <w:sz w:val="30"/>
          <w:szCs w:val="30"/>
          <w:lang w:val="en-US" w:eastAsia="zh-CN"/>
        </w:rPr>
        <w:t xml:space="preserve">与预算相比情况。无 </w:t>
      </w:r>
    </w:p>
    <w:p>
      <w:pPr>
        <w:spacing w:after="0" w:line="520" w:lineRule="exact"/>
        <w:ind w:firstLine="600" w:firstLineChars="200"/>
        <w:rPr>
          <w:rFonts w:hint="eastAsia" w:ascii="仿宋" w:hAnsi="仿宋" w:eastAsia="仿宋" w:cs="仿宋"/>
          <w:sz w:val="30"/>
          <w:szCs w:val="30"/>
          <w:lang w:val="en-US"/>
        </w:rPr>
      </w:pPr>
      <w:r>
        <w:rPr>
          <w:rFonts w:hint="eastAsia" w:ascii="仿宋" w:hAnsi="仿宋" w:eastAsia="仿宋" w:cs="仿宋"/>
          <w:sz w:val="30"/>
          <w:szCs w:val="30"/>
          <w:lang w:val="en-US" w:eastAsia="zh-CN"/>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年末结转结余0万元。与上年相比，增加0万元，增长0%。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其中财政拨款结转结余0万元。与上年相比，增加0元，增长0%。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决算9.69万元，比上年增加0.53万元，增长5.78%，增加的主要原因是2017年，方便政协下乡驻村，临时调配增加了1辆公务用车，导致费用增加。其中，因公出国（境）费支出0万元，占0%，与上年相比没有变化；公务用车购置及运行维护费支出7.4万元，占76.34%，比上年增加0.61万元，增长8.98%，增加上午主要原因是2017年，方便政协下乡驻村，临时调配增加了1辆公务用车，导致公车运行费用增加；公务接待费支出2.29万元，占23.66%，比上年减少0.08万元，降低3.34%，减少的主要原因是玛纳斯县政协严格执行中央八项规定、区州县十项制度，控制接待费规模和范围。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因公出国（境）费支出0 万元。 全年使用一般公共预算财政拨款安排的出国（境）团组0 个，累计 0人次。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公务用车购置及运行维护费7.4万元,全部为公务用车运行维护费7.4万元（新增1辆公务用车为县委临时调配）。主要用于4辆公车加油维护等。2017年，单位一般公共财政拨款安排的公务用车购置量0辆，保有量为3辆。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公务接待费2.29万元。具体是：国内公务接待支出2.29万元，主要是上级政协检查指导工作、外县市政协考察等。本单位国内公务接待28批次，980人次。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三公经费决算数与预算数一致，严格执行预算。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2017年度玛纳斯县政协机关运行经费支出31.5万元，比上年增加12.14万元，增长62.7%，主要原因一是人员增加导致机关运行费用增加，二是机关人员调资及调资引起社保费用增加。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本单位政府采购计划0万元，其中：政府采购货物支出0万元、政府采购工程支出0万元、政府采购服务支出0万元；实际采购0万元，其中：政府采购货物支出0万元、政府采购工程支出0万元、政府采购服务支出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截至2017年12月31日，资产总计77.64万元，其中：流动资产11.94万元，固定资产65.7万元，其中：共有车辆2辆，价值45.98万元，其中：一般公务用车2辆；其他固定资产价值19.72万元。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本单位户口车辆2辆，实际使用4辆，其中1辆属于县委调配给政协领导下乡用车（所有权属于玛纳斯县宏业投资公司） ，另外1辆属于县委</w:t>
      </w:r>
      <w:bookmarkStart w:id="0" w:name="_GoBack"/>
      <w:bookmarkEnd w:id="0"/>
      <w:r>
        <w:rPr>
          <w:rFonts w:hint="eastAsia" w:ascii="仿宋" w:hAnsi="仿宋" w:eastAsia="仿宋" w:cs="仿宋"/>
          <w:sz w:val="30"/>
          <w:szCs w:val="30"/>
        </w:rPr>
        <w:t>工作调配（所有权属于县公安局）。</w:t>
      </w:r>
    </w:p>
    <w:p>
      <w:pPr>
        <w:numPr>
          <w:ilvl w:val="0"/>
          <w:numId w:val="3"/>
        </w:num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截至2017年12月31日，政协资产有偿使用收入合计0万元，资产处置收入合计0万元。其中：已缴国库0万元， 已缴财政专户0万元，应缴未缴0万元，单位留用0万元。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2017年度，本部门单位实行绩效管理的项目0个，涉及预算0万元，项目支出决算0万元。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本单位支出功能分类说明。2010201：指行政运行。2080505：指机关事业单位基本养老保险缴费支出。</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38826532">
    <w:nsid w:val="5BB8A124"/>
    <w:multiLevelType w:val="singleLevel"/>
    <w:tmpl w:val="5BB8A124"/>
    <w:lvl w:ilvl="0" w:tentative="1">
      <w:start w:val="1"/>
      <w:numFmt w:val="chineseCounting"/>
      <w:suff w:val="nothing"/>
      <w:lvlText w:val="%1、"/>
      <w:lvlJc w:val="left"/>
    </w:lvl>
  </w:abstractNum>
  <w:abstractNum w:abstractNumId="2373056455">
    <w:nsid w:val="8D71F7C7"/>
    <w:multiLevelType w:val="singleLevel"/>
    <w:tmpl w:val="8D71F7C7"/>
    <w:lvl w:ilvl="0" w:tentative="1">
      <w:start w:val="2"/>
      <w:numFmt w:val="chineseCounting"/>
      <w:suff w:val="nothing"/>
      <w:lvlText w:val="（%1）"/>
      <w:lvlJc w:val="left"/>
      <w:rPr>
        <w:rFonts w:hint="eastAsia"/>
      </w:rPr>
    </w:lvl>
  </w:abstractNum>
  <w:abstractNum w:abstractNumId="1235379241">
    <w:nsid w:val="49A26429"/>
    <w:multiLevelType w:val="singleLevel"/>
    <w:tmpl w:val="49A26429"/>
    <w:lvl w:ilvl="0" w:tentative="1">
      <w:start w:val="3"/>
      <w:numFmt w:val="chineseCounting"/>
      <w:suff w:val="nothing"/>
      <w:lvlText w:val="（%1）"/>
      <w:lvlJc w:val="left"/>
      <w:rPr>
        <w:rFonts w:hint="eastAsia"/>
      </w:rPr>
    </w:lvl>
  </w:abstractNum>
  <w:num w:numId="1">
    <w:abstractNumId w:val="1538826532"/>
  </w:num>
  <w:num w:numId="2">
    <w:abstractNumId w:val="1235379241"/>
  </w:num>
  <w:num w:numId="3">
    <w:abstractNumId w:val="23730564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5F7240"/>
    <w:rsid w:val="001337B9"/>
    <w:rsid w:val="0023560C"/>
    <w:rsid w:val="00472A92"/>
    <w:rsid w:val="004D4A0E"/>
    <w:rsid w:val="00501752"/>
    <w:rsid w:val="005F7240"/>
    <w:rsid w:val="007603E0"/>
    <w:rsid w:val="0085410E"/>
    <w:rsid w:val="00F960B3"/>
    <w:rsid w:val="0A4772C5"/>
    <w:rsid w:val="0C005D2A"/>
    <w:rsid w:val="0DD23C9E"/>
    <w:rsid w:val="16850FCD"/>
    <w:rsid w:val="1C3B4454"/>
    <w:rsid w:val="23AE1BF7"/>
    <w:rsid w:val="32483B73"/>
    <w:rsid w:val="365B3227"/>
    <w:rsid w:val="487D3922"/>
    <w:rsid w:val="4C4553BA"/>
    <w:rsid w:val="4F35691C"/>
    <w:rsid w:val="536E30B7"/>
    <w:rsid w:val="648B230A"/>
    <w:rsid w:val="6D6934DA"/>
    <w:rsid w:val="6E566ADD"/>
    <w:rsid w:val="70E160AC"/>
    <w:rsid w:val="782B2B1F"/>
    <w:rsid w:val="7C414208"/>
    <w:rsid w:val="7E9A1B9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4">
    <w:name w:val="Normal (Web)"/>
    <w:basedOn w:val="1"/>
    <w:unhideWhenUsed/>
    <w:uiPriority w:val="99"/>
    <w:pPr>
      <w:keepNext w:val="0"/>
      <w:keepLines w:val="0"/>
      <w:widowControl w:val="0"/>
      <w:suppressLineNumbers w:val="0"/>
      <w:adjustRightInd/>
      <w:snapToGrid/>
      <w:spacing w:before="0" w:beforeAutospacing="0" w:after="0" w:afterAutospacing="0"/>
      <w:ind w:left="0" w:right="0"/>
      <w:jc w:val="both"/>
    </w:pPr>
    <w:rPr>
      <w:rFonts w:hint="default" w:ascii="Times New Roman" w:hAnsi="Times New Roman" w:eastAsia="宋体" w:cs="Times New Roman"/>
      <w:snapToGrid/>
      <w:kern w:val="2"/>
      <w:sz w:val="24"/>
      <w:szCs w:val="24"/>
      <w:lang w:val="en-US" w:eastAsia="zh-CN" w:bidi="ar"/>
    </w:rPr>
  </w:style>
  <w:style w:type="table" w:styleId="7">
    <w:name w:val="Table Grid"/>
    <w:basedOn w:val="6"/>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14</Pages>
  <Words>948</Words>
  <Characters>5409</Characters>
  <Lines>45</Lines>
  <Paragraphs>12</Paragraphs>
  <TotalTime>0</TotalTime>
  <ScaleCrop>false</ScaleCrop>
  <LinksUpToDate>false</LinksUpToDate>
  <CharactersWithSpaces>6345</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2019-05-06T04:48:06Z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