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3500" w:leftChars="200" w:hanging="3060" w:hangingChars="850"/>
        <w:jc w:val="center"/>
        <w:rPr>
          <w:rFonts w:hint="eastAsia" w:ascii="仿宋" w:hAnsi="仿宋" w:eastAsia="仿宋" w:cs="仿宋"/>
          <w:sz w:val="36"/>
          <w:szCs w:val="36"/>
        </w:rPr>
      </w:pPr>
      <w:r>
        <w:rPr>
          <w:rFonts w:hint="eastAsia" w:ascii="仿宋" w:hAnsi="仿宋" w:eastAsia="仿宋" w:cs="仿宋"/>
          <w:sz w:val="36"/>
          <w:szCs w:val="36"/>
        </w:rPr>
        <w:t>2017年度玛纳斯县政务服务中心部门决算公开说明</w:t>
      </w:r>
    </w:p>
    <w:p>
      <w:pPr>
        <w:spacing w:after="0" w:line="520" w:lineRule="exact"/>
        <w:ind w:firstLine="560" w:firstLineChars="200"/>
        <w:jc w:val="center"/>
        <w:rPr>
          <w:rFonts w:cs="仿宋" w:asciiTheme="minorEastAsia" w:hAnsiTheme="minorEastAsia" w:eastAsiaTheme="minorEastAsia"/>
          <w:color w:val="000000" w:themeColor="text1"/>
          <w:sz w:val="28"/>
          <w:szCs w:val="28"/>
        </w:rPr>
      </w:pPr>
    </w:p>
    <w:p>
      <w:pPr>
        <w:spacing w:after="0" w:line="520" w:lineRule="exact"/>
        <w:ind w:firstLine="560" w:firstLineChars="200"/>
        <w:jc w:val="center"/>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目  录</w:t>
      </w:r>
    </w:p>
    <w:p>
      <w:pPr>
        <w:spacing w:after="0" w:line="520" w:lineRule="exact"/>
        <w:ind w:firstLine="600" w:firstLineChars="200"/>
        <w:jc w:val="center"/>
        <w:rPr>
          <w:rFonts w:hint="eastAsia" w:ascii="仿宋" w:hAnsi="仿宋" w:eastAsia="仿宋" w:cs="仿宋"/>
          <w:b w:val="0"/>
          <w:bCs w:val="0"/>
          <w:color w:val="000000" w:themeColor="text1"/>
          <w:sz w:val="30"/>
          <w:szCs w:val="30"/>
        </w:rPr>
      </w:pP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第一部分玛纳斯县政务服务中心概况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一、主要职能、机构设置及人员情况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二、部门决算单位构成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第二部分 部门决算情况说明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一、部门收支总体情况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（一）部门收入支出决算总体情况说明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（二）部门收入总体情况说明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（三）部门支出总体情况说明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二、部门财政拨款收支情况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（一）财政拨款收支总体情况说明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（二）一般公共预算支出决算情况说明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（三）政府性基金预算收支决算情况说明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（四）政府性基金预算支出决算情况说明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三、部门结转结余情况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四、一般公共预算“三公”经费支出情况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五、机关运行经费支出情况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六、政府采购情况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七、其他重要事项的情况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（一）国有资产占用情况说明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（二）国有资产收益征缴情况说明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第三部分 专业名词解释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第四部分 部门决算报表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一、报表封面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二、部门收支总体情况（11张）：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《收入支出决算总表》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《收入决算表》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《收入支出决算表》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《项目收入支出决算表》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《行政事业类项目收入支出决算表》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《基本建设类项目收入支出决算表》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《基本支出决算明细表》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《项目支出决算明细表》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《财政专户管理资金收入支出决算表》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三、财政拨款收支情况（9张）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《财政拨款收入支出决算总表》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《一般公共预算财政拨款收入支出决算表》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《一般公共预算财政拨款支出决算明细表》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《一般公共预算财政拨款基本支出决算明细表》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《一般公共预算财政拨款项目支出决算明细表》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《政府性基金预算财政拨款收入支出决算表》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《政府性基金预算财政拨款支出决算明细表》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《政府性基金预算财政拨款基本支出决算明细表》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《政府性基金预算财政拨款项目支出决算明细表》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四、单位资产负责情况（1张）：《资产负债简表》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五、部门决算附表（5张）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《资产情况表》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《国有资产收益征缴情况表》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《基本数字表》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《机构人员情况表》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《非税收入征缴情况表》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六、填报说明附表（2张）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《部门决算相关信息统计表》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《政府采购情况表》 </w:t>
      </w:r>
    </w:p>
    <w:p>
      <w:pPr>
        <w:spacing w:after="0" w:line="520" w:lineRule="exact"/>
        <w:ind w:firstLine="600" w:firstLineChars="200"/>
        <w:rPr>
          <w:rFonts w:hint="eastAsia" w:ascii="仿宋" w:hAnsi="仿宋" w:eastAsia="仿宋" w:cs="仿宋"/>
          <w:b w:val="0"/>
          <w:bCs w:val="0"/>
          <w:color w:val="000000" w:themeColor="text1"/>
          <w:sz w:val="30"/>
          <w:szCs w:val="30"/>
        </w:rPr>
      </w:pPr>
      <w:r>
        <w:rPr>
          <w:rFonts w:hint="eastAsia" w:ascii="仿宋" w:hAnsi="仿宋" w:eastAsia="仿宋" w:cs="仿宋"/>
          <w:b w:val="0"/>
          <w:bCs w:val="0"/>
          <w:color w:val="000000" w:themeColor="text1"/>
          <w:sz w:val="30"/>
          <w:szCs w:val="30"/>
        </w:rPr>
        <w:t xml:space="preserve">七、“三公”经费支出情况(1张) </w:t>
      </w:r>
    </w:p>
    <w:p>
      <w:pPr>
        <w:spacing w:after="0" w:line="520" w:lineRule="exact"/>
        <w:ind w:firstLine="600" w:firstLineChars="200"/>
        <w:rPr>
          <w:rFonts w:cs="仿宋" w:asciiTheme="minorEastAsia" w:hAnsiTheme="minorEastAsia" w:eastAsiaTheme="minorEastAsia"/>
          <w:color w:val="000000" w:themeColor="text1"/>
          <w:sz w:val="28"/>
          <w:szCs w:val="28"/>
        </w:rPr>
      </w:pPr>
      <w:r>
        <w:rPr>
          <w:rFonts w:hint="eastAsia" w:ascii="仿宋" w:hAnsi="仿宋" w:eastAsia="仿宋" w:cs="仿宋"/>
          <w:b w:val="0"/>
          <w:bCs w:val="0"/>
          <w:color w:val="000000" w:themeColor="text1"/>
          <w:sz w:val="30"/>
          <w:szCs w:val="30"/>
        </w:rPr>
        <w:t>《2017年度一般公共预算“三公”经费支出情况表》</w:t>
      </w:r>
      <w:r>
        <w:rPr>
          <w:rFonts w:hint="eastAsia" w:cs="仿宋" w:asciiTheme="minorEastAsia" w:hAnsiTheme="minorEastAsia" w:eastAsiaTheme="minorEastAsia"/>
          <w:color w:val="000000" w:themeColor="text1"/>
          <w:sz w:val="28"/>
          <w:szCs w:val="28"/>
        </w:rPr>
        <w:t xml:space="preserve"> </w:t>
      </w: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ind w:firstLine="560" w:firstLineChars="200"/>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line="220" w:lineRule="atLeast"/>
        <w:rPr>
          <w:rFonts w:cs="仿宋" w:asciiTheme="minorEastAsia" w:hAnsiTheme="minorEastAsia" w:eastAsiaTheme="minorEastAsia"/>
          <w:color w:val="000000" w:themeColor="text1"/>
          <w:sz w:val="28"/>
          <w:szCs w:val="28"/>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一、单位基本情况：</w:t>
      </w:r>
    </w:p>
    <w:p>
      <w:pPr>
        <w:widowControl/>
        <w:spacing w:line="560" w:lineRule="exact"/>
        <w:jc w:val="left"/>
        <w:rPr>
          <w:rFonts w:hint="eastAsia" w:ascii="仿宋" w:hAnsi="仿宋" w:eastAsia="仿宋" w:cs="仿宋"/>
          <w:bCs/>
          <w:color w:val="auto"/>
          <w:kern w:val="0"/>
          <w:sz w:val="32"/>
          <w:szCs w:val="32"/>
        </w:rPr>
      </w:pPr>
      <w:r>
        <w:rPr>
          <w:rFonts w:hint="eastAsia" w:ascii="仿宋" w:hAnsi="仿宋" w:eastAsia="仿宋" w:cs="仿宋"/>
          <w:bCs/>
          <w:color w:val="auto"/>
          <w:kern w:val="0"/>
          <w:sz w:val="32"/>
          <w:szCs w:val="32"/>
          <w:lang w:val="en-US" w:eastAsia="zh-CN"/>
        </w:rPr>
        <w:t>(一）</w:t>
      </w:r>
      <w:r>
        <w:rPr>
          <w:rFonts w:hint="eastAsia" w:ascii="仿宋" w:hAnsi="仿宋" w:eastAsia="仿宋" w:cs="仿宋"/>
          <w:bCs/>
          <w:color w:val="auto"/>
          <w:kern w:val="0"/>
          <w:sz w:val="32"/>
          <w:szCs w:val="32"/>
        </w:rPr>
        <w:t>主要职能</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1、</w:t>
      </w:r>
      <w:r>
        <w:rPr>
          <w:rFonts w:hint="eastAsia" w:ascii="仿宋" w:hAnsi="仿宋" w:eastAsia="仿宋" w:cs="宋体"/>
          <w:bCs/>
          <w:color w:val="auto"/>
          <w:kern w:val="0"/>
          <w:sz w:val="32"/>
          <w:szCs w:val="32"/>
        </w:rPr>
        <w:t>制定政务服务中心各项规章制度、管理办法并组织实施；</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2、</w:t>
      </w:r>
      <w:r>
        <w:rPr>
          <w:rFonts w:hint="eastAsia" w:ascii="仿宋" w:hAnsi="仿宋" w:eastAsia="仿宋" w:cs="宋体"/>
          <w:bCs/>
          <w:color w:val="auto"/>
          <w:kern w:val="0"/>
          <w:sz w:val="32"/>
          <w:szCs w:val="32"/>
        </w:rPr>
        <w:t>会同有关部门审查集中受理、办理政务服务事项的办法指南；</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3、</w:t>
      </w:r>
      <w:r>
        <w:rPr>
          <w:rFonts w:hint="eastAsia" w:ascii="仿宋" w:hAnsi="仿宋" w:eastAsia="仿宋" w:cs="宋体"/>
          <w:bCs/>
          <w:color w:val="auto"/>
          <w:kern w:val="0"/>
          <w:sz w:val="32"/>
          <w:szCs w:val="32"/>
        </w:rPr>
        <w:t>对进入或者提出政务服务中心集中受理、办理的要求进行初审并报县人民政府决定；</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4、</w:t>
      </w:r>
      <w:r>
        <w:rPr>
          <w:rFonts w:hint="eastAsia" w:ascii="仿宋" w:hAnsi="仿宋" w:eastAsia="仿宋" w:cs="宋体"/>
          <w:bCs/>
          <w:color w:val="auto"/>
          <w:kern w:val="0"/>
          <w:sz w:val="32"/>
          <w:szCs w:val="32"/>
        </w:rPr>
        <w:t>对依法决定撤销或停止执行的已纳入政务服务中心集中受理、办理的政务服务事项，保障该事项在规定的期限内停止执行；</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5、</w:t>
      </w:r>
      <w:r>
        <w:rPr>
          <w:rFonts w:hint="eastAsia" w:ascii="仿宋" w:hAnsi="仿宋" w:eastAsia="仿宋" w:cs="宋体"/>
          <w:bCs/>
          <w:color w:val="auto"/>
          <w:kern w:val="0"/>
          <w:sz w:val="32"/>
          <w:szCs w:val="32"/>
        </w:rPr>
        <w:t>协调和监督集中受理、办理的政务服务事项，适时通报政务服务工作情况；</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6、</w:t>
      </w:r>
      <w:r>
        <w:rPr>
          <w:rFonts w:hint="eastAsia" w:ascii="仿宋" w:hAnsi="仿宋" w:eastAsia="仿宋" w:cs="宋体"/>
          <w:bCs/>
          <w:color w:val="auto"/>
          <w:kern w:val="0"/>
          <w:sz w:val="32"/>
          <w:szCs w:val="32"/>
        </w:rPr>
        <w:t>对进驻工作部门、机构审批的政务服务事项办理情况进行监督、协调；</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7、</w:t>
      </w:r>
      <w:r>
        <w:rPr>
          <w:rFonts w:hint="eastAsia" w:ascii="仿宋" w:hAnsi="仿宋" w:eastAsia="仿宋" w:cs="宋体"/>
          <w:bCs/>
          <w:color w:val="auto"/>
          <w:kern w:val="0"/>
          <w:sz w:val="32"/>
          <w:szCs w:val="32"/>
        </w:rPr>
        <w:t>对各部门、机构在政务服务中心设置窗口提出具体意见，对进入政务中心的各工作窗口及其工作人员进行管理和考核；</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8、</w:t>
      </w:r>
      <w:r>
        <w:rPr>
          <w:rFonts w:hint="eastAsia" w:ascii="仿宋" w:hAnsi="仿宋" w:eastAsia="仿宋" w:cs="宋体"/>
          <w:bCs/>
          <w:color w:val="auto"/>
          <w:kern w:val="0"/>
          <w:sz w:val="32"/>
          <w:szCs w:val="32"/>
        </w:rPr>
        <w:t>受理公民、法人和其他组织对政务服务中心工作人员的投诉举报；</w:t>
      </w:r>
    </w:p>
    <w:p>
      <w:pPr>
        <w:ind w:firstLine="640" w:firstLineChars="200"/>
        <w:rPr>
          <w:rFonts w:hint="eastAsia" w:ascii="仿宋" w:hAnsi="仿宋" w:eastAsia="仿宋" w:cs="宋体"/>
          <w:bCs/>
          <w:color w:val="auto"/>
          <w:kern w:val="0"/>
          <w:sz w:val="32"/>
          <w:szCs w:val="32"/>
        </w:rPr>
      </w:pPr>
      <w:r>
        <w:rPr>
          <w:rFonts w:hint="eastAsia" w:ascii="仿宋" w:hAnsi="仿宋" w:eastAsia="仿宋" w:cs="宋体"/>
          <w:bCs/>
          <w:color w:val="auto"/>
          <w:kern w:val="0"/>
          <w:sz w:val="32"/>
          <w:szCs w:val="32"/>
          <w:lang w:val="en-US" w:eastAsia="zh-CN"/>
        </w:rPr>
        <w:t>9、</w:t>
      </w:r>
      <w:r>
        <w:rPr>
          <w:rFonts w:hint="eastAsia" w:ascii="仿宋" w:hAnsi="仿宋" w:eastAsia="仿宋" w:cs="宋体"/>
          <w:bCs/>
          <w:color w:val="auto"/>
          <w:kern w:val="0"/>
          <w:sz w:val="32"/>
          <w:szCs w:val="32"/>
        </w:rPr>
        <w:t>承办县人民政府交办的其他工作事项。</w:t>
      </w:r>
    </w:p>
    <w:p>
      <w:pPr>
        <w:rPr>
          <w:rFonts w:hint="eastAsia"/>
        </w:rPr>
      </w:pPr>
      <w:r>
        <w:rPr>
          <w:rFonts w:hint="eastAsia"/>
          <w:sz w:val="30"/>
          <w:szCs w:val="30"/>
        </w:rPr>
        <w:t>二、玛纳斯县政务服务中心设置主要部门如下：办公室、服务窗口</w:t>
      </w:r>
      <w:r>
        <w:rPr>
          <w:rFonts w:hint="eastAsia"/>
        </w:rPr>
        <w:t>。</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玛纳斯县政务服务中心位于新疆昌吉玛纳斯县团结南路，现有</w:t>
      </w:r>
      <w:r>
        <w:rPr>
          <w:rFonts w:hint="eastAsia" w:ascii="仿宋" w:hAnsi="仿宋" w:eastAsia="仿宋" w:cs="仿宋"/>
          <w:sz w:val="30"/>
          <w:szCs w:val="30"/>
          <w:lang w:val="en-US" w:eastAsia="zh-CN"/>
        </w:rPr>
        <w:t>1</w:t>
      </w:r>
      <w:r>
        <w:rPr>
          <w:rFonts w:hint="eastAsia" w:ascii="仿宋" w:hAnsi="仿宋" w:eastAsia="仿宋" w:cs="仿宋"/>
          <w:sz w:val="30"/>
          <w:szCs w:val="30"/>
        </w:rPr>
        <w:t>个服务单位，</w:t>
      </w:r>
      <w:r>
        <w:rPr>
          <w:rFonts w:hint="eastAsia" w:ascii="仿宋" w:hAnsi="仿宋" w:eastAsia="仿宋" w:cs="仿宋"/>
          <w:sz w:val="30"/>
          <w:szCs w:val="30"/>
          <w:lang w:eastAsia="zh-CN"/>
        </w:rPr>
        <w:t>编制数</w:t>
      </w:r>
      <w:r>
        <w:rPr>
          <w:rFonts w:hint="eastAsia" w:ascii="仿宋" w:hAnsi="仿宋" w:eastAsia="仿宋" w:cs="仿宋"/>
          <w:sz w:val="30"/>
          <w:szCs w:val="30"/>
          <w:lang w:val="en-US" w:eastAsia="zh-CN"/>
        </w:rPr>
        <w:t>8人，</w:t>
      </w:r>
      <w:r>
        <w:rPr>
          <w:rFonts w:hint="eastAsia" w:ascii="仿宋" w:hAnsi="仿宋" w:eastAsia="仿宋" w:cs="仿宋"/>
          <w:sz w:val="30"/>
          <w:szCs w:val="30"/>
        </w:rPr>
        <w:t>政务服务中心办公室实有人员</w:t>
      </w:r>
      <w:r>
        <w:rPr>
          <w:rFonts w:hint="eastAsia" w:ascii="仿宋" w:hAnsi="仿宋" w:eastAsia="仿宋" w:cs="仿宋"/>
          <w:sz w:val="30"/>
          <w:szCs w:val="30"/>
          <w:lang w:val="en-US" w:eastAsia="zh-CN"/>
        </w:rPr>
        <w:t>4</w:t>
      </w:r>
      <w:r>
        <w:rPr>
          <w:rFonts w:hint="eastAsia" w:ascii="仿宋" w:hAnsi="仿宋" w:eastAsia="仿宋" w:cs="仿宋"/>
          <w:sz w:val="30"/>
          <w:szCs w:val="30"/>
        </w:rPr>
        <w:t>人。</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40" w:firstLineChars="200"/>
        <w:jc w:val="left"/>
        <w:textAlignment w:val="auto"/>
        <w:outlineLvl w:val="9"/>
        <w:rPr>
          <w:rFonts w:hint="eastAsia" w:ascii="仿宋" w:hAnsi="仿宋" w:eastAsia="仿宋" w:cs="仿宋"/>
          <w:color w:val="000000" w:themeColor="text1"/>
          <w:sz w:val="32"/>
          <w:szCs w:val="32"/>
        </w:rPr>
      </w:pPr>
      <w:r>
        <w:rPr>
          <w:rFonts w:hint="eastAsia" w:ascii="仿宋" w:hAnsi="仿宋" w:eastAsia="仿宋" w:cs="仿宋"/>
          <w:color w:val="000000" w:themeColor="text1"/>
          <w:sz w:val="32"/>
          <w:szCs w:val="32"/>
        </w:rPr>
        <w:t>1、做好当前</w:t>
      </w:r>
      <w:r>
        <w:rPr>
          <w:rFonts w:hint="eastAsia" w:ascii="仿宋" w:hAnsi="仿宋" w:eastAsia="仿宋" w:cs="仿宋"/>
          <w:color w:val="000000" w:themeColor="text1"/>
          <w:sz w:val="32"/>
          <w:szCs w:val="32"/>
          <w:lang w:eastAsia="zh-CN"/>
        </w:rPr>
        <w:t>各项</w:t>
      </w:r>
      <w:r>
        <w:rPr>
          <w:rFonts w:hint="eastAsia" w:ascii="仿宋" w:hAnsi="仿宋" w:eastAsia="仿宋" w:cs="仿宋"/>
          <w:color w:val="000000" w:themeColor="text1"/>
          <w:sz w:val="32"/>
          <w:szCs w:val="32"/>
        </w:rPr>
        <w:t>工作，确保服务中心</w:t>
      </w:r>
      <w:r>
        <w:rPr>
          <w:rFonts w:hint="eastAsia" w:ascii="仿宋" w:hAnsi="仿宋" w:eastAsia="仿宋" w:cs="仿宋"/>
          <w:color w:val="000000" w:themeColor="text1"/>
          <w:sz w:val="32"/>
          <w:szCs w:val="32"/>
          <w:lang w:eastAsia="zh-CN"/>
        </w:rPr>
        <w:t>安全</w:t>
      </w:r>
      <w:r>
        <w:rPr>
          <w:rFonts w:hint="eastAsia" w:ascii="仿宋" w:hAnsi="仿宋" w:eastAsia="仿宋" w:cs="仿宋"/>
          <w:color w:val="000000" w:themeColor="text1"/>
          <w:sz w:val="32"/>
          <w:szCs w:val="32"/>
        </w:rPr>
        <w:t>，认真抓好党的思想、组织、作风建设，加强党的教育、管理，努力提高党员的素质，充分发挥党支部的战斗堡垒和党员的先锋模范作用。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2、发挥党员以身作则作用； 做好全体员工的思想政治工作，配合主任工作。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3、坚持党管干部的原则，加强对服务中心后备干部、中层干部的教育、培养、考察。</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4、根据党章规定，做好发展党员工作，做好党员的评议、鉴定工作。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lang w:eastAsia="zh-CN"/>
        </w:rPr>
      </w:pPr>
      <w:r>
        <w:rPr>
          <w:rFonts w:hint="eastAsia" w:ascii="仿宋" w:hAnsi="仿宋" w:eastAsia="仿宋" w:cs="仿宋"/>
          <w:color w:val="000000" w:themeColor="text1"/>
          <w:sz w:val="30"/>
          <w:szCs w:val="30"/>
        </w:rPr>
        <w:t>5、充分的维权职能， 切实维护职工的合法利益</w:t>
      </w:r>
      <w:r>
        <w:rPr>
          <w:rFonts w:hint="eastAsia" w:ascii="仿宋" w:hAnsi="仿宋" w:eastAsia="仿宋" w:cs="仿宋"/>
          <w:color w:val="000000" w:themeColor="text1"/>
          <w:sz w:val="30"/>
          <w:szCs w:val="30"/>
          <w:lang w:eastAsia="zh-CN"/>
        </w:rPr>
        <w:t>。</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lang w:eastAsia="zh-CN"/>
        </w:rPr>
      </w:pPr>
      <w:r>
        <w:rPr>
          <w:rFonts w:hint="eastAsia" w:ascii="仿宋" w:hAnsi="仿宋" w:eastAsia="仿宋" w:cs="仿宋"/>
          <w:color w:val="000000" w:themeColor="text1"/>
          <w:sz w:val="30"/>
          <w:szCs w:val="30"/>
        </w:rPr>
        <w:t>6、充分发挥工会的协调职能，努力促进服务中心和谐</w:t>
      </w:r>
      <w:r>
        <w:rPr>
          <w:rFonts w:hint="eastAsia" w:ascii="仿宋" w:hAnsi="仿宋" w:eastAsia="仿宋" w:cs="仿宋"/>
          <w:color w:val="000000" w:themeColor="text1"/>
          <w:sz w:val="30"/>
          <w:szCs w:val="30"/>
          <w:lang w:eastAsia="zh-CN"/>
        </w:rPr>
        <w:t>。</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三、办公室及其工作职能</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bCs/>
          <w:color w:val="000000" w:themeColor="text1"/>
          <w:sz w:val="30"/>
          <w:szCs w:val="30"/>
        </w:rPr>
        <w:t>玛纳斯县政务服务中心</w:t>
      </w:r>
      <w:r>
        <w:rPr>
          <w:rFonts w:hint="eastAsia" w:ascii="仿宋" w:hAnsi="仿宋" w:eastAsia="仿宋" w:cs="仿宋"/>
          <w:color w:val="000000" w:themeColor="text1"/>
          <w:sz w:val="30"/>
          <w:szCs w:val="30"/>
        </w:rPr>
        <w:t>办公室是政务服务中心的综合办事机构。 其主要职能是围绕服务中心工作，积极发挥参谋助手作用，负责综合协调、信息枢纽、督促检查等工作。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一、参谋职能：全面及时掌握服务中心情况和动态，做好服务中心日常管理工作，负责服务中心年度工作计划、总结。</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二、承办职能：负责上级下发的公文及校内请示、报告的处理工作，负责各种人事档案，负责图书、报刊、杂志征订及资料印刷支出的审核和分发工作。计划，承办服务中心行政会议的组织准备工作和会议记录整理、保密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三、管理职能：参与服务中心管理事务，负责教职工聘用、工资审核等工作，做好岗位考勤统计、审核工作，配合各窗口做好有关工作。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四、协调职能：主要抓好纵向协调、横向协调和内部协调，严格执行服务中心的规章制度，协调各窗口、员工等方面关系，正确有效处理有关矛盾。</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其主要职能是：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1、规化职能：做好服务中心工作，编制服务中心工作计划并组织实施，配合服务中心任务的完成。</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2、财务职能：遵守财经纪律，执行财务管理制度。做好培训、培训费的收取工作，做好财务核算、费用报销及审核工作，做好有关考勤、考核等奖金、工资发放工作。合理使用经费，按期报好报表。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4、服务职能：负责服务中心后勤工作，负责政务服务区、职工生活区卫生保洁的各类设施维修、监督、管理等工作。关心职工生活。</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bCs/>
          <w:color w:val="000000" w:themeColor="text1"/>
          <w:sz w:val="30"/>
          <w:szCs w:val="30"/>
        </w:rPr>
        <w:t>玛纳斯县政务服务中心</w:t>
      </w:r>
      <w:r>
        <w:rPr>
          <w:rFonts w:hint="eastAsia" w:ascii="仿宋" w:hAnsi="仿宋" w:eastAsia="仿宋" w:cs="仿宋"/>
          <w:sz w:val="30"/>
          <w:szCs w:val="30"/>
        </w:rPr>
        <w:t>部门决算包括</w:t>
      </w:r>
      <w:r>
        <w:rPr>
          <w:rFonts w:hint="eastAsia" w:ascii="仿宋" w:hAnsi="仿宋" w:eastAsia="仿宋" w:cs="仿宋"/>
          <w:bCs/>
          <w:color w:val="000000" w:themeColor="text1"/>
          <w:sz w:val="30"/>
          <w:szCs w:val="30"/>
        </w:rPr>
        <w:t>玛纳斯县政务服务中心</w:t>
      </w:r>
      <w:r>
        <w:rPr>
          <w:rFonts w:hint="eastAsia" w:ascii="仿宋" w:hAnsi="仿宋" w:eastAsia="仿宋" w:cs="仿宋"/>
          <w:sz w:val="30"/>
          <w:szCs w:val="30"/>
        </w:rPr>
        <w:t xml:space="preserve">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bCs/>
          <w:color w:val="000000" w:themeColor="text1"/>
          <w:sz w:val="30"/>
          <w:szCs w:val="30"/>
        </w:rPr>
        <w:t>玛纳斯县政务服务中</w:t>
      </w:r>
      <w:r>
        <w:rPr>
          <w:rFonts w:hint="eastAsia" w:ascii="仿宋" w:hAnsi="仿宋" w:eastAsia="仿宋" w:cs="仿宋"/>
          <w:bCs/>
          <w:color w:val="000000" w:themeColor="text1"/>
          <w:sz w:val="30"/>
          <w:szCs w:val="30"/>
          <w:lang w:eastAsia="zh-CN"/>
        </w:rPr>
        <w:t>心</w:t>
      </w:r>
      <w:r>
        <w:rPr>
          <w:rFonts w:hint="eastAsia" w:ascii="仿宋" w:hAnsi="仿宋" w:eastAsia="仿宋" w:cs="仿宋"/>
          <w:bCs/>
          <w:color w:val="000000" w:themeColor="text1"/>
          <w:sz w:val="30"/>
          <w:szCs w:val="30"/>
          <w:lang w:val="en-US" w:eastAsia="zh-CN"/>
        </w:rPr>
        <w:t>2017</w:t>
      </w:r>
      <w:r>
        <w:rPr>
          <w:rFonts w:hint="eastAsia" w:ascii="仿宋" w:hAnsi="仿宋" w:eastAsia="仿宋" w:cs="仿宋"/>
          <w:sz w:val="30"/>
          <w:szCs w:val="30"/>
        </w:rPr>
        <w:t xml:space="preserve">年部门决算编制范围的单位名单见下表： </w:t>
      </w:r>
    </w:p>
    <w:tbl>
      <w:tblPr>
        <w:tblStyle w:val="8"/>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5422"/>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trPr>
        <w:tc>
          <w:tcPr>
            <w:tcW w:w="192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542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31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192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5422" w:type="dxa"/>
          </w:tcPr>
          <w:p>
            <w:pPr>
              <w:widowControl w:val="0"/>
              <w:spacing w:line="220" w:lineRule="atLeast"/>
              <w:jc w:val="center"/>
              <w:rPr>
                <w:rFonts w:ascii="仿宋" w:hAnsi="仿宋" w:eastAsia="仿宋" w:cs="仿宋"/>
                <w:sz w:val="30"/>
                <w:szCs w:val="30"/>
              </w:rPr>
            </w:pPr>
            <w:r>
              <w:rPr>
                <w:rFonts w:hint="eastAsia" w:ascii="仿宋" w:hAnsi="仿宋" w:eastAsia="仿宋" w:cs="仿宋"/>
                <w:bCs/>
                <w:color w:val="000000" w:themeColor="text1"/>
                <w:sz w:val="30"/>
                <w:szCs w:val="30"/>
              </w:rPr>
              <w:t>玛纳斯县政务服务中心</w:t>
            </w:r>
            <w:r>
              <w:rPr>
                <w:rFonts w:hint="eastAsia" w:ascii="仿宋" w:hAnsi="仿宋" w:eastAsia="仿宋" w:cs="仿宋"/>
                <w:sz w:val="30"/>
                <w:szCs w:val="30"/>
              </w:rPr>
              <w:t>单位本级</w:t>
            </w:r>
          </w:p>
        </w:tc>
        <w:tc>
          <w:tcPr>
            <w:tcW w:w="2312" w:type="dxa"/>
          </w:tcPr>
          <w:p>
            <w:pPr>
              <w:widowControl w:val="0"/>
              <w:spacing w:line="220" w:lineRule="atLeast"/>
              <w:jc w:val="center"/>
              <w:rPr>
                <w:rFonts w:ascii="仿宋" w:hAnsi="仿宋" w:eastAsia="仿宋" w:cs="仿宋"/>
                <w:sz w:val="30"/>
                <w:szCs w:val="30"/>
              </w:rPr>
            </w:pPr>
          </w:p>
        </w:tc>
      </w:tr>
    </w:tbl>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color w:val="000000" w:themeColor="text1"/>
          <w:sz w:val="30"/>
          <w:szCs w:val="30"/>
        </w:rPr>
      </w:pPr>
    </w:p>
    <w:p>
      <w:pPr>
        <w:spacing w:after="0" w:line="520" w:lineRule="exact"/>
        <w:jc w:val="center"/>
        <w:rPr>
          <w:rFonts w:cs="仿宋" w:asciiTheme="minorEastAsia" w:hAnsiTheme="minorEastAsia" w:eastAsiaTheme="minorEastAsia"/>
          <w:bCs/>
          <w:color w:val="000000" w:themeColor="text1"/>
          <w:sz w:val="28"/>
          <w:szCs w:val="28"/>
        </w:rPr>
      </w:pPr>
    </w:p>
    <w:p>
      <w:pPr>
        <w:spacing w:after="0" w:line="520" w:lineRule="exact"/>
        <w:jc w:val="center"/>
        <w:rPr>
          <w:rFonts w:cs="仿宋" w:asciiTheme="minorEastAsia" w:hAnsiTheme="minorEastAsia" w:eastAsiaTheme="minorEastAsia"/>
          <w:bCs/>
          <w:color w:val="000000" w:themeColor="text1"/>
          <w:sz w:val="28"/>
          <w:szCs w:val="28"/>
        </w:rPr>
      </w:pPr>
    </w:p>
    <w:p>
      <w:pPr>
        <w:spacing w:after="0" w:line="520" w:lineRule="exact"/>
        <w:jc w:val="center"/>
        <w:rPr>
          <w:rFonts w:cs="仿宋" w:asciiTheme="minorEastAsia" w:hAnsiTheme="minorEastAsia" w:eastAsiaTheme="minorEastAsia"/>
          <w:bCs/>
          <w:color w:val="000000" w:themeColor="text1"/>
          <w:sz w:val="28"/>
          <w:szCs w:val="28"/>
        </w:rPr>
      </w:pPr>
    </w:p>
    <w:p>
      <w:pPr>
        <w:spacing w:after="0" w:line="520" w:lineRule="exact"/>
        <w:jc w:val="center"/>
        <w:rPr>
          <w:rFonts w:cs="仿宋" w:asciiTheme="minorEastAsia" w:hAnsiTheme="minorEastAsia" w:eastAsiaTheme="minorEastAsia"/>
          <w:bCs/>
          <w:color w:val="000000" w:themeColor="text1"/>
          <w:sz w:val="28"/>
          <w:szCs w:val="28"/>
        </w:rPr>
      </w:pPr>
    </w:p>
    <w:p>
      <w:pPr>
        <w:spacing w:after="0" w:line="520" w:lineRule="exact"/>
        <w:jc w:val="center"/>
        <w:rPr>
          <w:rFonts w:cs="仿宋" w:asciiTheme="minorEastAsia" w:hAnsiTheme="minorEastAsia" w:eastAsiaTheme="minorEastAsia"/>
          <w:bCs/>
          <w:color w:val="000000" w:themeColor="text1"/>
          <w:sz w:val="28"/>
          <w:szCs w:val="28"/>
        </w:rPr>
      </w:pPr>
    </w:p>
    <w:p>
      <w:pPr>
        <w:spacing w:after="0" w:line="520" w:lineRule="exact"/>
        <w:jc w:val="both"/>
        <w:rPr>
          <w:rFonts w:cs="仿宋" w:asciiTheme="minorEastAsia" w:hAnsiTheme="minorEastAsia" w:eastAsiaTheme="minorEastAsia"/>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jc w:val="center"/>
        <w:rPr>
          <w:rFonts w:hint="eastAsia" w:cs="仿宋" w:asciiTheme="minorEastAsia" w:hAnsiTheme="minorEastAsia" w:eastAsiaTheme="minorEastAsia"/>
          <w:b/>
          <w:bCs/>
          <w:color w:val="000000" w:themeColor="text1"/>
          <w:sz w:val="28"/>
          <w:szCs w:val="28"/>
        </w:rPr>
      </w:pPr>
    </w:p>
    <w:p>
      <w:pPr>
        <w:spacing w:after="0" w:line="520" w:lineRule="exact"/>
        <w:ind w:firstLine="3092" w:firstLineChars="1100"/>
        <w:jc w:val="both"/>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第二部分 部门决算情况说明</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一、部门收支总体情况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（一）部门收入支出决算总体情况说明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2017年度决算收入100.05万元,与上年相比，</w:t>
      </w:r>
      <w:r>
        <w:rPr>
          <w:rFonts w:hint="eastAsia" w:ascii="仿宋" w:hAnsi="仿宋" w:eastAsia="仿宋" w:cs="仿宋"/>
          <w:color w:val="000000" w:themeColor="text1"/>
          <w:sz w:val="30"/>
          <w:szCs w:val="30"/>
          <w:lang w:eastAsia="zh-CN"/>
        </w:rPr>
        <w:t>减少</w:t>
      </w:r>
      <w:r>
        <w:rPr>
          <w:rFonts w:hint="eastAsia" w:ascii="仿宋" w:hAnsi="仿宋" w:eastAsia="仿宋" w:cs="仿宋"/>
          <w:color w:val="000000" w:themeColor="text1"/>
          <w:sz w:val="30"/>
          <w:szCs w:val="30"/>
        </w:rPr>
        <w:t>92.8万元，降低51.96%，支出95.56万元,与上年相比，降低49.7%，收入支出增加变化</w:t>
      </w:r>
      <w:r>
        <w:rPr>
          <w:rFonts w:hint="eastAsia" w:ascii="仿宋" w:hAnsi="仿宋" w:eastAsia="仿宋" w:cs="仿宋"/>
          <w:color w:val="000000" w:themeColor="text1"/>
          <w:sz w:val="30"/>
          <w:szCs w:val="30"/>
          <w:lang w:eastAsia="zh-CN"/>
        </w:rPr>
        <w:t>主要</w:t>
      </w:r>
      <w:r>
        <w:rPr>
          <w:rFonts w:hint="eastAsia" w:ascii="仿宋" w:hAnsi="仿宋" w:eastAsia="仿宋" w:cs="仿宋"/>
          <w:color w:val="000000" w:themeColor="text1"/>
          <w:sz w:val="30"/>
          <w:szCs w:val="30"/>
        </w:rPr>
        <w:t xml:space="preserve">原因为人员增加导致拨款及人员开支相应增加，结余增加为结转下年支付已经发生的费用。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2017年度决算收入100.05万元（含其他收入），预算收入75.1万元，相差25.4万元，决算支出95.5万元，预算支出70.1万元，相差25.4万元，决算收入和支出大于预算原因为：人员经费增加。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（二）部门收入总体情况说明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本年收入合计100.05万元，其中：财政拨款收入100.05万元，占100%；其他收入0元。增减变化的主要原因是：人员增加导致相应财政拨款增加。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2017年预算收入为75.1万元，2017年度决算收入100.5万元，决算比预算收入增加50.8万元。原因为：人员经费增加。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（三）部门支出总体情况说明 </w:t>
      </w:r>
    </w:p>
    <w:p>
      <w:pPr>
        <w:spacing w:after="0" w:line="520" w:lineRule="exact"/>
        <w:ind w:firstLine="600" w:firstLineChars="200"/>
        <w:rPr>
          <w:rFonts w:hint="eastAsia" w:ascii="仿宋" w:hAnsi="仿宋" w:eastAsia="仿宋" w:cs="仿宋"/>
          <w:color w:val="000000" w:themeColor="text1"/>
          <w:sz w:val="30"/>
          <w:szCs w:val="30"/>
          <w:lang w:val="en-US" w:eastAsia="zh-CN"/>
        </w:rPr>
      </w:pPr>
      <w:r>
        <w:rPr>
          <w:rFonts w:hint="eastAsia" w:ascii="仿宋" w:hAnsi="仿宋" w:eastAsia="仿宋" w:cs="仿宋"/>
          <w:color w:val="000000" w:themeColor="text1"/>
          <w:sz w:val="30"/>
          <w:szCs w:val="30"/>
        </w:rPr>
        <w:t>本年支出合计95.5万元，其中：基本支出95.5万元，占100%</w:t>
      </w:r>
      <w:r>
        <w:rPr>
          <w:rFonts w:hint="eastAsia" w:ascii="仿宋" w:hAnsi="仿宋" w:eastAsia="仿宋" w:cs="仿宋"/>
          <w:color w:val="000000" w:themeColor="text1"/>
          <w:sz w:val="30"/>
          <w:szCs w:val="30"/>
          <w:lang w:eastAsia="zh-CN"/>
        </w:rPr>
        <w:t>，变动</w:t>
      </w:r>
      <w:r>
        <w:rPr>
          <w:rFonts w:hint="eastAsia" w:ascii="仿宋" w:hAnsi="仿宋" w:eastAsia="仿宋" w:cs="仿宋"/>
          <w:color w:val="000000" w:themeColor="text1"/>
          <w:sz w:val="30"/>
          <w:szCs w:val="30"/>
        </w:rPr>
        <w:t>原因为人员增加导致拨款及人员开支相应增加</w:t>
      </w:r>
      <w:r>
        <w:rPr>
          <w:rFonts w:hint="eastAsia" w:ascii="仿宋" w:hAnsi="仿宋" w:eastAsia="仿宋" w:cs="仿宋"/>
          <w:color w:val="000000" w:themeColor="text1"/>
          <w:sz w:val="30"/>
          <w:szCs w:val="30"/>
          <w:lang w:eastAsia="zh-CN"/>
        </w:rPr>
        <w:t>。</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与预算相比情况。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支出决算95.5万元，支出预算70.1万元，相差25.4万元，决算收入和支出大于预算原因为：人员经费增加。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二、部门财政拨款收支情况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（一）财政拨款收支总体情况说明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2017年度财政拨款收入100.5万元，与上年193.4万元相比，减少92.9万元，减少51.9%。增减变化的主要原因是：由于人员增加导致相应支出增加 。财政拨款支出95.5万元，与上年192相比，减少96.5万元，减少49.6%。其中：基本支出95.5万元，项目支出0.5万元。增减变化的主要原因是：人员经费增加。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与预算相比情况。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2017年决算财政拨款收入100.5万元，2017年预算收入为75.1万元，相差25.4万元</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（二）一般公共预算支出决算情况说明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一般公共预算财政拨款支出95.5万元。与上年数192万元相比，减少96.5万元，49.6%。增减变化的主要原因是：各项费用均有增加，主要为人员经费的增加。其中：按功能分类科目，基本项目支出100.5万元，社会保障和就业支出0.5万元。按经济分类科目，工资福利支出44.9万元，商品和服务支出37.4万元，对个人和家庭的补助0.63万元，其他资本性支出11.7元</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2017年度一般公共预算财政拨款支出70.1万元，与年初预算95.5万元相差25.4万元，超支7.34%，其中社会保障和就业支出及工资福利支出占主要超支。</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元，与上年相比，增加0元，增长0%。增减变化的主要原因是：严格执行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与预算相比情况。年初无预算安排。</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与预算相比情况。无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三、部门结转结余情况 </w:t>
      </w:r>
    </w:p>
    <w:p>
      <w:pPr>
        <w:spacing w:after="0" w:line="520" w:lineRule="exact"/>
        <w:ind w:firstLine="600" w:firstLineChars="200"/>
        <w:rPr>
          <w:rFonts w:hint="eastAsia" w:ascii="仿宋" w:hAnsi="仿宋" w:eastAsia="仿宋" w:cs="仿宋"/>
          <w:color w:val="auto"/>
          <w:sz w:val="30"/>
          <w:szCs w:val="30"/>
          <w:lang w:eastAsia="zh-CN"/>
        </w:rPr>
      </w:pPr>
      <w:r>
        <w:rPr>
          <w:rFonts w:hint="eastAsia" w:ascii="仿宋" w:hAnsi="仿宋" w:eastAsia="仿宋" w:cs="仿宋"/>
          <w:color w:val="auto"/>
          <w:sz w:val="30"/>
          <w:szCs w:val="30"/>
        </w:rPr>
        <w:t>年末</w:t>
      </w:r>
      <w:r>
        <w:rPr>
          <w:rFonts w:hint="eastAsia" w:ascii="仿宋" w:hAnsi="仿宋" w:eastAsia="仿宋" w:cs="仿宋"/>
          <w:color w:val="auto"/>
          <w:sz w:val="30"/>
          <w:szCs w:val="30"/>
          <w:lang w:eastAsia="zh-CN"/>
        </w:rPr>
        <w:t>收支</w:t>
      </w:r>
      <w:r>
        <w:rPr>
          <w:rFonts w:hint="eastAsia" w:ascii="仿宋" w:hAnsi="仿宋" w:eastAsia="仿宋" w:cs="仿宋"/>
          <w:color w:val="auto"/>
          <w:sz w:val="30"/>
          <w:szCs w:val="30"/>
        </w:rPr>
        <w:t>结转0.016万元</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全部转入事业基金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年末基本收支结余0万元</w:t>
      </w:r>
      <w:r>
        <w:rPr>
          <w:rFonts w:hint="eastAsia" w:ascii="仿宋" w:hAnsi="仿宋" w:eastAsia="仿宋" w:cs="仿宋"/>
          <w:color w:val="auto"/>
          <w:sz w:val="30"/>
          <w:szCs w:val="30"/>
        </w:rPr>
        <w:t>。</w:t>
      </w:r>
    </w:p>
    <w:p>
      <w:pPr>
        <w:spacing w:after="0" w:line="52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 xml:space="preserve">其他有关说明内容。无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四、一般公共预算“三公”经费支出情况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2017年度一般公共预算“三公”经费支出决算</w:t>
      </w:r>
      <w:r>
        <w:rPr>
          <w:rFonts w:hint="eastAsia" w:ascii="仿宋" w:hAnsi="仿宋" w:eastAsia="仿宋" w:cs="仿宋"/>
          <w:color w:val="000000" w:themeColor="text1"/>
          <w:sz w:val="30"/>
          <w:szCs w:val="30"/>
          <w:lang w:val="en-US" w:eastAsia="zh-CN"/>
        </w:rPr>
        <w:t>1.56</w:t>
      </w:r>
      <w:r>
        <w:rPr>
          <w:rFonts w:hint="eastAsia" w:ascii="仿宋" w:hAnsi="仿宋" w:eastAsia="仿宋" w:cs="仿宋"/>
          <w:color w:val="000000" w:themeColor="text1"/>
          <w:sz w:val="30"/>
          <w:szCs w:val="30"/>
        </w:rPr>
        <w:t>万元，比上年</w:t>
      </w:r>
      <w:r>
        <w:rPr>
          <w:rFonts w:hint="eastAsia" w:ascii="仿宋" w:hAnsi="仿宋" w:eastAsia="仿宋" w:cs="仿宋"/>
          <w:color w:val="000000" w:themeColor="text1"/>
          <w:sz w:val="30"/>
          <w:szCs w:val="30"/>
          <w:lang w:eastAsia="zh-CN"/>
        </w:rPr>
        <w:t>增加</w:t>
      </w:r>
      <w:r>
        <w:rPr>
          <w:rFonts w:hint="eastAsia" w:ascii="仿宋" w:hAnsi="仿宋" w:eastAsia="仿宋" w:cs="仿宋"/>
          <w:color w:val="000000" w:themeColor="text1"/>
          <w:sz w:val="30"/>
          <w:szCs w:val="30"/>
          <w:lang w:val="en-US" w:eastAsia="zh-CN"/>
        </w:rPr>
        <w:t>1.56</w:t>
      </w:r>
      <w:r>
        <w:rPr>
          <w:rFonts w:hint="eastAsia" w:ascii="仿宋" w:hAnsi="仿宋" w:eastAsia="仿宋" w:cs="仿宋"/>
          <w:color w:val="000000" w:themeColor="text1"/>
          <w:sz w:val="30"/>
          <w:szCs w:val="30"/>
        </w:rPr>
        <w:t>万元，</w:t>
      </w:r>
      <w:r>
        <w:rPr>
          <w:rFonts w:hint="eastAsia" w:ascii="仿宋" w:hAnsi="仿宋" w:eastAsia="仿宋" w:cs="仿宋"/>
          <w:color w:val="000000" w:themeColor="text1"/>
          <w:sz w:val="30"/>
          <w:szCs w:val="30"/>
          <w:lang w:eastAsia="zh-CN"/>
        </w:rPr>
        <w:t>增加</w:t>
      </w:r>
      <w:r>
        <w:rPr>
          <w:rFonts w:hint="eastAsia" w:ascii="仿宋" w:hAnsi="仿宋" w:eastAsia="仿宋" w:cs="仿宋"/>
          <w:color w:val="000000" w:themeColor="text1"/>
          <w:sz w:val="30"/>
          <w:szCs w:val="30"/>
          <w:lang w:val="en-US" w:eastAsia="zh-CN"/>
        </w:rPr>
        <w:t>100</w:t>
      </w:r>
      <w:r>
        <w:rPr>
          <w:rFonts w:hint="eastAsia" w:ascii="仿宋" w:hAnsi="仿宋" w:eastAsia="仿宋" w:cs="仿宋"/>
          <w:color w:val="000000" w:themeColor="text1"/>
          <w:sz w:val="30"/>
          <w:szCs w:val="30"/>
        </w:rPr>
        <w:t>%，</w:t>
      </w:r>
      <w:r>
        <w:rPr>
          <w:rFonts w:hint="eastAsia" w:ascii="仿宋" w:hAnsi="仿宋" w:eastAsia="仿宋" w:cs="仿宋"/>
          <w:color w:val="000000" w:themeColor="text1"/>
          <w:sz w:val="30"/>
          <w:szCs w:val="30"/>
          <w:lang w:eastAsia="zh-CN"/>
        </w:rPr>
        <w:t>增加</w:t>
      </w:r>
      <w:r>
        <w:rPr>
          <w:rFonts w:hint="eastAsia" w:ascii="仿宋" w:hAnsi="仿宋" w:eastAsia="仿宋" w:cs="仿宋"/>
          <w:color w:val="000000" w:themeColor="text1"/>
          <w:sz w:val="30"/>
          <w:szCs w:val="30"/>
        </w:rPr>
        <w:t>原因是出</w:t>
      </w:r>
      <w:r>
        <w:rPr>
          <w:rFonts w:hint="eastAsia" w:ascii="仿宋" w:hAnsi="仿宋" w:eastAsia="仿宋" w:cs="仿宋"/>
          <w:color w:val="000000" w:themeColor="text1"/>
          <w:sz w:val="30"/>
          <w:szCs w:val="30"/>
          <w:lang w:eastAsia="zh-CN"/>
        </w:rPr>
        <w:t>接待费用增加</w:t>
      </w:r>
      <w:r>
        <w:rPr>
          <w:rFonts w:hint="eastAsia" w:ascii="仿宋" w:hAnsi="仿宋" w:eastAsia="仿宋" w:cs="仿宋"/>
          <w:color w:val="000000" w:themeColor="text1"/>
          <w:sz w:val="30"/>
          <w:szCs w:val="30"/>
        </w:rPr>
        <w:t>。其中，因公出国（境）费支出0元，占0%，比上年增加0万元，增长0%，增加原因是</w:t>
      </w:r>
      <w:r>
        <w:rPr>
          <w:rFonts w:hint="eastAsia" w:ascii="仿宋" w:hAnsi="仿宋" w:eastAsia="仿宋" w:cs="仿宋"/>
          <w:sz w:val="30"/>
          <w:szCs w:val="30"/>
        </w:rPr>
        <w:t>压缩公用经费</w:t>
      </w:r>
      <w:r>
        <w:rPr>
          <w:rFonts w:hint="eastAsia" w:ascii="仿宋" w:hAnsi="仿宋" w:eastAsia="仿宋" w:cs="仿宋"/>
          <w:color w:val="000000" w:themeColor="text1"/>
          <w:sz w:val="30"/>
          <w:szCs w:val="30"/>
        </w:rPr>
        <w:t>；公务用车购置及运行维护费支出0.万元，占100%，比上年减少0.万元，降低0%，减少原因是出车业务减少；公务接待费支出</w:t>
      </w:r>
      <w:r>
        <w:rPr>
          <w:rFonts w:hint="eastAsia" w:ascii="仿宋" w:hAnsi="仿宋" w:eastAsia="仿宋" w:cs="仿宋"/>
          <w:color w:val="000000" w:themeColor="text1"/>
          <w:sz w:val="30"/>
          <w:szCs w:val="30"/>
          <w:lang w:val="en-US" w:eastAsia="zh-CN"/>
        </w:rPr>
        <w:t>1.56</w:t>
      </w:r>
      <w:r>
        <w:rPr>
          <w:rFonts w:hint="eastAsia" w:ascii="仿宋" w:hAnsi="仿宋" w:eastAsia="仿宋" w:cs="仿宋"/>
          <w:color w:val="000000" w:themeColor="text1"/>
          <w:sz w:val="30"/>
          <w:szCs w:val="30"/>
        </w:rPr>
        <w:t>万元，占</w:t>
      </w:r>
      <w:r>
        <w:rPr>
          <w:rFonts w:hint="eastAsia" w:ascii="仿宋" w:hAnsi="仿宋" w:eastAsia="仿宋" w:cs="仿宋"/>
          <w:color w:val="000000" w:themeColor="text1"/>
          <w:sz w:val="30"/>
          <w:szCs w:val="30"/>
          <w:lang w:val="en-US" w:eastAsia="zh-CN"/>
        </w:rPr>
        <w:t>100</w:t>
      </w:r>
      <w:r>
        <w:rPr>
          <w:rFonts w:hint="eastAsia" w:ascii="仿宋" w:hAnsi="仿宋" w:eastAsia="仿宋" w:cs="仿宋"/>
          <w:color w:val="000000" w:themeColor="text1"/>
          <w:sz w:val="30"/>
          <w:szCs w:val="30"/>
        </w:rPr>
        <w:t>%，比上年增加</w:t>
      </w:r>
      <w:r>
        <w:rPr>
          <w:rFonts w:hint="eastAsia" w:ascii="仿宋" w:hAnsi="仿宋" w:eastAsia="仿宋" w:cs="仿宋"/>
          <w:color w:val="000000" w:themeColor="text1"/>
          <w:sz w:val="30"/>
          <w:szCs w:val="30"/>
          <w:lang w:val="en-US" w:eastAsia="zh-CN"/>
        </w:rPr>
        <w:t>1.56</w:t>
      </w:r>
      <w:r>
        <w:rPr>
          <w:rFonts w:hint="eastAsia" w:ascii="仿宋" w:hAnsi="仿宋" w:eastAsia="仿宋" w:cs="仿宋"/>
          <w:color w:val="000000" w:themeColor="text1"/>
          <w:sz w:val="30"/>
          <w:szCs w:val="30"/>
        </w:rPr>
        <w:t>万元，增长</w:t>
      </w:r>
      <w:r>
        <w:rPr>
          <w:rFonts w:hint="eastAsia" w:ascii="仿宋" w:hAnsi="仿宋" w:eastAsia="仿宋" w:cs="仿宋"/>
          <w:color w:val="000000" w:themeColor="text1"/>
          <w:sz w:val="30"/>
          <w:szCs w:val="30"/>
          <w:lang w:val="en-US" w:eastAsia="zh-CN"/>
        </w:rPr>
        <w:t>100</w:t>
      </w:r>
      <w:r>
        <w:rPr>
          <w:rFonts w:hint="eastAsia" w:ascii="仿宋" w:hAnsi="仿宋" w:eastAsia="仿宋" w:cs="仿宋"/>
          <w:color w:val="000000" w:themeColor="text1"/>
          <w:sz w:val="30"/>
          <w:szCs w:val="30"/>
        </w:rPr>
        <w:t>%，增加原因是</w:t>
      </w:r>
      <w:r>
        <w:rPr>
          <w:rFonts w:hint="eastAsia" w:ascii="仿宋" w:hAnsi="仿宋" w:eastAsia="仿宋" w:cs="仿宋"/>
          <w:color w:val="000000" w:themeColor="text1"/>
          <w:sz w:val="30"/>
          <w:szCs w:val="30"/>
          <w:lang w:eastAsia="zh-CN"/>
        </w:rPr>
        <w:t>接待增加</w:t>
      </w:r>
      <w:r>
        <w:rPr>
          <w:rFonts w:hint="eastAsia" w:ascii="仿宋" w:hAnsi="仿宋" w:eastAsia="仿宋" w:cs="仿宋"/>
          <w:color w:val="000000" w:themeColor="text1"/>
          <w:sz w:val="30"/>
          <w:szCs w:val="30"/>
        </w:rPr>
        <w:t xml:space="preserve">。 </w:t>
      </w:r>
      <w:r>
        <w:rPr>
          <w:rFonts w:hint="eastAsia" w:ascii="仿宋" w:hAnsi="仿宋" w:eastAsia="仿宋" w:cs="仿宋"/>
          <w:color w:val="000000" w:themeColor="text1"/>
          <w:sz w:val="30"/>
          <w:szCs w:val="30"/>
          <w:lang w:val="en-US" w:eastAsia="zh-CN"/>
        </w:rPr>
        <w:t>2017年接待98批次，接待407人。</w:t>
      </w:r>
    </w:p>
    <w:p>
      <w:pPr>
        <w:spacing w:after="0" w:line="520" w:lineRule="exact"/>
        <w:ind w:firstLine="600" w:firstLineChars="200"/>
        <w:rPr>
          <w:rFonts w:hint="eastAsia" w:ascii="仿宋" w:hAnsi="仿宋" w:eastAsia="仿宋" w:cs="仿宋"/>
          <w:color w:val="000000" w:themeColor="text1"/>
          <w:sz w:val="30"/>
          <w:szCs w:val="30"/>
          <w:lang w:eastAsia="zh-CN"/>
        </w:rPr>
      </w:pPr>
      <w:r>
        <w:rPr>
          <w:rFonts w:hint="eastAsia" w:ascii="仿宋" w:hAnsi="仿宋" w:eastAsia="仿宋" w:cs="仿宋"/>
          <w:color w:val="000000" w:themeColor="text1"/>
          <w:sz w:val="30"/>
          <w:szCs w:val="30"/>
          <w:lang w:eastAsia="zh-CN"/>
        </w:rPr>
        <w:t>与预算情况相比</w:t>
      </w:r>
    </w:p>
    <w:p>
      <w:pPr>
        <w:spacing w:after="0" w:line="520" w:lineRule="exact"/>
        <w:ind w:firstLine="600" w:firstLineChars="200"/>
        <w:rPr>
          <w:rFonts w:hint="eastAsia" w:ascii="仿宋" w:hAnsi="仿宋" w:eastAsia="仿宋" w:cs="仿宋"/>
          <w:color w:val="000000" w:themeColor="text1"/>
          <w:sz w:val="30"/>
          <w:szCs w:val="30"/>
          <w:lang w:eastAsia="zh-CN"/>
        </w:rPr>
      </w:pPr>
      <w:r>
        <w:rPr>
          <w:rFonts w:hint="eastAsia" w:ascii="仿宋" w:hAnsi="仿宋" w:eastAsia="仿宋" w:cs="仿宋"/>
          <w:color w:val="000000" w:themeColor="text1"/>
          <w:sz w:val="30"/>
          <w:szCs w:val="30"/>
          <w:lang w:eastAsia="zh-CN"/>
        </w:rPr>
        <w:t>三公经费决算与预算一致。</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其他有关说明内容无。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五、机关运行经费支出情况 </w:t>
      </w:r>
    </w:p>
    <w:p>
      <w:pPr>
        <w:spacing w:after="0" w:line="520" w:lineRule="exact"/>
        <w:ind w:firstLine="600" w:firstLineChars="200"/>
        <w:rPr>
          <w:rFonts w:hint="eastAsia" w:ascii="仿宋" w:hAnsi="仿宋" w:eastAsia="仿宋" w:cs="仿宋"/>
          <w:bCs/>
          <w:color w:val="FF0000"/>
          <w:sz w:val="30"/>
          <w:szCs w:val="30"/>
          <w:lang w:val="en-US" w:eastAsia="zh-CN"/>
        </w:rPr>
      </w:pPr>
      <w:r>
        <w:rPr>
          <w:rFonts w:hint="eastAsia" w:ascii="仿宋" w:hAnsi="仿宋" w:eastAsia="仿宋" w:cs="仿宋"/>
          <w:bCs/>
          <w:color w:val="auto"/>
          <w:sz w:val="30"/>
          <w:szCs w:val="30"/>
        </w:rPr>
        <w:t>本单位为事业单位，无机关运行经费</w:t>
      </w:r>
      <w:r>
        <w:rPr>
          <w:rFonts w:hint="eastAsia" w:ascii="仿宋" w:hAnsi="仿宋" w:eastAsia="仿宋" w:cs="仿宋"/>
          <w:bCs/>
          <w:color w:val="auto"/>
          <w:sz w:val="30"/>
          <w:szCs w:val="30"/>
          <w:lang w:eastAsia="zh-CN"/>
        </w:rPr>
        <w:t>，事业运行经费为</w:t>
      </w:r>
      <w:r>
        <w:rPr>
          <w:rFonts w:hint="eastAsia" w:ascii="仿宋" w:hAnsi="仿宋" w:eastAsia="仿宋" w:cs="仿宋"/>
          <w:bCs/>
          <w:color w:val="auto"/>
          <w:sz w:val="30"/>
          <w:szCs w:val="30"/>
          <w:lang w:val="en-US" w:eastAsia="zh-CN"/>
        </w:rPr>
        <w:t>37.49万元。</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其他有关说明内容</w:t>
      </w:r>
      <w:r>
        <w:rPr>
          <w:rFonts w:hint="eastAsia" w:ascii="仿宋" w:hAnsi="仿宋" w:eastAsia="仿宋" w:cs="仿宋"/>
          <w:color w:val="000000" w:themeColor="text1"/>
          <w:sz w:val="30"/>
          <w:szCs w:val="30"/>
          <w:lang w:eastAsia="zh-CN"/>
        </w:rPr>
        <w:t>：</w:t>
      </w:r>
      <w:r>
        <w:rPr>
          <w:rFonts w:hint="eastAsia" w:ascii="仿宋" w:hAnsi="仿宋" w:eastAsia="仿宋" w:cs="仿宋"/>
          <w:color w:val="000000" w:themeColor="text1"/>
          <w:sz w:val="30"/>
          <w:szCs w:val="30"/>
        </w:rPr>
        <w:t>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六、政府采购情况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玛纳斯县</w:t>
      </w:r>
      <w:r>
        <w:rPr>
          <w:rFonts w:hint="eastAsia" w:ascii="仿宋" w:hAnsi="仿宋" w:eastAsia="仿宋" w:cs="仿宋"/>
          <w:sz w:val="30"/>
          <w:szCs w:val="30"/>
          <w:lang w:eastAsia="zh-CN"/>
        </w:rPr>
        <w:t>政务服务中心</w:t>
      </w:r>
      <w:r>
        <w:rPr>
          <w:rFonts w:hint="eastAsia" w:ascii="仿宋" w:hAnsi="仿宋" w:eastAsia="仿宋" w:cs="仿宋"/>
          <w:sz w:val="30"/>
          <w:szCs w:val="30"/>
        </w:rPr>
        <w:t>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其他有关说明内容。无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七、其他重要事项的情况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（一）国有资产占用情况说明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截至2017年12月31日，资产总计89.2万元，其中：流动资产</w:t>
      </w:r>
      <w:r>
        <w:rPr>
          <w:rFonts w:hint="eastAsia" w:ascii="仿宋" w:hAnsi="仿宋" w:eastAsia="仿宋" w:cs="仿宋"/>
          <w:color w:val="000000" w:themeColor="text1"/>
          <w:sz w:val="30"/>
          <w:szCs w:val="30"/>
          <w:lang w:val="en-US" w:eastAsia="zh-CN"/>
        </w:rPr>
        <w:t>7.69</w:t>
      </w:r>
      <w:r>
        <w:rPr>
          <w:rFonts w:hint="eastAsia" w:ascii="仿宋" w:hAnsi="仿宋" w:eastAsia="仿宋" w:cs="仿宋"/>
          <w:color w:val="000000" w:themeColor="text1"/>
          <w:sz w:val="30"/>
          <w:szCs w:val="30"/>
        </w:rPr>
        <w:t>万元，固定资产81.5万元，，其中：部级领导干部用车0辆、一般公务用车1辆、一般执法执勤用车0辆、特种专业技术用车0辆、其他用车0辆；单位价值50万元以上通用设备0台（套）、单位价值100万元以上专用设备0台（套），其他固定资产价值0万元。</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其他有关说明内容。无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截至2017年12月31日，玛纳斯县</w:t>
      </w:r>
      <w:r>
        <w:rPr>
          <w:rFonts w:hint="eastAsia" w:ascii="仿宋" w:hAnsi="仿宋" w:eastAsia="仿宋" w:cs="仿宋"/>
          <w:sz w:val="30"/>
          <w:szCs w:val="30"/>
          <w:lang w:eastAsia="zh-CN"/>
        </w:rPr>
        <w:t>政务服务中心</w:t>
      </w:r>
      <w:r>
        <w:rPr>
          <w:rFonts w:hint="eastAsia" w:ascii="仿宋" w:hAnsi="仿宋" w:eastAsia="仿宋" w:cs="仿宋"/>
          <w:sz w:val="30"/>
          <w:szCs w:val="30"/>
        </w:rPr>
        <w:t xml:space="preserve">资产有偿使用收入合计0万元，资产处置收入合计0万元。其中：已缴国库0万元， 已缴财政专户0万元，应缴未缴0万元，单位留用0万元。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其他有关说明内容。 无</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年度，本部门单位实行绩效管理的项目</w:t>
      </w:r>
      <w:r>
        <w:rPr>
          <w:rFonts w:hint="eastAsia" w:ascii="仿宋" w:hAnsi="仿宋" w:eastAsia="仿宋" w:cs="仿宋"/>
          <w:sz w:val="30"/>
          <w:szCs w:val="30"/>
          <w:lang w:val="en-US" w:eastAsia="zh-CN"/>
        </w:rPr>
        <w:t>0</w:t>
      </w:r>
      <w:r>
        <w:rPr>
          <w:rFonts w:hint="eastAsia" w:ascii="仿宋" w:hAnsi="仿宋" w:eastAsia="仿宋" w:cs="仿宋"/>
          <w:sz w:val="30"/>
          <w:szCs w:val="30"/>
        </w:rPr>
        <w:t>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无</w:t>
      </w:r>
    </w:p>
    <w:p>
      <w:pPr>
        <w:spacing w:line="220" w:lineRule="atLeast"/>
        <w:ind w:firstLine="562" w:firstLineChars="200"/>
        <w:jc w:val="center"/>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第三部分 专业名词解释</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财政拨款收入：指同级财政当年拨付的资金。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上级补助收入：指事业单位从主管部门和上级单位取得的非财政补助收入。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事业收入：指事业单位开展专业业务活动及其辅助活动所取得的收入。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附属单位缴款：指事业单位附属的独立核算单位按有关规定上缴的收入。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其他收入：指除上述“财政拨款收入”、“事业收入”、“经营收入”、“附属单位缴款”等之外取得的收入。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结余分配：反映单位当年结余的分配情况。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基本支出：指为保障机构正常运转、完成日常工作任务而发生的人员支出和公用支出。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项目支出：指在基本支出之外为完成特定行政任务和事业发展目标所发生的支出。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对附属单位补助支出：指事业单位发生的用非财政预算资金对附属单位的补助支出。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本单位支出功能分类说明。2050203：指初中教育。2050299（项）其他普通教育支出，2080505：指</w:t>
      </w:r>
      <w:bookmarkStart w:id="0" w:name="_GoBack"/>
      <w:bookmarkEnd w:id="0"/>
      <w:r>
        <w:rPr>
          <w:rFonts w:hint="eastAsia" w:ascii="仿宋" w:hAnsi="仿宋" w:eastAsia="仿宋" w:cs="仿宋"/>
          <w:color w:val="000000" w:themeColor="text1"/>
          <w:sz w:val="30"/>
          <w:szCs w:val="30"/>
        </w:rPr>
        <w:t xml:space="preserve">机关事业单位基本养老保险缴费支出。 </w:t>
      </w: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after="0" w:line="520" w:lineRule="exact"/>
        <w:ind w:firstLine="600" w:firstLineChars="200"/>
        <w:rPr>
          <w:rFonts w:hint="eastAsia" w:ascii="仿宋" w:hAnsi="仿宋" w:eastAsia="仿宋" w:cs="仿宋"/>
          <w:color w:val="000000" w:themeColor="text1"/>
          <w:sz w:val="30"/>
          <w:szCs w:val="30"/>
        </w:rPr>
      </w:pPr>
    </w:p>
    <w:p>
      <w:pPr>
        <w:spacing w:line="220" w:lineRule="atLeast"/>
        <w:jc w:val="both"/>
        <w:rPr>
          <w:rFonts w:cs="仿宋" w:asciiTheme="minorEastAsia" w:hAnsiTheme="minorEastAsia" w:eastAsiaTheme="minorEastAsia"/>
          <w:bCs/>
          <w:color w:val="000000" w:themeColor="text1"/>
          <w:sz w:val="28"/>
          <w:szCs w:val="28"/>
        </w:rPr>
      </w:pPr>
    </w:p>
    <w:p>
      <w:pPr>
        <w:spacing w:line="220" w:lineRule="atLeast"/>
        <w:ind w:firstLine="2249" w:firstLineChars="800"/>
        <w:jc w:val="both"/>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第四部分 部门决算报表（见附表）</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一、报表封面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二、《收入支出决算总表》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三、《收入决算表》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四、《支出决算表》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五、《收入支出决算表》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六、《项目收入支出决算表》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七、《行政事业类项目收入支出决算表》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八、《基本建设类项目收入支出决算表》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九、《支出决算明细表》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十、《基本支出决算明细表》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十一、《项目支出决算明细表》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十二、《财政专户管理资金收入支出决算表》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十三、《财政拨款收入支出决算总表》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十四、《一般公共预算财政拨款收入支出决算表》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十五、《一般公共预算财政拨款支出决算明细表》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十六、《一般公共预算财政拨款基本支出决算明细表》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十七、《一般公共预算财政拨款项目支出决算明细表》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十八、《政府性基金预算财政拨款收入支出决算表》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十九、《政府性基金预算财政拨款支出决算明细表》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二十、《政府性基金预算财政拨款基本支出决算明细表》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二十一、《政府性基金预算财政拨款项目支出决算明细表》。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二十二、《资产负债简表》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二十三、《资产情况表》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二十四、《国有资产收益征缴情况表》、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二十五、《基本数字表》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二十六、《机构人员情况表》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二十七、《非税收入征缴情况表》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二十八、《部门决算相关信息统计表》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二十九、《政府采购情况表》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三十、《2017年度一般公共预算“三公”经费支出情况表》 </w:t>
      </w:r>
    </w:p>
    <w:p>
      <w:pPr>
        <w:spacing w:after="0" w:line="520" w:lineRule="exact"/>
        <w:ind w:firstLine="600" w:firstLineChars="200"/>
        <w:rPr>
          <w:rFonts w:hint="eastAsia" w:ascii="仿宋" w:hAnsi="仿宋" w:eastAsia="仿宋" w:cs="仿宋"/>
          <w:color w:val="000000" w:themeColor="text1"/>
          <w:sz w:val="30"/>
          <w:szCs w:val="30"/>
        </w:rPr>
      </w:pP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033F1E"/>
    <w:rsid w:val="00055A37"/>
    <w:rsid w:val="0006149E"/>
    <w:rsid w:val="000828D5"/>
    <w:rsid w:val="000908BF"/>
    <w:rsid w:val="00094079"/>
    <w:rsid w:val="000A052B"/>
    <w:rsid w:val="000A5649"/>
    <w:rsid w:val="000C6CCB"/>
    <w:rsid w:val="000D0E5B"/>
    <w:rsid w:val="000E02FA"/>
    <w:rsid w:val="0010769C"/>
    <w:rsid w:val="0011222F"/>
    <w:rsid w:val="00113945"/>
    <w:rsid w:val="00120F83"/>
    <w:rsid w:val="00124956"/>
    <w:rsid w:val="001A100E"/>
    <w:rsid w:val="001D349E"/>
    <w:rsid w:val="001D4D8F"/>
    <w:rsid w:val="001E5360"/>
    <w:rsid w:val="001E7BD8"/>
    <w:rsid w:val="001F5FD0"/>
    <w:rsid w:val="00231C33"/>
    <w:rsid w:val="0023560C"/>
    <w:rsid w:val="00262593"/>
    <w:rsid w:val="0026539E"/>
    <w:rsid w:val="002C030E"/>
    <w:rsid w:val="003B09C3"/>
    <w:rsid w:val="003B6905"/>
    <w:rsid w:val="0040469C"/>
    <w:rsid w:val="00407608"/>
    <w:rsid w:val="0041757F"/>
    <w:rsid w:val="004229A0"/>
    <w:rsid w:val="0044054A"/>
    <w:rsid w:val="00442A8F"/>
    <w:rsid w:val="00465E1E"/>
    <w:rsid w:val="00470ECE"/>
    <w:rsid w:val="00472A92"/>
    <w:rsid w:val="004F0E8A"/>
    <w:rsid w:val="005712EF"/>
    <w:rsid w:val="00591C6F"/>
    <w:rsid w:val="005A6966"/>
    <w:rsid w:val="005C2146"/>
    <w:rsid w:val="005F0E36"/>
    <w:rsid w:val="005F21F0"/>
    <w:rsid w:val="005F7240"/>
    <w:rsid w:val="006058FD"/>
    <w:rsid w:val="006127BC"/>
    <w:rsid w:val="00621B2F"/>
    <w:rsid w:val="0062359F"/>
    <w:rsid w:val="0063241F"/>
    <w:rsid w:val="00646EEF"/>
    <w:rsid w:val="006659A7"/>
    <w:rsid w:val="006750C4"/>
    <w:rsid w:val="006D7B5F"/>
    <w:rsid w:val="006E17D4"/>
    <w:rsid w:val="0071455B"/>
    <w:rsid w:val="0072334E"/>
    <w:rsid w:val="00732C5D"/>
    <w:rsid w:val="00735251"/>
    <w:rsid w:val="0073594C"/>
    <w:rsid w:val="007603E0"/>
    <w:rsid w:val="00844BF5"/>
    <w:rsid w:val="0088086F"/>
    <w:rsid w:val="00897508"/>
    <w:rsid w:val="008D086D"/>
    <w:rsid w:val="008F657E"/>
    <w:rsid w:val="00917BA3"/>
    <w:rsid w:val="009338EB"/>
    <w:rsid w:val="009773E5"/>
    <w:rsid w:val="009B7CEF"/>
    <w:rsid w:val="009F2137"/>
    <w:rsid w:val="00A06553"/>
    <w:rsid w:val="00A07488"/>
    <w:rsid w:val="00A26DEE"/>
    <w:rsid w:val="00A87C8A"/>
    <w:rsid w:val="00A93702"/>
    <w:rsid w:val="00AA6BEA"/>
    <w:rsid w:val="00AB3F5F"/>
    <w:rsid w:val="00B4643F"/>
    <w:rsid w:val="00BC61F7"/>
    <w:rsid w:val="00C15994"/>
    <w:rsid w:val="00C8021A"/>
    <w:rsid w:val="00CB28F8"/>
    <w:rsid w:val="00CD2411"/>
    <w:rsid w:val="00D13FC1"/>
    <w:rsid w:val="00D2523E"/>
    <w:rsid w:val="00D3436D"/>
    <w:rsid w:val="00D76FC6"/>
    <w:rsid w:val="00DF6DF4"/>
    <w:rsid w:val="00DF75C6"/>
    <w:rsid w:val="00E61534"/>
    <w:rsid w:val="00E80332"/>
    <w:rsid w:val="00E80DAC"/>
    <w:rsid w:val="00E85CEE"/>
    <w:rsid w:val="00E9748C"/>
    <w:rsid w:val="00EB5523"/>
    <w:rsid w:val="00EB6F5D"/>
    <w:rsid w:val="00F5593C"/>
    <w:rsid w:val="00F960B3"/>
    <w:rsid w:val="00FD7172"/>
    <w:rsid w:val="00FE1FCA"/>
    <w:rsid w:val="00FE2B8B"/>
    <w:rsid w:val="0A99575A"/>
    <w:rsid w:val="1072184F"/>
    <w:rsid w:val="161A0D74"/>
    <w:rsid w:val="16612930"/>
    <w:rsid w:val="16CE77B4"/>
    <w:rsid w:val="2084780B"/>
    <w:rsid w:val="314311DD"/>
    <w:rsid w:val="359C60B6"/>
    <w:rsid w:val="4B31025A"/>
    <w:rsid w:val="4E4E3969"/>
    <w:rsid w:val="5A9D5A93"/>
    <w:rsid w:val="62984B79"/>
    <w:rsid w:val="6FB716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Hyperlink"/>
    <w:basedOn w:val="5"/>
    <w:unhideWhenUsed/>
    <w:qFormat/>
    <w:uiPriority w:val="99"/>
    <w:rPr>
      <w:color w:val="136EC2"/>
      <w:u w:val="none"/>
    </w:rPr>
  </w:style>
  <w:style w:type="table" w:styleId="8">
    <w:name w:val="Table Grid"/>
    <w:basedOn w:val="7"/>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firstLine="420" w:firstLineChars="200"/>
    </w:pPr>
  </w:style>
  <w:style w:type="character" w:customStyle="1" w:styleId="10">
    <w:name w:val="页眉 Char"/>
    <w:basedOn w:val="5"/>
    <w:link w:val="3"/>
    <w:semiHidden/>
    <w:qFormat/>
    <w:uiPriority w:val="99"/>
    <w:rPr>
      <w:rFonts w:ascii="Tahoma" w:hAnsi="Tahoma" w:eastAsia="微软雅黑"/>
      <w:kern w:val="0"/>
      <w:sz w:val="18"/>
      <w:szCs w:val="18"/>
    </w:rPr>
  </w:style>
  <w:style w:type="character" w:customStyle="1" w:styleId="11">
    <w:name w:val="页脚 Char"/>
    <w:basedOn w:val="5"/>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12</Pages>
  <Words>831</Words>
  <Characters>4738</Characters>
  <Lines>39</Lines>
  <Paragraphs>11</Paragraphs>
  <TotalTime>3</TotalTime>
  <ScaleCrop>false</ScaleCrop>
  <LinksUpToDate>false</LinksUpToDate>
  <CharactersWithSpaces>5558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2018-12-22T14:23:11Z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