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rPr>
        <w:t xml:space="preserve">2017年度玛纳斯县幼儿园部门决算公开说明 </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第一部分玛纳斯县幼儿园概况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2" w:firstLineChars="200"/>
        <w:jc w:val="center"/>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第一部分 部门单位概况</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一、部门单位基本情况：</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玛纳斯县幼儿园，幼儿园占地面积5388平方米，舍建筑总面积5388平方米。现有12个幼儿班，幼儿园共有编制教职工31名，年末实有人数33人，有幼儿共有543名学龄前儿童。</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玛纳斯县幼儿园设置主要部门如下：校党支部、办公室、总务处</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1、校党支部及其主要职能是：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一、做好当前</w:t>
      </w:r>
      <w:r>
        <w:rPr>
          <w:rFonts w:hint="eastAsia" w:ascii="仿宋" w:hAnsi="仿宋" w:eastAsia="仿宋" w:cs="仿宋"/>
          <w:sz w:val="30"/>
          <w:szCs w:val="30"/>
          <w:lang w:eastAsia="zh-CN"/>
        </w:rPr>
        <w:t>各项</w:t>
      </w:r>
      <w:r>
        <w:rPr>
          <w:rFonts w:hint="eastAsia" w:ascii="仿宋" w:hAnsi="仿宋" w:eastAsia="仿宋" w:cs="仿宋"/>
          <w:sz w:val="30"/>
          <w:szCs w:val="30"/>
        </w:rPr>
        <w:t>工作，确保校园内不发生</w:t>
      </w:r>
      <w:r>
        <w:rPr>
          <w:rFonts w:hint="eastAsia" w:ascii="仿宋" w:hAnsi="仿宋" w:eastAsia="仿宋" w:cs="仿宋"/>
          <w:sz w:val="30"/>
          <w:szCs w:val="30"/>
          <w:lang w:eastAsia="zh-CN"/>
        </w:rPr>
        <w:t>任何</w:t>
      </w:r>
      <w:r>
        <w:rPr>
          <w:rFonts w:hint="eastAsia" w:ascii="仿宋" w:hAnsi="仿宋" w:eastAsia="仿宋" w:cs="仿宋"/>
          <w:sz w:val="30"/>
          <w:szCs w:val="30"/>
        </w:rPr>
        <w:t>事件，认真抓好学校党的思想、组织、作风建设，加强党的教育、管理，努力提高党员的素质，充分发挥党员的先锋模范作用。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二、保证、监督校长正确贯彻执行党和国家的教育方针、政策、法规，保证办学的社会主义方向。</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三、对学校行政工作的重大问题提出意见和建议， 参与决策，支持校长充分行使职权。</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四、发挥党员以身作则作用； 做好全体教职员工的思想政治工作，配合校长抓好学校的德育工作。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五、坚持党管干部的原则，加强对学校后备干部、中层干部的教育、培养、考察。</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六、根据党章规定，做好发展党员工作，做好党员的评议、鉴定工作。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七、领导学校工会、共青团、等群众组织。工会的工作职能</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一、充分发挥工会的教育职能，努力抓好教职工队伍建设</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二、充分发挥工会的监督职能， 积极完善校园民主政治制度建设</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三、充分发挥工会的维权职能， 切实维护教职工的合法利益</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四、充分发挥工会的协调职能，努力促进校园和谐</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2、办公室及其工作职能</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玛纳斯县幼儿园办公室是学校行政的综合办事机构。 其主要职能是围绕学校中心工作，积极发挥参谋助手作用，负责综合协调、信息枢纽、督促检查等工作。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一、参谋职能：全面及时掌握全校情况和动态，做好全校日常行政管理工作，负责全校年度工作计划、总结。围绕学校重大事项和中心工作开展调查研究工作，分析、研究并提意见。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三、管理职能：参与全校管理事务，负责教职工聘用、工资审核等工作，做好岗位考勤统计、审核工作，配合总务处做好有关的资金核算工作。负责对中层干部的选拔聘用、考核及考核资料的搜集、 汇总和登记工作。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 负责计划、组织、实施、管理教学工作的全过程。教务处需要协助校长确定教学管理的重点，并具体负责监督执行教学计划方案， 具体负责教学检查的组织实施，落实教学计划，确保学校教学不受干扰地正常进行。对学校的教学活动达到最有效的控制， 使学校内部各种与教学有关的机制协调运行，达到教和教学目标。</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其主要职能是：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（1）行政职能，教务处对校长负责，根据党和国家有关方针政策要求和教学大纲、教计划、教科书的要求，制定本学校的教务计划，并组织实行；</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（2）参谋职能，对教务方面的重大改革提出方案，进行论证；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（3）研究职能，对教务工作的重要课题、突破性课题、探索性课题、疑难性课题进行研究和实验；</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（4）服务性职能，在教育教学方面为教师、学生服务，从教材、实验设备、图书资料、教材教法、理论研究、教育规律探讨等方面，支持第一线教师的工作；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5）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 其主要职责是全面负责学校对学生的常规管理、 思想教育、日常行为规范的养成及学校有关的大型活动的组织工作， 促进学生良好行为习惯的养成及思想道德水平的提高。</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一、学生日常行为规范管理</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1、检查仪表仪态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2、随时掌握学生思想、操行动态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3、处理违纪现象</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4、开展德育课题</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5、加强学生政治思想教育</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二、学生安全健康工作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、建立健全学校、社会、家庭相结合的教育网络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、加强学生心理教育和法制教育</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3</w:t>
      </w:r>
      <w:bookmarkStart w:id="0" w:name="_GoBack"/>
      <w:bookmarkEnd w:id="0"/>
      <w:r>
        <w:rPr>
          <w:rFonts w:hint="eastAsia" w:ascii="仿宋" w:hAnsi="仿宋" w:eastAsia="仿宋" w:cs="仿宋"/>
          <w:sz w:val="30"/>
          <w:szCs w:val="30"/>
        </w:rPr>
        <w:t>、深化导师制管理制度</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三、班级管理工作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1、加强对班级、班主任的管理</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2、班级九项竞赛评比</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3、负责实施奖惩条例</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4、做好贫困生资助工作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总务处及其工作职能：</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总务处是在校长领导下负责校园校舍、 物资财产、生活福利等总务行政管理的职能处室。</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其主要职能是：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1、规化职能：做好全校总务工作，编制学校总务工作计划并组织实施，配合学校教学任务的完成。</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2、财务职能：遵守财经纪律，执行财务管理制度。做好学校学费、培训费的收取工作，做好财务核算、费用报销及审核工作，做好有关考勤、考核等奖金、工资发放工作。合理使用经费，按期报好报表。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3、管理职能：负责学校基建、卫生保健、教学物品采购工作，协调本部门与校内外有关部门工作联系。 负责全校各种设备、器具、财产的管理、保养和维修，指导有关部门和人员合理使用。负责门岗管理。</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4、服务职能：负责学校后勤工作，负责全校教学区、教职工生活区卫生保洁的各类设施维修、监督、管理等工作。关心师生生活，办好食堂和教职工集体福利事业。</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从决算单位构成看，玛纳斯县幼儿园部门决算包括：玛纳斯县幼儿园部门本级决算、所属单位决算等。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纳入玛纳斯县幼儿园</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年部门决算编制范围的单位名单见下表：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389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389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389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玛纳斯县幼儿园单位本级</w:t>
            </w:r>
          </w:p>
        </w:tc>
        <w:tc>
          <w:tcPr>
            <w:tcW w:w="2841" w:type="dxa"/>
          </w:tcPr>
          <w:p>
            <w:pPr>
              <w:widowControl w:val="0"/>
              <w:spacing w:line="220" w:lineRule="atLeast"/>
              <w:jc w:val="center"/>
              <w:rPr>
                <w:rFonts w:ascii="仿宋" w:hAnsi="仿宋" w:eastAsia="仿宋" w:cs="仿宋"/>
                <w:sz w:val="30"/>
                <w:szCs w:val="30"/>
              </w:rPr>
            </w:pPr>
          </w:p>
        </w:tc>
      </w:tr>
    </w:tbl>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2" w:firstLineChars="200"/>
        <w:jc w:val="center"/>
        <w:textAlignment w:val="auto"/>
        <w:outlineLvl w:val="9"/>
        <w:rPr>
          <w:rFonts w:hint="eastAsia" w:ascii="仿宋" w:hAnsi="仿宋" w:eastAsia="仿宋" w:cs="仿宋"/>
          <w:b/>
          <w:bCs/>
          <w:sz w:val="30"/>
          <w:szCs w:val="30"/>
        </w:rPr>
      </w:pP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2" w:firstLineChars="200"/>
        <w:jc w:val="center"/>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第二部分 部门决算情况说明</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一、部门收支总体情况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2017年度决算收入717.33万元,与上年510.29</w:t>
      </w:r>
      <w:r>
        <w:rPr>
          <w:rFonts w:hint="eastAsia" w:ascii="仿宋" w:hAnsi="仿宋" w:eastAsia="仿宋" w:cs="仿宋"/>
          <w:sz w:val="30"/>
          <w:szCs w:val="30"/>
          <w:lang w:eastAsia="zh-CN"/>
        </w:rPr>
        <w:t>万元</w:t>
      </w:r>
      <w:r>
        <w:rPr>
          <w:rFonts w:hint="eastAsia" w:ascii="仿宋" w:hAnsi="仿宋" w:eastAsia="仿宋" w:cs="仿宋"/>
          <w:sz w:val="30"/>
          <w:szCs w:val="30"/>
        </w:rPr>
        <w:t>相比，增加207.04万元，增长40.57%，支出716.60万元,与上年510.36</w:t>
      </w:r>
      <w:r>
        <w:rPr>
          <w:rFonts w:hint="eastAsia" w:ascii="仿宋" w:hAnsi="仿宋" w:eastAsia="仿宋" w:cs="仿宋"/>
          <w:sz w:val="30"/>
          <w:szCs w:val="30"/>
          <w:lang w:eastAsia="zh-CN"/>
        </w:rPr>
        <w:t>万元</w:t>
      </w:r>
      <w:r>
        <w:rPr>
          <w:rFonts w:hint="eastAsia" w:ascii="仿宋" w:hAnsi="仿宋" w:eastAsia="仿宋" w:cs="仿宋"/>
          <w:sz w:val="30"/>
          <w:szCs w:val="30"/>
        </w:rPr>
        <w:t>相比，增加206.24万元，增长40.40%，结余0.72万元，与上年-0.06相比，增加0.78万元，增长130%。增减变化主要原因是：项目支出中的商品服务支出。</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与预算相比情况。</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2017年度决算收入717.33万元（含其他收入），预算收入516.18万元，相差201.15万元，决算支出716.60万元，预算支出516.18万元，相差200.42万元，决算收入和支出大于预算原因为：项目支出中的学前教育支出。</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（二）部门收入总体情况说明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本年收入合计717.33万元，其中：财政拨款收入707.71万元，占98.65%；其他收入9.61万元，占1.35%。增减变化的主要原因是：项目支出中的学前教育支出。</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与预算相比情况。</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2017年预算收入为516.18万元，2017年度决算收入717.33万元，决算比预算收入增加201.15万元</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（三）部门支出总体情况说明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本年支出合计716.60万元，其中：基本支出560.87万元，占78.26%；项目支出155.72万元，占21.74%  。增减变化的主要原因是：项目支出中的商品服务支出。</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决算支出716.60万元，预算支出516.18万元，相差200.42万元，决算收入和支出大于预算原因为：项目支出中的学前教育支出。</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二、部门财政拨款收支情况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（一）财政拨款收支总体情况说明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2017年度财政拨款收入707.71万元，与上年510.26万元相比，增加197.45万元，增长38.69%。增减变化的主要原因是：项目支出中的学前教育增加。财政拨款支出707.71万元，与上年528.95万元相比，增加188.76万元，增长35.68%。其中：基本支出560.87万元，项目支出155.72万元。增减变化的主要原因是：由于本单位本年度项目支出中的学前教育经费增加。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2017年决算财政拨款收入707.71万元，2017年预算收入为516.18万元，相差191.53万元</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2017年度一般公共预算财政拨款支出707.71万元。与上年数510.26万元相比，增加197.45万元，增长38.69%。增减变化的主要原因是：由于本单位本年度项目支出增加导致相应支出增加。 其中：按功能分类科目，教育支出654.45万元，社会保障和就业支出53.26万元。按经济分类科目，工资福利支出486.71万元，商品和服务支出76.24万元。对个人和家庭的补助123.17万元，其他资本性支出21.58万元。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与预算相比情况。</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2017年度一般公共预算财政拨款支出707.71万元，与年初预算516.18万元相差191.53万元，超支37.10%，其中教育支出中工资福利支出占主要超支。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。其中：按功能分类科目，教育支出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万元，社会保障和就业支出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万元。对个人和家庭的补助</w:t>
      </w:r>
      <w:r>
        <w:rPr>
          <w:rFonts w:hint="eastAsia" w:ascii="仿宋" w:hAnsi="仿宋" w:eastAsia="仿宋" w:cs="仿宋"/>
          <w:sz w:val="30"/>
          <w:szCs w:val="30"/>
          <w:lang w:val="en-US" w:eastAsia="zh-CN"/>
        </w:rPr>
        <w:t>0</w:t>
      </w:r>
      <w:r>
        <w:rPr>
          <w:rFonts w:hint="eastAsia" w:ascii="仿宋" w:hAnsi="仿宋" w:eastAsia="仿宋" w:cs="仿宋"/>
          <w:sz w:val="30"/>
          <w:szCs w:val="30"/>
        </w:rPr>
        <w:t>万元，其他资本性支出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left="598" w:leftChars="272"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%。其他有关说明内容。无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2017年</w:t>
      </w:r>
      <w:r>
        <w:rPr>
          <w:rFonts w:hint="eastAsia" w:ascii="仿宋" w:hAnsi="仿宋" w:eastAsia="仿宋" w:cs="仿宋"/>
          <w:sz w:val="30"/>
          <w:szCs w:val="30"/>
        </w:rPr>
        <w:t>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人次。开支内容包括：</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万元。主要用于</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w:t>
      </w:r>
      <w:r>
        <w:rPr>
          <w:rFonts w:hint="eastAsia" w:ascii="仿宋" w:hAnsi="仿宋" w:eastAsia="仿宋" w:cs="仿宋"/>
          <w:sz w:val="30"/>
          <w:szCs w:val="30"/>
          <w:lang w:eastAsia="zh-CN"/>
        </w:rPr>
        <w:t>2017年</w:t>
      </w:r>
      <w:r>
        <w:rPr>
          <w:rFonts w:hint="eastAsia" w:ascii="仿宋" w:hAnsi="仿宋" w:eastAsia="仿宋" w:cs="仿宋"/>
          <w:sz w:val="30"/>
          <w:szCs w:val="30"/>
        </w:rPr>
        <w:t>，单位一般公共财政拨款安排的公务用车购置量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等。单位国内公务接待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w:t>
      </w:r>
      <w:r>
        <w:rPr>
          <w:rFonts w:hint="eastAsia" w:ascii="仿宋" w:hAnsi="仿宋" w:eastAsia="仿宋" w:cs="仿宋"/>
          <w:sz w:val="30"/>
          <w:szCs w:val="30"/>
          <w:lang w:val="en-US" w:eastAsia="zh-CN"/>
        </w:rPr>
        <w:t>年初</w:t>
      </w:r>
      <w:r>
        <w:rPr>
          <w:rFonts w:hint="eastAsia" w:ascii="仿宋" w:hAnsi="仿宋" w:eastAsia="仿宋" w:cs="仿宋"/>
          <w:sz w:val="30"/>
          <w:szCs w:val="30"/>
        </w:rPr>
        <w:t>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hint="eastAsia" w:ascii="仿宋" w:hAnsi="仿宋" w:eastAsia="仿宋" w:cs="仿宋"/>
          <w:color w:val="FF0000"/>
          <w:sz w:val="30"/>
          <w:szCs w:val="30"/>
          <w:lang w:eastAsia="zh-CN"/>
        </w:rPr>
      </w:pP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年度单位机关运行经费支出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万元，比上年增加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%，主要原因是</w:t>
      </w:r>
      <w:r>
        <w:rPr>
          <w:rFonts w:hint="eastAsia" w:ascii="仿宋" w:hAnsi="仿宋" w:eastAsia="仿宋" w:cs="仿宋"/>
          <w:color w:val="auto"/>
          <w:sz w:val="30"/>
          <w:szCs w:val="30"/>
          <w:lang w:val="en-US" w:eastAsia="zh-CN"/>
        </w:rPr>
        <w:t>本单位为事业单位，有事业运行经费，无机关运行经费</w:t>
      </w:r>
      <w:r>
        <w:rPr>
          <w:rFonts w:hint="eastAsia" w:ascii="仿宋" w:hAnsi="仿宋" w:eastAsia="仿宋" w:cs="仿宋"/>
          <w:color w:val="auto"/>
          <w:sz w:val="30"/>
          <w:szCs w:val="30"/>
        </w:rPr>
        <w:t>。</w:t>
      </w:r>
      <w:r>
        <w:rPr>
          <w:rFonts w:hint="eastAsia" w:ascii="仿宋" w:hAnsi="仿宋" w:eastAsia="仿宋" w:cs="仿宋"/>
          <w:color w:val="FF0000"/>
          <w:sz w:val="30"/>
          <w:szCs w:val="30"/>
        </w:rPr>
        <w:t xml:space="preserve">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其他有关说明内容。无。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七、其他重要事项的情况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（一）国有资产占用情况说明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截至2017年12月31日，资产总计748.48万元，其中：流动资产69.96万元，固定资产678.52万元，其中：房屋5388（平方米），价值507.95万元，共有车辆0辆，价值0万元，其中：部级领导干部用车0辆、一般公务用车0辆、一般执法执勤用车0辆、特种专业技术用车0辆、其他用车0辆（其他用车主要是：……）；单位价值50万元以上通用设备0台（套）、单位价值0万元以上专用设备0台（套），其他固定资产价值170.57万元。（F01表，资产情况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其他有关说明内容。无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w:t>
      </w:r>
      <w:r>
        <w:rPr>
          <w:rFonts w:hint="eastAsia" w:ascii="仿宋" w:hAnsi="仿宋" w:eastAsia="仿宋" w:cs="仿宋"/>
          <w:sz w:val="30"/>
          <w:szCs w:val="30"/>
          <w:lang w:eastAsia="zh-CN"/>
        </w:rPr>
        <w:t>玛纳斯县幼儿园</w:t>
      </w:r>
      <w:r>
        <w:rPr>
          <w:rFonts w:hint="eastAsia" w:ascii="仿宋" w:hAnsi="仿宋" w:eastAsia="仿宋" w:cs="仿宋"/>
          <w:sz w:val="30"/>
          <w:szCs w:val="30"/>
        </w:rPr>
        <w:t>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其他有关说明内容。 无</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年度，本部门单位实行绩效管理的项目</w:t>
      </w:r>
      <w:r>
        <w:rPr>
          <w:rFonts w:hint="eastAsia" w:ascii="仿宋" w:hAnsi="仿宋" w:eastAsia="仿宋" w:cs="仿宋"/>
          <w:sz w:val="30"/>
          <w:szCs w:val="30"/>
          <w:lang w:val="en-US" w:eastAsia="zh-CN"/>
        </w:rPr>
        <w:t>0</w:t>
      </w:r>
      <w:r>
        <w:rPr>
          <w:rFonts w:hint="eastAsia" w:ascii="仿宋" w:hAnsi="仿宋" w:eastAsia="仿宋" w:cs="仿宋"/>
          <w:sz w:val="30"/>
          <w:szCs w:val="30"/>
        </w:rPr>
        <w:t>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p>
    <w:p>
      <w:pPr>
        <w:keepNext w:val="0"/>
        <w:keepLines w:val="0"/>
        <w:pageBreakBefore w:val="0"/>
        <w:widowControl/>
        <w:kinsoku/>
        <w:wordWrap/>
        <w:overflowPunct/>
        <w:topLinePunct w:val="0"/>
        <w:autoSpaceDE/>
        <w:autoSpaceDN/>
        <w:bidi w:val="0"/>
        <w:adjustRightInd w:val="0"/>
        <w:snapToGrid w:val="0"/>
        <w:spacing w:beforeAutospacing="0" w:line="520" w:lineRule="exact"/>
        <w:ind w:firstLine="602" w:firstLineChars="200"/>
        <w:jc w:val="center"/>
        <w:textAlignment w:val="auto"/>
        <w:outlineLvl w:val="9"/>
        <w:rPr>
          <w:rFonts w:hint="eastAsia" w:ascii="仿宋" w:hAnsi="仿宋" w:eastAsia="仿宋" w:cs="仿宋"/>
          <w:b/>
          <w:bCs/>
          <w:sz w:val="30"/>
          <w:szCs w:val="30"/>
        </w:rPr>
      </w:pPr>
    </w:p>
    <w:p>
      <w:pPr>
        <w:keepNext w:val="0"/>
        <w:keepLines w:val="0"/>
        <w:pageBreakBefore w:val="0"/>
        <w:widowControl/>
        <w:kinsoku/>
        <w:wordWrap/>
        <w:overflowPunct/>
        <w:topLinePunct w:val="0"/>
        <w:autoSpaceDE/>
        <w:autoSpaceDN/>
        <w:bidi w:val="0"/>
        <w:adjustRightInd w:val="0"/>
        <w:snapToGrid w:val="0"/>
        <w:spacing w:beforeAutospacing="0" w:line="520" w:lineRule="exact"/>
        <w:ind w:firstLine="602" w:firstLineChars="200"/>
        <w:jc w:val="center"/>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第三部分 专业名词解释</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本单位支出功能分类说明。</w:t>
      </w:r>
      <w:r>
        <w:rPr>
          <w:rFonts w:hint="eastAsia" w:ascii="仿宋" w:hAnsi="仿宋" w:eastAsia="仿宋" w:cs="仿宋"/>
          <w:sz w:val="30"/>
          <w:szCs w:val="30"/>
          <w:lang w:val="en-US" w:eastAsia="zh-CN"/>
        </w:rPr>
        <w:t>2</w:t>
      </w:r>
      <w:r>
        <w:rPr>
          <w:rFonts w:hint="eastAsia" w:ascii="仿宋" w:hAnsi="仿宋" w:eastAsia="仿宋" w:cs="仿宋"/>
          <w:sz w:val="30"/>
          <w:szCs w:val="30"/>
        </w:rPr>
        <w:t>0</w:t>
      </w:r>
      <w:r>
        <w:rPr>
          <w:rFonts w:hint="eastAsia" w:ascii="仿宋" w:hAnsi="仿宋" w:eastAsia="仿宋" w:cs="仿宋"/>
          <w:sz w:val="30"/>
          <w:szCs w:val="30"/>
          <w:lang w:val="en-US" w:eastAsia="zh-CN"/>
        </w:rPr>
        <w:t>5</w:t>
      </w:r>
      <w:r>
        <w:rPr>
          <w:rFonts w:hint="eastAsia" w:ascii="仿宋" w:hAnsi="仿宋" w:eastAsia="仿宋" w:cs="仿宋"/>
          <w:sz w:val="30"/>
          <w:szCs w:val="30"/>
        </w:rPr>
        <w:t xml:space="preserve">0201：指学前教育。2080505：指机关事业单位养老保险缴费支出。 </w:t>
      </w:r>
    </w:p>
    <w:p>
      <w:pPr>
        <w:keepNext w:val="0"/>
        <w:keepLines w:val="0"/>
        <w:pageBreakBefore w:val="0"/>
        <w:widowControl/>
        <w:kinsoku/>
        <w:wordWrap/>
        <w:overflowPunct/>
        <w:topLinePunct w:val="0"/>
        <w:autoSpaceDE/>
        <w:autoSpaceDN/>
        <w:bidi w:val="0"/>
        <w:adjustRightInd w:val="0"/>
        <w:snapToGrid w:val="0"/>
        <w:spacing w:beforeAutospacing="0" w:line="520" w:lineRule="exact"/>
        <w:ind w:firstLine="602" w:firstLineChars="200"/>
        <w:jc w:val="center"/>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第四部分 部门决算报表（见附表）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一、报表封面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二、《收入支出决算总表》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三、《收入决算表》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四、《支出决算表》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五、《收入支出决算表》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六、《项目收入支出决算表》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九、《支出决算明细表》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十、《基本支出决算明细表》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十一、《项目支出决算明细表》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十三、《财政拨款收入支出决算总表》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二十二、《资产负债简表》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二十三、《资产情况表》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二十四、《国有资产收益征缴情况表》、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二十五、《基本数字表》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二十六、《机构人员情况表》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二十七、《非税收入征缴情况表》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二十八、《部门决算相关信息统计表》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二十九、《政府采购情况表》 </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014C5F"/>
    <w:rsid w:val="00050E30"/>
    <w:rsid w:val="000828D5"/>
    <w:rsid w:val="000908BF"/>
    <w:rsid w:val="000A052B"/>
    <w:rsid w:val="000C6CCB"/>
    <w:rsid w:val="000D0E5B"/>
    <w:rsid w:val="000D780F"/>
    <w:rsid w:val="000E02FA"/>
    <w:rsid w:val="0010769C"/>
    <w:rsid w:val="0011222F"/>
    <w:rsid w:val="00120F83"/>
    <w:rsid w:val="00124956"/>
    <w:rsid w:val="001358D2"/>
    <w:rsid w:val="0015202E"/>
    <w:rsid w:val="001A100E"/>
    <w:rsid w:val="00206EF7"/>
    <w:rsid w:val="0023560C"/>
    <w:rsid w:val="00262593"/>
    <w:rsid w:val="00264BCB"/>
    <w:rsid w:val="002C030E"/>
    <w:rsid w:val="002E2143"/>
    <w:rsid w:val="002E298A"/>
    <w:rsid w:val="00377016"/>
    <w:rsid w:val="003B6905"/>
    <w:rsid w:val="0040469C"/>
    <w:rsid w:val="00407608"/>
    <w:rsid w:val="0041757F"/>
    <w:rsid w:val="004229A0"/>
    <w:rsid w:val="0044054A"/>
    <w:rsid w:val="00442A8F"/>
    <w:rsid w:val="00465E1E"/>
    <w:rsid w:val="00472A92"/>
    <w:rsid w:val="004F0E8A"/>
    <w:rsid w:val="005A6966"/>
    <w:rsid w:val="005A7CAD"/>
    <w:rsid w:val="005D2D1B"/>
    <w:rsid w:val="005F0E36"/>
    <w:rsid w:val="005F21F0"/>
    <w:rsid w:val="005F7240"/>
    <w:rsid w:val="006058FD"/>
    <w:rsid w:val="006127BC"/>
    <w:rsid w:val="00621B2F"/>
    <w:rsid w:val="0062359F"/>
    <w:rsid w:val="0063241F"/>
    <w:rsid w:val="00646EEF"/>
    <w:rsid w:val="00655B5A"/>
    <w:rsid w:val="006659A7"/>
    <w:rsid w:val="00683E85"/>
    <w:rsid w:val="006D7B5F"/>
    <w:rsid w:val="00732C5D"/>
    <w:rsid w:val="0073594C"/>
    <w:rsid w:val="00737255"/>
    <w:rsid w:val="007603E0"/>
    <w:rsid w:val="0079566F"/>
    <w:rsid w:val="007C494C"/>
    <w:rsid w:val="00844BF5"/>
    <w:rsid w:val="0088086F"/>
    <w:rsid w:val="008842AC"/>
    <w:rsid w:val="008B3DC0"/>
    <w:rsid w:val="008D2A76"/>
    <w:rsid w:val="008E370C"/>
    <w:rsid w:val="008F657E"/>
    <w:rsid w:val="0092215C"/>
    <w:rsid w:val="009344E9"/>
    <w:rsid w:val="00991C44"/>
    <w:rsid w:val="009B7CEF"/>
    <w:rsid w:val="009F2137"/>
    <w:rsid w:val="00A06553"/>
    <w:rsid w:val="00A07488"/>
    <w:rsid w:val="00A641EF"/>
    <w:rsid w:val="00A93702"/>
    <w:rsid w:val="00AA6BEA"/>
    <w:rsid w:val="00B264E4"/>
    <w:rsid w:val="00B4643F"/>
    <w:rsid w:val="00BC61F7"/>
    <w:rsid w:val="00C15994"/>
    <w:rsid w:val="00CC57EC"/>
    <w:rsid w:val="00CD2411"/>
    <w:rsid w:val="00D13FC1"/>
    <w:rsid w:val="00D2523E"/>
    <w:rsid w:val="00D259E4"/>
    <w:rsid w:val="00D31D93"/>
    <w:rsid w:val="00DC775E"/>
    <w:rsid w:val="00DF6DF4"/>
    <w:rsid w:val="00DF75C6"/>
    <w:rsid w:val="00E51455"/>
    <w:rsid w:val="00E61534"/>
    <w:rsid w:val="00E80332"/>
    <w:rsid w:val="00E80DAC"/>
    <w:rsid w:val="00E85CEE"/>
    <w:rsid w:val="00EB5523"/>
    <w:rsid w:val="00EC4906"/>
    <w:rsid w:val="00F5593C"/>
    <w:rsid w:val="00F672B1"/>
    <w:rsid w:val="00F75377"/>
    <w:rsid w:val="00F960B3"/>
    <w:rsid w:val="00FD7172"/>
    <w:rsid w:val="00FE1FCA"/>
    <w:rsid w:val="00FE2B8B"/>
    <w:rsid w:val="00FE4D98"/>
    <w:rsid w:val="05CE03D2"/>
    <w:rsid w:val="0C964FEB"/>
    <w:rsid w:val="139005ED"/>
    <w:rsid w:val="1E183256"/>
    <w:rsid w:val="223E19C4"/>
    <w:rsid w:val="27170D5F"/>
    <w:rsid w:val="2F5F0B65"/>
    <w:rsid w:val="34D871DB"/>
    <w:rsid w:val="4BF60BB8"/>
    <w:rsid w:val="56D57DBE"/>
    <w:rsid w:val="671D453F"/>
    <w:rsid w:val="705613C2"/>
    <w:rsid w:val="7DFF1FD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Hyperlink"/>
    <w:basedOn w:val="5"/>
    <w:unhideWhenUsed/>
    <w:qFormat/>
    <w:uiPriority w:val="99"/>
    <w:rPr>
      <w:color w:val="136EC2"/>
      <w:u w:val="none"/>
    </w:rPr>
  </w:style>
  <w:style w:type="table" w:styleId="8">
    <w:name w:val="Table Grid"/>
    <w:basedOn w:val="7"/>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firstLine="420" w:firstLineChars="200"/>
    </w:pPr>
  </w:style>
  <w:style w:type="character" w:customStyle="1" w:styleId="10">
    <w:name w:val="页眉 Char"/>
    <w:basedOn w:val="5"/>
    <w:link w:val="3"/>
    <w:semiHidden/>
    <w:qFormat/>
    <w:uiPriority w:val="99"/>
    <w:rPr>
      <w:rFonts w:ascii="Tahoma" w:hAnsi="Tahoma" w:eastAsia="微软雅黑"/>
      <w:kern w:val="0"/>
      <w:sz w:val="18"/>
      <w:szCs w:val="18"/>
    </w:rPr>
  </w:style>
  <w:style w:type="character" w:customStyle="1" w:styleId="11">
    <w:name w:val="页脚 Char"/>
    <w:basedOn w:val="5"/>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A0ED56-FC22-44EA-A83F-DDE743B8CB51}">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Pages>
  <Words>1023</Words>
  <Characters>5832</Characters>
  <Lines>48</Lines>
  <Paragraphs>13</Paragraphs>
  <TotalTime>0</TotalTime>
  <ScaleCrop>false</ScaleCrop>
  <LinksUpToDate>false</LinksUpToDate>
  <CharactersWithSpaces>6842</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2019-05-06T05:52:47Z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