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520" w:lineRule="exact"/>
        <w:rPr>
          <w:rFonts w:ascii="宋体" w:hAnsi="宋体" w:eastAsia="宋体" w:cs="仿宋"/>
          <w:color w:val="000000"/>
          <w:sz w:val="28"/>
          <w:szCs w:val="28"/>
        </w:rPr>
      </w:pPr>
    </w:p>
    <w:p>
      <w:pPr>
        <w:spacing w:after="0" w:line="520" w:lineRule="exact"/>
        <w:rPr>
          <w:rFonts w:ascii="宋体" w:hAnsi="宋体" w:eastAsia="宋体" w:cs="仿宋"/>
          <w:color w:val="000000"/>
          <w:sz w:val="28"/>
          <w:szCs w:val="28"/>
        </w:rPr>
      </w:pPr>
    </w:p>
    <w:p>
      <w:pPr>
        <w:spacing w:after="0" w:line="520" w:lineRule="exact"/>
        <w:jc w:val="center"/>
        <w:rPr>
          <w:rFonts w:ascii="Calibri" w:hAnsi="Calibri" w:eastAsia="宋体" w:cs="仿宋"/>
          <w:b/>
          <w:color w:val="000000"/>
          <w:sz w:val="44"/>
          <w:szCs w:val="44"/>
        </w:rPr>
      </w:pPr>
      <w:r>
        <w:rPr>
          <w:rFonts w:ascii="Calibri" w:hAnsi="Calibri" w:eastAsia="宋体" w:cs="仿宋"/>
          <w:b/>
          <w:color w:val="000000"/>
          <w:sz w:val="44"/>
          <w:szCs w:val="44"/>
        </w:rPr>
        <w:t>2017</w:t>
      </w:r>
      <w:r>
        <w:rPr>
          <w:rFonts w:hint="eastAsia" w:ascii="Calibri" w:hAnsi="宋体" w:eastAsia="宋体" w:cs="仿宋"/>
          <w:b/>
          <w:color w:val="000000"/>
          <w:sz w:val="44"/>
          <w:szCs w:val="44"/>
        </w:rPr>
        <w:t>年度玛纳斯县文物局部门决算公开说明</w:t>
      </w:r>
    </w:p>
    <w:p>
      <w:pPr>
        <w:spacing w:after="0" w:line="520" w:lineRule="exact"/>
        <w:ind w:firstLine="560" w:firstLineChars="200"/>
        <w:jc w:val="center"/>
        <w:rPr>
          <w:rFonts w:ascii="宋体" w:hAnsi="宋体" w:eastAsia="宋体" w:cs="仿宋"/>
          <w:color w:val="000000"/>
          <w:sz w:val="28"/>
          <w:szCs w:val="28"/>
        </w:rPr>
      </w:pPr>
    </w:p>
    <w:p>
      <w:pPr>
        <w:spacing w:after="0" w:line="520" w:lineRule="exact"/>
        <w:ind w:firstLine="560" w:firstLineChars="200"/>
        <w:jc w:val="center"/>
        <w:rPr>
          <w:rFonts w:ascii="宋体" w:hAnsi="宋体" w:eastAsia="宋体" w:cs="仿宋"/>
          <w:color w:val="000000"/>
          <w:sz w:val="28"/>
          <w:szCs w:val="28"/>
        </w:rPr>
      </w:pPr>
      <w:r>
        <w:rPr>
          <w:rFonts w:hint="eastAsia" w:ascii="宋体" w:hAnsi="宋体" w:eastAsia="宋体" w:cs="仿宋"/>
          <w:color w:val="000000"/>
          <w:sz w:val="28"/>
          <w:szCs w:val="28"/>
        </w:rPr>
        <w:t>目</w:t>
      </w:r>
      <w:r>
        <w:rPr>
          <w:rFonts w:ascii="宋体" w:hAnsi="宋体" w:eastAsia="宋体" w:cs="仿宋"/>
          <w:color w:val="000000"/>
          <w:sz w:val="28"/>
          <w:szCs w:val="28"/>
        </w:rPr>
        <w:t xml:space="preserve">  </w:t>
      </w:r>
      <w:r>
        <w:rPr>
          <w:rFonts w:hint="eastAsia" w:ascii="宋体" w:hAnsi="宋体" w:eastAsia="宋体" w:cs="仿宋"/>
          <w:color w:val="000000"/>
          <w:sz w:val="28"/>
          <w:szCs w:val="28"/>
        </w:rPr>
        <w:t>录</w:t>
      </w:r>
    </w:p>
    <w:p>
      <w:pPr>
        <w:spacing w:after="0" w:line="520" w:lineRule="exact"/>
        <w:ind w:firstLine="560" w:firstLineChars="200"/>
        <w:jc w:val="center"/>
        <w:rPr>
          <w:rFonts w:ascii="宋体" w:hAnsi="宋体" w:eastAsia="宋体" w:cs="仿宋"/>
          <w:color w:val="000000"/>
          <w:sz w:val="28"/>
          <w:szCs w:val="28"/>
        </w:rPr>
      </w:pPr>
    </w:p>
    <w:p>
      <w:pPr>
        <w:spacing w:after="0" w:line="520" w:lineRule="exact"/>
        <w:ind w:firstLine="602" w:firstLineChars="200"/>
        <w:rPr>
          <w:rFonts w:ascii="仿宋" w:hAnsi="仿宋" w:eastAsia="仿宋" w:cs="仿宋"/>
          <w:b/>
          <w:bCs/>
          <w:color w:val="000000"/>
          <w:sz w:val="30"/>
          <w:szCs w:val="30"/>
        </w:rPr>
      </w:pPr>
      <w:r>
        <w:rPr>
          <w:rFonts w:hint="eastAsia" w:ascii="仿宋" w:hAnsi="仿宋" w:eastAsia="仿宋" w:cs="仿宋"/>
          <w:b/>
          <w:bCs/>
          <w:color w:val="000000"/>
          <w:sz w:val="30"/>
          <w:szCs w:val="30"/>
        </w:rPr>
        <w:t xml:space="preserve">第一部分玛纳斯县文物局概况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一、主要职能、机构设置及人员情况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二、部门决算单位构成 </w:t>
      </w:r>
    </w:p>
    <w:p>
      <w:pPr>
        <w:spacing w:after="0" w:line="520" w:lineRule="exact"/>
        <w:ind w:firstLine="602" w:firstLineChars="200"/>
        <w:rPr>
          <w:rFonts w:ascii="仿宋" w:hAnsi="仿宋" w:eastAsia="仿宋" w:cs="仿宋"/>
          <w:b/>
          <w:bCs/>
          <w:color w:val="000000"/>
          <w:sz w:val="30"/>
          <w:szCs w:val="30"/>
        </w:rPr>
      </w:pPr>
      <w:r>
        <w:rPr>
          <w:rFonts w:hint="eastAsia" w:ascii="仿宋" w:hAnsi="仿宋" w:eastAsia="仿宋" w:cs="仿宋"/>
          <w:b/>
          <w:bCs/>
          <w:color w:val="000000"/>
          <w:sz w:val="30"/>
          <w:szCs w:val="30"/>
        </w:rPr>
        <w:t xml:space="preserve">第二部分 部门决算情况说明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一、部门收支总体情况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（一）部门收入支出决算总体情况说明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（二）部门收入总体情况说明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（三）部门支出总体情况说明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二、部门财政拨款收支情况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（一）财政拨款收支总体情况说明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（二）一般公共预算支出决算情况说明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（三）政府性基金预算收支决算情况说明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（四）政府性基金预算支出决算情况说明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三、部门结转结余情况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四、一般公共预算“三公”经费支出情况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五、机关运行经费支出情况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六、政府采购情况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七、其他重要事项的情况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（一）国有资产占用情况说明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（二）国有资产收益征缴情况说明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color w:val="000000"/>
          <w:sz w:val="30"/>
          <w:szCs w:val="30"/>
        </w:rPr>
      </w:pPr>
      <w:r>
        <w:rPr>
          <w:rFonts w:hint="eastAsia" w:ascii="仿宋" w:hAnsi="仿宋" w:eastAsia="仿宋" w:cs="仿宋"/>
          <w:b/>
          <w:bCs/>
          <w:color w:val="000000"/>
          <w:sz w:val="30"/>
          <w:szCs w:val="30"/>
        </w:rPr>
        <w:t xml:space="preserve">第三部分 专业名词解释 </w:t>
      </w:r>
    </w:p>
    <w:p>
      <w:pPr>
        <w:spacing w:after="0" w:line="520" w:lineRule="exact"/>
        <w:ind w:firstLine="602" w:firstLineChars="200"/>
        <w:rPr>
          <w:rFonts w:ascii="仿宋" w:hAnsi="仿宋" w:eastAsia="仿宋" w:cs="仿宋"/>
          <w:bCs/>
          <w:color w:val="000000"/>
          <w:sz w:val="30"/>
          <w:szCs w:val="30"/>
        </w:rPr>
      </w:pPr>
      <w:r>
        <w:rPr>
          <w:rFonts w:hint="eastAsia" w:ascii="仿宋" w:hAnsi="仿宋" w:eastAsia="仿宋" w:cs="仿宋"/>
          <w:b/>
          <w:bCs/>
          <w:color w:val="000000"/>
          <w:sz w:val="30"/>
          <w:szCs w:val="30"/>
        </w:rPr>
        <w:t>第四部分 部门决算报表</w:t>
      </w:r>
      <w:r>
        <w:rPr>
          <w:rFonts w:hint="eastAsia" w:ascii="仿宋" w:hAnsi="仿宋" w:eastAsia="仿宋" w:cs="仿宋"/>
          <w:bCs/>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一、报表封面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二、部门收支总体情况（11张）：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《收入支出决算总表》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《收入决算表》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《项目收入支出决算表》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《行政事业类项目收入支出决算表》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《基本建设类项目收入支出决算表》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《基本支出决算明细表》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《项目支出决算明细表》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《财政专户管理资金收入支出决算表》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三、财政拨款收支情况（9张）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《财政拨款收入支出决算总表》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《一般公共预算财政拨款收入支出决算表》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《一般公共预算财政拨款支出决算明细表》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《一般公共预算财政拨款基本支出决算明细表》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《一般公共预算财政拨款项目支出决算明细表》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《政府性基金预算财政拨款收入支出决算表》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《政府性基金预算财政拨款支出决算明细表》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《政府性基金预算财政拨款基本支出决算明细表》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《政府性基金预算财政拨款项目支出决算明细表》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四、单位资产负责情况（1张）：《资产负债简表》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五、部门决算附表（5张）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《资产情况表》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《国有资产收益征缴情况表》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《基本数字表》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《机构人员情况表》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《非税收入征缴情况表》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六、填报说明附表（2张）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《部门决算相关信息统计表》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《政府采购情况表》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七、“三公”经费支出情况(1张)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《2017年度一般公共预算“三公”经费支出情况表》 </w:t>
      </w: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after="0" w:line="520" w:lineRule="exact"/>
        <w:jc w:val="center"/>
        <w:rPr>
          <w:rFonts w:ascii="仿宋" w:hAnsi="仿宋" w:eastAsia="仿宋" w:cs="仿宋"/>
          <w:b/>
          <w:bCs/>
          <w:color w:val="000000"/>
          <w:sz w:val="30"/>
          <w:szCs w:val="30"/>
        </w:rPr>
      </w:pPr>
      <w:r>
        <w:rPr>
          <w:rFonts w:hint="eastAsia" w:ascii="仿宋" w:hAnsi="仿宋" w:eastAsia="仿宋" w:cs="仿宋"/>
          <w:b/>
          <w:bCs/>
          <w:color w:val="000000"/>
          <w:sz w:val="30"/>
          <w:szCs w:val="30"/>
        </w:rPr>
        <w:t>第一部分 部门单位概况</w:t>
      </w:r>
    </w:p>
    <w:p>
      <w:pPr>
        <w:spacing w:after="0" w:line="520" w:lineRule="exact"/>
        <w:ind w:left="600"/>
        <w:rPr>
          <w:rFonts w:ascii="仿宋" w:hAnsi="仿宋" w:eastAsia="仿宋" w:cs="仿宋"/>
          <w:color w:val="000000"/>
          <w:sz w:val="30"/>
          <w:szCs w:val="30"/>
        </w:rPr>
      </w:pPr>
      <w:r>
        <w:rPr>
          <w:rFonts w:hint="eastAsia" w:ascii="仿宋" w:hAnsi="仿宋" w:eastAsia="仿宋" w:cs="仿宋"/>
          <w:color w:val="000000"/>
          <w:sz w:val="30"/>
          <w:szCs w:val="30"/>
        </w:rPr>
        <w:t>一、部门单位基本情况：</w:t>
      </w:r>
    </w:p>
    <w:p>
      <w:pPr>
        <w:spacing w:after="0" w:line="520" w:lineRule="exact"/>
        <w:ind w:firstLine="600" w:firstLineChars="200"/>
        <w:rPr>
          <w:rFonts w:ascii="仿宋" w:hAnsi="仿宋" w:eastAsia="仿宋" w:cs="仿宋"/>
          <w:bCs/>
          <w:color w:val="000000"/>
          <w:sz w:val="30"/>
          <w:szCs w:val="30"/>
        </w:rPr>
      </w:pPr>
      <w:r>
        <w:rPr>
          <w:rFonts w:hint="eastAsia" w:ascii="仿宋" w:hAnsi="仿宋" w:eastAsia="仿宋" w:cs="仿宋"/>
          <w:bCs/>
          <w:color w:val="000000"/>
          <w:sz w:val="30"/>
          <w:szCs w:val="30"/>
        </w:rPr>
        <w:t>玛纳斯县文物局（博物馆）隶属于玛纳斯县文化体育旅游广播影视局，属副科级事业单位，财政全额拨款，没有预算外资金收入。人员编制数7名，其中领导职数2名。年初实有人员4人，本年度调出干部1名，调入干部2名。本年末在职人数为5人，退休人员2人，其中社保发放退休费4人。</w:t>
      </w:r>
    </w:p>
    <w:p>
      <w:pPr>
        <w:spacing w:after="0" w:line="520" w:lineRule="exact"/>
        <w:ind w:firstLine="600" w:firstLineChars="200"/>
        <w:rPr>
          <w:rFonts w:ascii="仿宋" w:hAnsi="仿宋" w:eastAsia="仿宋" w:cs="仿宋"/>
          <w:bCs/>
          <w:color w:val="000000"/>
          <w:sz w:val="30"/>
          <w:szCs w:val="30"/>
        </w:rPr>
      </w:pPr>
      <w:r>
        <w:rPr>
          <w:rFonts w:hint="eastAsia" w:ascii="仿宋" w:hAnsi="仿宋" w:eastAsia="仿宋" w:cs="仿宋"/>
          <w:bCs/>
          <w:color w:val="000000"/>
          <w:sz w:val="30"/>
          <w:szCs w:val="30"/>
        </w:rPr>
        <w:t>玛纳斯县文物局（博物馆）位于玛纳斯县碧玉大道288号。玛纳斯县文物局（博物馆）集中展现玛纳斯漫长的历史人文、“三大文化”、“四张名片”和经济建设、社会发展成就，是了解玛纳斯历史的一个重要窗口；是推介宣传玛纳斯县的一个重要平台；是玛纳斯县文化交流、文物保护、文化旅游的重要阵地；也是玛纳斯县青少年爱国主义教育基地、民族团结教育基地。</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bCs/>
          <w:color w:val="000000"/>
          <w:sz w:val="30"/>
          <w:szCs w:val="30"/>
        </w:rPr>
        <w:t>玛纳斯县文物局</w:t>
      </w:r>
      <w:r>
        <w:rPr>
          <w:rFonts w:hint="eastAsia" w:ascii="仿宋" w:hAnsi="仿宋" w:eastAsia="仿宋" w:cs="仿宋"/>
          <w:sz w:val="30"/>
          <w:szCs w:val="30"/>
        </w:rPr>
        <w:t>部门决算包括：</w:t>
      </w:r>
      <w:r>
        <w:rPr>
          <w:rFonts w:hint="eastAsia" w:ascii="仿宋" w:hAnsi="仿宋" w:eastAsia="仿宋" w:cs="仿宋"/>
          <w:bCs/>
          <w:color w:val="000000"/>
          <w:sz w:val="30"/>
          <w:szCs w:val="30"/>
        </w:rPr>
        <w:t>玛纳斯县文物局</w:t>
      </w:r>
      <w:r>
        <w:rPr>
          <w:rFonts w:hint="eastAsia" w:ascii="仿宋" w:hAnsi="仿宋" w:eastAsia="仿宋" w:cs="仿宋"/>
          <w:sz w:val="30"/>
          <w:szCs w:val="30"/>
        </w:rPr>
        <w:t xml:space="preserve">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bCs/>
          <w:color w:val="000000"/>
          <w:sz w:val="30"/>
          <w:szCs w:val="30"/>
        </w:rPr>
        <w:t>玛纳斯县文物局2017</w:t>
      </w:r>
      <w:r>
        <w:rPr>
          <w:rFonts w:hint="eastAsia" w:ascii="仿宋" w:hAnsi="仿宋" w:eastAsia="仿宋" w:cs="仿宋"/>
          <w:sz w:val="30"/>
          <w:szCs w:val="30"/>
        </w:rPr>
        <w:t xml:space="preserve">年部门决算编制范围的单位名单见下表：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2"/>
        <w:gridCol w:w="4509"/>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2"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4509"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33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2"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4509"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bCs/>
                <w:color w:val="000000"/>
                <w:sz w:val="30"/>
                <w:szCs w:val="30"/>
              </w:rPr>
              <w:t>玛纳斯县文物局</w:t>
            </w:r>
            <w:r>
              <w:rPr>
                <w:rFonts w:hint="eastAsia" w:ascii="仿宋" w:hAnsi="仿宋" w:eastAsia="仿宋" w:cs="仿宋"/>
                <w:sz w:val="30"/>
                <w:szCs w:val="30"/>
              </w:rPr>
              <w:t>单位本级</w:t>
            </w:r>
          </w:p>
        </w:tc>
        <w:tc>
          <w:tcPr>
            <w:tcW w:w="233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after="0" w:line="520" w:lineRule="exact"/>
        <w:ind w:firstLine="600"/>
        <w:jc w:val="both"/>
        <w:rPr>
          <w:rFonts w:ascii="仿宋" w:hAnsi="仿宋" w:eastAsia="仿宋" w:cs="仿宋"/>
          <w:color w:val="000000"/>
          <w:sz w:val="30"/>
          <w:szCs w:val="30"/>
        </w:rPr>
      </w:pPr>
    </w:p>
    <w:p>
      <w:pPr>
        <w:spacing w:after="0" w:line="520" w:lineRule="exact"/>
        <w:ind w:firstLine="600"/>
        <w:jc w:val="both"/>
        <w:rPr>
          <w:rFonts w:ascii="仿宋" w:hAnsi="仿宋" w:eastAsia="仿宋" w:cs="仿宋"/>
          <w:color w:val="000000"/>
          <w:sz w:val="30"/>
          <w:szCs w:val="30"/>
        </w:rPr>
      </w:pPr>
    </w:p>
    <w:p>
      <w:pPr>
        <w:spacing w:after="0" w:line="520" w:lineRule="exact"/>
        <w:ind w:firstLine="600"/>
        <w:jc w:val="both"/>
        <w:rPr>
          <w:rFonts w:ascii="仿宋" w:hAnsi="仿宋" w:eastAsia="仿宋" w:cs="仿宋"/>
          <w:color w:val="000000"/>
          <w:sz w:val="30"/>
          <w:szCs w:val="30"/>
        </w:rPr>
      </w:pPr>
    </w:p>
    <w:p>
      <w:pPr>
        <w:spacing w:after="0" w:line="520" w:lineRule="exact"/>
        <w:ind w:firstLine="600"/>
        <w:jc w:val="both"/>
        <w:rPr>
          <w:rFonts w:ascii="仿宋" w:hAnsi="仿宋" w:eastAsia="仿宋" w:cs="仿宋"/>
          <w:color w:val="000000"/>
          <w:sz w:val="30"/>
          <w:szCs w:val="30"/>
        </w:rPr>
      </w:pPr>
    </w:p>
    <w:p>
      <w:pPr>
        <w:spacing w:after="0" w:line="520" w:lineRule="exact"/>
        <w:ind w:firstLine="600"/>
        <w:jc w:val="both"/>
        <w:rPr>
          <w:rFonts w:ascii="仿宋" w:hAnsi="仿宋" w:eastAsia="仿宋" w:cs="仿宋"/>
          <w:color w:val="000000"/>
          <w:sz w:val="30"/>
          <w:szCs w:val="30"/>
        </w:rPr>
      </w:pPr>
    </w:p>
    <w:p>
      <w:pPr>
        <w:spacing w:after="0" w:line="520" w:lineRule="exact"/>
        <w:ind w:firstLine="600"/>
        <w:jc w:val="both"/>
        <w:rPr>
          <w:rFonts w:ascii="仿宋" w:hAnsi="仿宋" w:eastAsia="仿宋" w:cs="仿宋"/>
          <w:color w:val="000000"/>
          <w:sz w:val="30"/>
          <w:szCs w:val="30"/>
        </w:rPr>
      </w:pPr>
    </w:p>
    <w:p>
      <w:pPr>
        <w:spacing w:after="0" w:line="520" w:lineRule="exact"/>
        <w:jc w:val="both"/>
        <w:rPr>
          <w:rFonts w:ascii="仿宋" w:hAnsi="仿宋" w:eastAsia="仿宋" w:cs="仿宋"/>
          <w:color w:val="000000"/>
          <w:sz w:val="30"/>
          <w:szCs w:val="30"/>
        </w:rPr>
      </w:pPr>
    </w:p>
    <w:p>
      <w:pPr>
        <w:spacing w:after="0" w:line="520" w:lineRule="exact"/>
        <w:jc w:val="center"/>
        <w:rPr>
          <w:rFonts w:ascii="仿宋" w:hAnsi="仿宋" w:eastAsia="仿宋" w:cs="仿宋"/>
          <w:b/>
          <w:bCs/>
          <w:color w:val="000000"/>
          <w:sz w:val="30"/>
          <w:szCs w:val="30"/>
        </w:rPr>
      </w:pPr>
      <w:r>
        <w:rPr>
          <w:rFonts w:hint="eastAsia" w:ascii="仿宋" w:hAnsi="仿宋" w:eastAsia="仿宋" w:cs="仿宋"/>
          <w:b/>
          <w:bCs/>
          <w:color w:val="000000"/>
          <w:sz w:val="30"/>
          <w:szCs w:val="30"/>
        </w:rPr>
        <w:t>第二部分 部门决算情况说明</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一、部门收支总体情况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（一）收入支出决算总体情况说明。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2017年度收入</w:t>
      </w:r>
      <w:r>
        <w:rPr>
          <w:rFonts w:hint="eastAsia" w:ascii="仿宋" w:hAnsi="仿宋" w:eastAsia="仿宋" w:cs="仿宋"/>
          <w:color w:val="000000"/>
          <w:sz w:val="30"/>
          <w:szCs w:val="30"/>
        </w:rPr>
        <w:t>104.54万元</w:t>
      </w:r>
      <w:r>
        <w:rPr>
          <w:rFonts w:hint="eastAsia" w:ascii="仿宋" w:hAnsi="仿宋" w:eastAsia="仿宋" w:cs="仿宋"/>
          <w:sz w:val="30"/>
          <w:szCs w:val="30"/>
        </w:rPr>
        <w:t>,与上年157.27万元相比，减少52.72万元，降低33.52%； 支出</w:t>
      </w:r>
      <w:r>
        <w:rPr>
          <w:rFonts w:hint="eastAsia" w:ascii="仿宋" w:hAnsi="仿宋" w:eastAsia="仿宋" w:cs="仿宋"/>
          <w:color w:val="000000"/>
          <w:sz w:val="30"/>
          <w:szCs w:val="30"/>
        </w:rPr>
        <w:t>112.93万元</w:t>
      </w:r>
      <w:r>
        <w:rPr>
          <w:rFonts w:hint="eastAsia" w:ascii="仿宋" w:hAnsi="仿宋" w:eastAsia="仿宋" w:cs="仿宋"/>
          <w:sz w:val="30"/>
          <w:szCs w:val="30"/>
        </w:rPr>
        <w:t>,与上年112.93万元相比，减少76.62万元，降低40.42%； 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万元，与上年相比，减少</w:t>
      </w:r>
      <w:r>
        <w:rPr>
          <w:rFonts w:hint="eastAsia" w:ascii="仿宋" w:hAnsi="仿宋" w:eastAsia="仿宋" w:cs="仿宋"/>
          <w:sz w:val="30"/>
          <w:szCs w:val="30"/>
          <w:lang w:val="en-US" w:eastAsia="zh-CN"/>
        </w:rPr>
        <w:t>8.39</w:t>
      </w:r>
      <w:r>
        <w:rPr>
          <w:rFonts w:hint="eastAsia" w:ascii="仿宋" w:hAnsi="仿宋" w:eastAsia="仿宋" w:cs="仿宋"/>
          <w:sz w:val="30"/>
          <w:szCs w:val="30"/>
        </w:rPr>
        <w:t>万元，降低</w:t>
      </w:r>
      <w:r>
        <w:rPr>
          <w:rFonts w:hint="eastAsia" w:ascii="仿宋" w:hAnsi="仿宋" w:eastAsia="仿宋" w:cs="仿宋"/>
          <w:sz w:val="30"/>
          <w:szCs w:val="30"/>
          <w:lang w:val="en-US" w:eastAsia="zh-CN"/>
        </w:rPr>
        <w:t>100</w:t>
      </w:r>
      <w:r>
        <w:rPr>
          <w:rFonts w:hint="eastAsia" w:ascii="仿宋" w:hAnsi="仿宋" w:eastAsia="仿宋" w:cs="仿宋"/>
          <w:sz w:val="30"/>
          <w:szCs w:val="30"/>
        </w:rPr>
        <w:t>%。增减变化主要原因是：项目支出较上年减少</w:t>
      </w:r>
      <w:r>
        <w:rPr>
          <w:rFonts w:hint="eastAsia" w:ascii="仿宋" w:hAnsi="仿宋" w:eastAsia="仿宋" w:cs="仿宋"/>
          <w:color w:val="000000"/>
          <w:sz w:val="28"/>
          <w:szCs w:val="28"/>
        </w:rPr>
        <w:t>。</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与预算情况相比</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我局2017年单位收入年初预算数49.64万元，调整预算数104.54万元，预算追加部分主要是博物馆经费45万元。决算数112.93万元； 2017年总收入为104.54万元。</w:t>
      </w:r>
      <w:r>
        <w:rPr>
          <w:rFonts w:hint="eastAsia" w:ascii="仿宋" w:hAnsi="仿宋" w:eastAsia="仿宋" w:cs="仿宋"/>
          <w:sz w:val="30"/>
          <w:szCs w:val="30"/>
        </w:rPr>
        <w:t>增减变化主要原因是：</w:t>
      </w:r>
      <w:r>
        <w:rPr>
          <w:rFonts w:hint="eastAsia" w:ascii="仿宋" w:hAnsi="仿宋" w:eastAsia="仿宋" w:cs="仿宋"/>
          <w:color w:val="000000"/>
          <w:sz w:val="30"/>
          <w:szCs w:val="30"/>
        </w:rPr>
        <w:t>预算追加</w:t>
      </w:r>
      <w:r>
        <w:rPr>
          <w:rFonts w:hint="eastAsia" w:ascii="仿宋" w:hAnsi="仿宋" w:eastAsia="仿宋" w:cs="仿宋"/>
          <w:color w:val="000000"/>
          <w:sz w:val="30"/>
          <w:szCs w:val="30"/>
          <w:lang w:eastAsia="zh-CN"/>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color w:val="000000"/>
          <w:sz w:val="30"/>
          <w:szCs w:val="30"/>
        </w:rPr>
        <w:t>104.54万元</w:t>
      </w:r>
      <w:r>
        <w:rPr>
          <w:rFonts w:hint="eastAsia" w:ascii="仿宋" w:hAnsi="仿宋" w:eastAsia="仿宋" w:cs="仿宋"/>
          <w:sz w:val="30"/>
          <w:szCs w:val="30"/>
        </w:rPr>
        <w:t>,与上年157.27万元相比，减少52.72万元，降低33.52%；其中：财政拨款收入</w:t>
      </w:r>
      <w:r>
        <w:rPr>
          <w:rFonts w:hint="eastAsia" w:ascii="仿宋" w:hAnsi="仿宋" w:eastAsia="仿宋" w:cs="仿宋"/>
          <w:color w:val="000000"/>
          <w:sz w:val="30"/>
          <w:szCs w:val="30"/>
        </w:rPr>
        <w:t>104.54</w:t>
      </w:r>
      <w:r>
        <w:rPr>
          <w:rFonts w:hint="eastAsia" w:ascii="仿宋" w:hAnsi="仿宋" w:eastAsia="仿宋" w:cs="仿宋"/>
          <w:sz w:val="30"/>
          <w:szCs w:val="30"/>
        </w:rPr>
        <w:t>万元，占</w:t>
      </w:r>
      <w:r>
        <w:rPr>
          <w:rFonts w:hint="eastAsia" w:ascii="仿宋" w:hAnsi="仿宋" w:eastAsia="仿宋" w:cs="仿宋"/>
          <w:sz w:val="32"/>
          <w:szCs w:val="32"/>
        </w:rPr>
        <w:t>100</w:t>
      </w:r>
      <w:r>
        <w:rPr>
          <w:rFonts w:hint="eastAsia" w:ascii="仿宋" w:hAnsi="仿宋" w:eastAsia="仿宋" w:cs="仿宋"/>
          <w:sz w:val="30"/>
          <w:szCs w:val="30"/>
        </w:rPr>
        <w:t>%。</w:t>
      </w:r>
      <w:r>
        <w:rPr>
          <w:rFonts w:hint="eastAsia" w:ascii="仿宋" w:hAnsi="仿宋" w:eastAsia="仿宋" w:cs="仿宋"/>
          <w:sz w:val="30"/>
          <w:szCs w:val="30"/>
          <w:lang w:val="en-US" w:eastAsia="zh-CN" w:bidi="ar"/>
        </w:rPr>
        <w:t>上级补助收入0万元，占0%；事业收入0万元，占0%；经营收入0万元，占0%；附属单位缴款0万元，占0%；其他收入0万元，占0%。比上年增加0万元。</w:t>
      </w:r>
      <w:r>
        <w:rPr>
          <w:rFonts w:hint="eastAsia" w:ascii="仿宋" w:hAnsi="仿宋" w:eastAsia="仿宋" w:cs="仿宋"/>
          <w:sz w:val="30"/>
          <w:szCs w:val="30"/>
        </w:rPr>
        <w:t>增减变化主要原因是：结余为上年应付未付款，本年较上年节俭开支</w:t>
      </w:r>
      <w:r>
        <w:rPr>
          <w:rFonts w:hint="eastAsia" w:ascii="仿宋" w:hAnsi="仿宋" w:eastAsia="仿宋" w:cs="仿宋"/>
          <w:color w:val="000000"/>
          <w:sz w:val="28"/>
          <w:szCs w:val="28"/>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sz w:val="30"/>
          <w:szCs w:val="30"/>
        </w:rPr>
        <w:t>2017年单位预算收入年初预算数49.64万元，</w:t>
      </w:r>
      <w:r>
        <w:rPr>
          <w:rFonts w:hint="eastAsia" w:ascii="仿宋" w:hAnsi="仿宋" w:eastAsia="仿宋" w:cs="仿宋"/>
          <w:sz w:val="30"/>
          <w:szCs w:val="30"/>
        </w:rPr>
        <w:t>增减变化的主要原因是：</w:t>
      </w:r>
      <w:r>
        <w:rPr>
          <w:rFonts w:hint="eastAsia" w:ascii="仿宋" w:hAnsi="仿宋" w:eastAsia="仿宋" w:cs="仿宋"/>
          <w:color w:val="000000"/>
          <w:sz w:val="30"/>
          <w:szCs w:val="30"/>
        </w:rPr>
        <w:t>预算追加部分主要是博物馆经费45万元。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本年支出合计支出</w:t>
      </w:r>
      <w:r>
        <w:rPr>
          <w:rFonts w:hint="eastAsia" w:ascii="仿宋" w:hAnsi="仿宋" w:eastAsia="仿宋" w:cs="仿宋"/>
          <w:color w:val="000000"/>
          <w:sz w:val="30"/>
          <w:szCs w:val="30"/>
        </w:rPr>
        <w:t>112.93万元</w:t>
      </w:r>
      <w:r>
        <w:rPr>
          <w:rFonts w:hint="eastAsia" w:ascii="仿宋" w:hAnsi="仿宋" w:eastAsia="仿宋" w:cs="仿宋"/>
          <w:sz w:val="30"/>
          <w:szCs w:val="30"/>
        </w:rPr>
        <w:t>，其中：基本支出104.54万元，92.57%；项目支出8.36万元，占7.43%。</w:t>
      </w:r>
      <w:r>
        <w:rPr>
          <w:rFonts w:hint="eastAsia" w:ascii="仿宋" w:hAnsi="仿宋" w:eastAsia="仿宋" w:cs="仿宋"/>
          <w:sz w:val="30"/>
          <w:szCs w:val="30"/>
          <w:lang w:val="en-US" w:eastAsia="zh-CN" w:bidi="ar"/>
        </w:rPr>
        <w:t>上缴上级支出0万元，占0%；经营支出0万元，占0%；对附属单位补助支出0万元，占0%。</w:t>
      </w:r>
      <w:r>
        <w:rPr>
          <w:rFonts w:hint="eastAsia" w:ascii="仿宋" w:hAnsi="仿宋" w:eastAsia="仿宋" w:cs="仿宋"/>
          <w:sz w:val="30"/>
          <w:szCs w:val="30"/>
        </w:rPr>
        <w:t>增减变化的主要原因是：本年基本支出增加，人员经费增加，单项目支出较上年减少。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sz w:val="30"/>
          <w:szCs w:val="30"/>
        </w:rPr>
        <w:t>我局2017年预算支出为49.64万元，其中基本支出预算44.45万元，包括：工资福利支出40.04万元，商品和服务支出0.79万元、对个人和家庭的补助支出3.62万元。项目支出预算5.19万元，包括：纳入预算的文物保护</w:t>
      </w:r>
      <w:r>
        <w:rPr>
          <w:rFonts w:hint="eastAsia" w:ascii="仿宋" w:hAnsi="仿宋" w:eastAsia="仿宋" w:cs="仿宋"/>
          <w:color w:val="000000"/>
          <w:sz w:val="30"/>
          <w:szCs w:val="30"/>
        </w:rPr>
        <w:t>经费和本级配套的博物馆免费开放经费5.19万元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我局年末实际收到的财政拨款基本支出拨款比年初预算数额增加54.90万元，主要原因是：①、博物馆免费开放工作经费增加45元，②、调入人员2名工资及津贴增加。③、社保缴费和住房公积金基数提高所致。</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我局2017年决算支出为112.93万元，其中基本支出112.93万元，包括：工资福利支出88.71万元，商品和服务支出13.44万元、对个人和家庭的补助支出4.59万元。</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sz w:val="30"/>
          <w:szCs w:val="30"/>
        </w:rPr>
        <w:t xml:space="preserve"> </w:t>
      </w:r>
      <w:r>
        <w:rPr>
          <w:rFonts w:hint="eastAsia" w:ascii="仿宋" w:hAnsi="仿宋" w:eastAsia="仿宋" w:cs="仿宋"/>
          <w:sz w:val="30"/>
          <w:szCs w:val="30"/>
        </w:rPr>
        <w:t>二、部门财政拨款收支情况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ascii="仿宋" w:hAnsi="仿宋" w:eastAsia="仿宋" w:cs="仿宋"/>
          <w:color w:val="000000"/>
          <w:sz w:val="28"/>
          <w:szCs w:val="28"/>
        </w:rPr>
      </w:pPr>
      <w:r>
        <w:rPr>
          <w:rFonts w:hint="eastAsia" w:ascii="仿宋" w:hAnsi="仿宋" w:eastAsia="仿宋" w:cs="仿宋"/>
          <w:sz w:val="30"/>
          <w:szCs w:val="30"/>
        </w:rPr>
        <w:t>2017年度财政拨款收入合计</w:t>
      </w:r>
      <w:r>
        <w:rPr>
          <w:rFonts w:hint="eastAsia" w:ascii="仿宋" w:hAnsi="仿宋" w:eastAsia="仿宋" w:cs="仿宋"/>
          <w:color w:val="000000"/>
          <w:sz w:val="30"/>
          <w:szCs w:val="30"/>
        </w:rPr>
        <w:t>104.54万元</w:t>
      </w:r>
      <w:r>
        <w:rPr>
          <w:rFonts w:hint="eastAsia" w:ascii="仿宋" w:hAnsi="仿宋" w:eastAsia="仿宋" w:cs="仿宋"/>
          <w:sz w:val="30"/>
          <w:szCs w:val="30"/>
        </w:rPr>
        <w:t>,与上年157.27万元相比，减少52.72万元，降低33.52%；</w:t>
      </w:r>
      <w:r>
        <w:rPr>
          <w:rFonts w:hint="eastAsia" w:ascii="仿宋" w:hAnsi="仿宋" w:eastAsia="仿宋" w:cs="仿宋"/>
          <w:sz w:val="30"/>
          <w:szCs w:val="30"/>
          <w:lang w:val="en-US" w:eastAsia="zh-CN" w:bidi="ar"/>
        </w:rPr>
        <w:t>财政拨款</w:t>
      </w:r>
      <w:r>
        <w:rPr>
          <w:rFonts w:hint="eastAsia" w:ascii="仿宋" w:hAnsi="仿宋" w:eastAsia="仿宋" w:cs="仿宋"/>
          <w:sz w:val="30"/>
          <w:szCs w:val="30"/>
        </w:rPr>
        <w:t>支出</w:t>
      </w:r>
      <w:r>
        <w:rPr>
          <w:rFonts w:hint="eastAsia" w:ascii="仿宋" w:hAnsi="仿宋" w:eastAsia="仿宋" w:cs="仿宋"/>
          <w:color w:val="000000"/>
          <w:sz w:val="30"/>
          <w:szCs w:val="30"/>
        </w:rPr>
        <w:t>112.93万元</w:t>
      </w:r>
      <w:r>
        <w:rPr>
          <w:rFonts w:hint="eastAsia" w:ascii="仿宋" w:hAnsi="仿宋" w:eastAsia="仿宋" w:cs="仿宋"/>
          <w:sz w:val="30"/>
          <w:szCs w:val="30"/>
        </w:rPr>
        <w:t>,与上年112.93万元相比，减少76.62万元，降低40.42%；</w:t>
      </w:r>
      <w:r>
        <w:rPr>
          <w:rFonts w:hint="eastAsia" w:ascii="仿宋" w:hAnsi="仿宋" w:eastAsia="仿宋" w:cs="仿宋"/>
          <w:sz w:val="30"/>
          <w:szCs w:val="30"/>
          <w:lang w:val="en-US" w:eastAsia="zh-CN" w:bidi="ar"/>
        </w:rPr>
        <w:t>其中：基本支出104.5432万元，项目支出8.3868万元。</w:t>
      </w:r>
      <w:r>
        <w:rPr>
          <w:rFonts w:hint="eastAsia" w:ascii="仿宋" w:hAnsi="仿宋" w:eastAsia="仿宋" w:cs="仿宋"/>
          <w:sz w:val="30"/>
          <w:szCs w:val="30"/>
        </w:rPr>
        <w:t>增减变化主要原因是：项目支出较上年减少</w:t>
      </w:r>
      <w:r>
        <w:rPr>
          <w:rFonts w:hint="eastAsia" w:ascii="仿宋" w:hAnsi="仿宋" w:eastAsia="仿宋" w:cs="仿宋"/>
          <w:color w:val="000000"/>
          <w:sz w:val="28"/>
          <w:szCs w:val="28"/>
        </w:rPr>
        <w:t>。</w:t>
      </w:r>
      <w:r>
        <w:rPr>
          <w:rFonts w:hint="eastAsia" w:ascii="仿宋" w:hAnsi="仿宋" w:eastAsia="仿宋" w:cs="仿宋"/>
          <w:snapToGrid/>
          <w:kern w:val="0"/>
          <w:sz w:val="30"/>
          <w:szCs w:val="30"/>
          <w:lang w:val="en-US" w:eastAsia="zh-CN" w:bidi="ar"/>
        </w:rPr>
        <w:t xml:space="preserve">财政拨款结转结余0万元，与上年相比，增加0万元，增长0%。增减变化的主要原因是：与上年持平。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我局2017年单位预算财政拨款收入年初预算数49.64万元，调整预算数104.54万元，预算追加部分主要是博物馆经费45万元。决算数112.93万元； 2017年总收入为104.54万元。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p>
    <w:p>
      <w:pPr>
        <w:spacing w:after="0" w:line="520" w:lineRule="exact"/>
        <w:ind w:firstLine="600" w:firstLineChars="200"/>
        <w:rPr>
          <w:rFonts w:ascii="仿宋" w:hAnsi="仿宋" w:eastAsia="仿宋" w:cs="仿宋"/>
          <w:color w:val="000000"/>
          <w:sz w:val="28"/>
          <w:szCs w:val="28"/>
        </w:rPr>
      </w:pPr>
      <w:r>
        <w:rPr>
          <w:rFonts w:hint="eastAsia" w:ascii="仿宋" w:hAnsi="仿宋" w:eastAsia="仿宋" w:cs="仿宋"/>
          <w:sz w:val="30"/>
          <w:szCs w:val="30"/>
        </w:rPr>
        <w:t>2017年度一般公共预算财政拨款支出支出</w:t>
      </w:r>
      <w:r>
        <w:rPr>
          <w:rFonts w:hint="eastAsia" w:ascii="仿宋" w:hAnsi="仿宋" w:eastAsia="仿宋" w:cs="仿宋"/>
          <w:color w:val="000000"/>
          <w:sz w:val="30"/>
          <w:szCs w:val="30"/>
        </w:rPr>
        <w:t>112.93万元</w:t>
      </w:r>
      <w:r>
        <w:rPr>
          <w:rFonts w:hint="eastAsia" w:ascii="仿宋" w:hAnsi="仿宋" w:eastAsia="仿宋" w:cs="仿宋"/>
          <w:sz w:val="30"/>
          <w:szCs w:val="30"/>
        </w:rPr>
        <w:t>,与上年112.93万元相比，减少76.62万元，降低40.42%；增减变化主要原因是：人员经费增加，项目支出较上年减少</w:t>
      </w:r>
      <w:r>
        <w:rPr>
          <w:rFonts w:hint="eastAsia" w:ascii="仿宋" w:hAnsi="仿宋" w:eastAsia="仿宋" w:cs="仿宋"/>
          <w:color w:val="000000"/>
          <w:sz w:val="28"/>
          <w:szCs w:val="28"/>
        </w:rPr>
        <w:t>。</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sz w:val="30"/>
          <w:szCs w:val="30"/>
        </w:rPr>
        <w:t>其中：按功能分类科目，</w:t>
      </w:r>
      <w:r>
        <w:rPr>
          <w:rFonts w:hint="eastAsia" w:ascii="仿宋" w:hAnsi="仿宋" w:eastAsia="仿宋" w:cs="仿宋"/>
          <w:color w:val="000000"/>
          <w:sz w:val="30"/>
          <w:szCs w:val="30"/>
        </w:rPr>
        <w:t xml:space="preserve"> 文化体育与传媒支出107.88万元;社会保障和就业支出5.05万元。按经济分类科目：工资福利支出 87.39 万元商品和服务支出14.75万元，对个人和家庭的补助45928万元，其他资本性支出6.19万元。增减变化的主要原因是：由于人员增加导致相应支出增加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一般公共服务支出749.64万元，与预算相比，增加103.92万元，增长16.09%，增减变化的主要原因是本单位增加公用经费及人员</w:t>
      </w:r>
      <w:r>
        <w:rPr>
          <w:rFonts w:hint="eastAsia" w:ascii="仿宋" w:hAnsi="仿宋" w:eastAsia="仿宋" w:cs="仿宋"/>
          <w:kern w:val="2"/>
          <w:sz w:val="32"/>
          <w:szCs w:val="32"/>
        </w:rPr>
        <w:t>工资津贴标准提高</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sz w:val="30"/>
          <w:szCs w:val="30"/>
        </w:rPr>
        <w:t xml:space="preserve">社会保障和就业支出59.14万元，与预算一致无增减变化。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万元，与上年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（四）政府性基金预算支出决算情况说明 </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sz w:val="30"/>
          <w:szCs w:val="30"/>
        </w:rPr>
        <w:t>2017年度政府性基金预算支出0万元。与上年相比，增加0万元，增长0%。增减变化的主要原因是：年初无预算安排。其中：按功能分类科目，</w:t>
      </w:r>
      <w:r>
        <w:rPr>
          <w:rFonts w:hint="eastAsia" w:ascii="仿宋" w:hAnsi="仿宋" w:eastAsia="仿宋" w:cs="仿宋"/>
          <w:color w:val="000000"/>
          <w:sz w:val="30"/>
          <w:szCs w:val="30"/>
        </w:rPr>
        <w:t xml:space="preserve"> 文化体育与传媒支出0万元;社会保障和就业支出0万元。增减变化的主要原因是：严格按照财政预算执行。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支出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年末结转结余0万元。与上年相比，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8.39</w:t>
      </w:r>
      <w:r>
        <w:rPr>
          <w:rFonts w:hint="eastAsia" w:ascii="仿宋" w:hAnsi="仿宋" w:eastAsia="仿宋" w:cs="仿宋"/>
          <w:sz w:val="30"/>
          <w:szCs w:val="30"/>
        </w:rPr>
        <w:t>万元，</w:t>
      </w:r>
      <w:r>
        <w:rPr>
          <w:rFonts w:hint="eastAsia" w:ascii="仿宋" w:hAnsi="仿宋" w:eastAsia="仿宋" w:cs="仿宋"/>
          <w:sz w:val="30"/>
          <w:szCs w:val="30"/>
          <w:lang w:eastAsia="zh-CN"/>
        </w:rPr>
        <w:t>降低</w:t>
      </w:r>
      <w:r>
        <w:rPr>
          <w:rFonts w:hint="eastAsia" w:ascii="仿宋" w:hAnsi="仿宋" w:eastAsia="仿宋" w:cs="仿宋"/>
          <w:sz w:val="30"/>
          <w:szCs w:val="30"/>
          <w:lang w:val="en-US" w:eastAsia="zh-CN"/>
        </w:rPr>
        <w:t>10</w:t>
      </w:r>
      <w:r>
        <w:rPr>
          <w:rFonts w:hint="eastAsia" w:ascii="仿宋" w:hAnsi="仿宋" w:eastAsia="仿宋" w:cs="仿宋"/>
          <w:sz w:val="30"/>
          <w:szCs w:val="30"/>
        </w:rPr>
        <w:t xml:space="preserve">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其中财政拨款结转结余0万元。与上年相比，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8.39</w:t>
      </w:r>
      <w:r>
        <w:rPr>
          <w:rFonts w:hint="eastAsia" w:ascii="仿宋" w:hAnsi="仿宋" w:eastAsia="仿宋" w:cs="仿宋"/>
          <w:sz w:val="30"/>
          <w:szCs w:val="30"/>
        </w:rPr>
        <w:t>万元，</w:t>
      </w:r>
      <w:r>
        <w:rPr>
          <w:rFonts w:hint="eastAsia" w:ascii="仿宋" w:hAnsi="仿宋" w:eastAsia="仿宋" w:cs="仿宋"/>
          <w:sz w:val="30"/>
          <w:szCs w:val="30"/>
          <w:lang w:eastAsia="zh-CN"/>
        </w:rPr>
        <w:t>降低</w:t>
      </w:r>
      <w:r>
        <w:rPr>
          <w:rFonts w:hint="eastAsia" w:ascii="仿宋" w:hAnsi="仿宋" w:eastAsia="仿宋" w:cs="仿宋"/>
          <w:sz w:val="30"/>
          <w:szCs w:val="30"/>
          <w:lang w:val="en-US" w:eastAsia="zh-CN"/>
        </w:rPr>
        <w:t>10</w:t>
      </w:r>
      <w:r>
        <w:rPr>
          <w:rFonts w:hint="eastAsia" w:ascii="仿宋" w:hAnsi="仿宋" w:eastAsia="仿宋" w:cs="仿宋"/>
          <w:sz w:val="30"/>
          <w:szCs w:val="30"/>
        </w:rPr>
        <w:t xml:space="preserve">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四、一般公共预算“三公”经费支出情况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napToGrid/>
          <w:kern w:val="0"/>
          <w:sz w:val="30"/>
          <w:szCs w:val="30"/>
          <w:lang w:val="en-US" w:eastAsia="zh-CN" w:bidi="ar"/>
        </w:rPr>
      </w:pPr>
      <w:r>
        <w:rPr>
          <w:rFonts w:hint="eastAsia" w:ascii="仿宋" w:hAnsi="仿宋" w:eastAsia="仿宋" w:cs="仿宋"/>
          <w:snapToGrid/>
          <w:kern w:val="0"/>
          <w:sz w:val="30"/>
          <w:szCs w:val="30"/>
          <w:lang w:val="en-US" w:eastAsia="zh-CN" w:bidi="ar"/>
        </w:rPr>
        <w:t>2017年度一般公共预算“三公”经费支出决算2.2万元，比上年0.8增加1.4万元，增长175%，增加原因是车辆运行费增加。其中，因公出国（境）费支出0万元，占0%，比上年增加0万元，增长0%，增加原因是年初无预算安排；公务用车购置及运行维护费支出2.2万元，占100%，比上年增加1.4万元，增长175%，增加原因是运行维护增长；公务接待费支出0万元，占0%，比上年减少0.81万元，减少100%，减少原因是节俭经费。</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具体情况如下：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因公出国（境）费支出0万元。单位全年使用一般公共预算财政拨款安排的出国（境）团组0个，累计0人次。开支内容包括：年初无预算安排。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公务用车购置及运行维护费2.2万元,其中，公务用车购置0万元，公务用车运行维护费2.2万元。主要用于车辆运行保险及维护。2017年，单位一般公共财政拨款安排的公务用车购置量0辆，保有量为0辆。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公务接待费0万元。具体是：国内公务接待支出0万元，主要是年初无预算安排等。单位国内公务接待0批次，0人次。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与预算相比情况。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napToGrid/>
          <w:kern w:val="0"/>
          <w:sz w:val="30"/>
          <w:szCs w:val="30"/>
          <w:lang w:val="en-US" w:eastAsia="zh-CN" w:bidi="ar"/>
        </w:rPr>
      </w:pPr>
      <w:r>
        <w:rPr>
          <w:rFonts w:hint="eastAsia" w:ascii="仿宋" w:hAnsi="仿宋" w:eastAsia="仿宋" w:cs="仿宋"/>
          <w:snapToGrid/>
          <w:kern w:val="0"/>
          <w:sz w:val="30"/>
          <w:szCs w:val="30"/>
          <w:lang w:val="en-US" w:eastAsia="zh-CN" w:bidi="ar"/>
        </w:rPr>
        <w:t>2017年度年初一般公共预算“三公”经费支出决算2.2万元，决算比预算2.5万元减少0.3万元，降低12%，降低原因是节俭经费。其中，因公出国（境）费支出0万元，占0%，决算比预算增加0万元，增长0%，增加原因是年初无预算安排；公务用车购置及运行维护费支出0万元，占0%，决算比预算增加0万元，增长0%，增加原因是年初无预算安排；公务接待费支出2.5万元，占100%，决算比预算减少0.3万元，降低12%，降低原因是节俭经费。</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五、机关运行经费支出情况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2017年度单位机关运行经费支出0万元，比上年增加0万元，增长0%，主要原因是本单位为事业单位，有事业运行经费，无机关运行经费。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其他有关说明内容。</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napToGrid/>
          <w:kern w:val="0"/>
          <w:sz w:val="30"/>
          <w:szCs w:val="30"/>
          <w:lang w:val="en-US" w:eastAsia="zh-CN" w:bidi="ar"/>
        </w:rPr>
      </w:pPr>
      <w:r>
        <w:rPr>
          <w:rFonts w:hint="eastAsia" w:ascii="仿宋" w:hAnsi="仿宋" w:eastAsia="仿宋" w:cs="仿宋"/>
          <w:snapToGrid/>
          <w:kern w:val="0"/>
          <w:sz w:val="30"/>
          <w:szCs w:val="30"/>
          <w:lang w:val="en-US" w:eastAsia="zh-CN" w:bidi="ar"/>
        </w:rPr>
        <w:t>本单位日常公用经费经费为12.56万元。与上年相比增加了10.52万元，增长了515.69%，主要原因是人员增资。</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六、政府采购情况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color w:val="000000"/>
          <w:sz w:val="30"/>
          <w:szCs w:val="30"/>
        </w:rPr>
        <w:t>2017年政府采购合计5.23万元，其中</w:t>
      </w:r>
      <w:r>
        <w:rPr>
          <w:rFonts w:hint="eastAsia" w:ascii="仿宋" w:hAnsi="仿宋" w:eastAsia="仿宋" w:cs="仿宋"/>
          <w:snapToGrid/>
          <w:kern w:val="0"/>
          <w:sz w:val="30"/>
          <w:szCs w:val="30"/>
          <w:lang w:val="en-US" w:eastAsia="zh-CN" w:bidi="ar"/>
        </w:rPr>
        <w:t>政府采购</w:t>
      </w:r>
      <w:r>
        <w:rPr>
          <w:rFonts w:hint="eastAsia" w:ascii="仿宋" w:hAnsi="仿宋" w:eastAsia="仿宋" w:cs="仿宋"/>
          <w:color w:val="000000"/>
          <w:sz w:val="30"/>
          <w:szCs w:val="30"/>
        </w:rPr>
        <w:t>货物1.86万元，</w:t>
      </w:r>
      <w:r>
        <w:rPr>
          <w:rFonts w:hint="eastAsia" w:ascii="仿宋" w:hAnsi="仿宋" w:eastAsia="仿宋" w:cs="仿宋"/>
          <w:snapToGrid/>
          <w:kern w:val="0"/>
          <w:sz w:val="30"/>
          <w:szCs w:val="30"/>
          <w:lang w:val="en-US" w:eastAsia="zh-CN" w:bidi="ar"/>
        </w:rPr>
        <w:t>政府采购</w:t>
      </w:r>
      <w:r>
        <w:rPr>
          <w:rFonts w:hint="eastAsia" w:ascii="仿宋" w:hAnsi="仿宋" w:eastAsia="仿宋" w:cs="仿宋"/>
          <w:color w:val="000000"/>
          <w:sz w:val="30"/>
          <w:szCs w:val="30"/>
        </w:rPr>
        <w:t>工程3.37万元</w:t>
      </w:r>
      <w:r>
        <w:rPr>
          <w:rFonts w:hint="eastAsia" w:ascii="仿宋" w:hAnsi="仿宋" w:eastAsia="仿宋" w:cs="仿宋"/>
          <w:color w:val="000000"/>
          <w:sz w:val="30"/>
          <w:szCs w:val="30"/>
          <w:lang w:eastAsia="zh-CN"/>
        </w:rPr>
        <w:t>，</w:t>
      </w:r>
      <w:r>
        <w:rPr>
          <w:rFonts w:hint="eastAsia" w:ascii="仿宋" w:hAnsi="仿宋" w:eastAsia="仿宋" w:cs="仿宋"/>
          <w:snapToGrid/>
          <w:kern w:val="0"/>
          <w:sz w:val="30"/>
          <w:szCs w:val="30"/>
          <w:lang w:val="en-US" w:eastAsia="zh-CN" w:bidi="ar"/>
        </w:rPr>
        <w:t>政府采购服务支出0万元；</w:t>
      </w:r>
      <w:r>
        <w:rPr>
          <w:rFonts w:hint="eastAsia" w:ascii="仿宋" w:hAnsi="仿宋" w:eastAsia="仿宋" w:cs="仿宋"/>
          <w:color w:val="000000"/>
          <w:sz w:val="30"/>
          <w:szCs w:val="30"/>
        </w:rPr>
        <w:t xml:space="preserve"> </w:t>
      </w:r>
      <w:r>
        <w:rPr>
          <w:rFonts w:hint="eastAsia" w:ascii="仿宋" w:hAnsi="仿宋" w:eastAsia="仿宋" w:cs="仿宋"/>
          <w:snapToGrid/>
          <w:kern w:val="0"/>
          <w:sz w:val="30"/>
          <w:szCs w:val="30"/>
          <w:lang w:val="en-US" w:eastAsia="zh-CN" w:bidi="ar"/>
        </w:rPr>
        <w:t xml:space="preserve">实际采购5.32万元，其中：政府采购货物支出1.86万元，政府采购工程支出3.37万元、政府采购服务支出0万元。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无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七、其他重要事项的情况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截至2017年12月31日，资产总计</w:t>
      </w:r>
      <w:r>
        <w:rPr>
          <w:rFonts w:hint="eastAsia" w:ascii="仿宋" w:hAnsi="仿宋" w:eastAsia="仿宋" w:cs="仿宋"/>
          <w:sz w:val="30"/>
          <w:szCs w:val="30"/>
          <w:lang w:val="en-US" w:eastAsia="zh-CN"/>
        </w:rPr>
        <w:t>282.13</w:t>
      </w:r>
      <w:r>
        <w:rPr>
          <w:rFonts w:hint="eastAsia" w:ascii="仿宋" w:hAnsi="仿宋" w:eastAsia="仿宋" w:cs="仿宋"/>
          <w:sz w:val="30"/>
          <w:szCs w:val="30"/>
        </w:rPr>
        <w:t>万元，其中：流动资产</w:t>
      </w:r>
      <w:r>
        <w:rPr>
          <w:rFonts w:hint="eastAsia" w:ascii="仿宋" w:hAnsi="仿宋" w:eastAsia="仿宋" w:cs="仿宋"/>
          <w:sz w:val="30"/>
          <w:szCs w:val="30"/>
          <w:lang w:val="en-US" w:eastAsia="zh-CN"/>
        </w:rPr>
        <w:t>37.37</w:t>
      </w:r>
      <w:r>
        <w:rPr>
          <w:rFonts w:hint="eastAsia" w:ascii="仿宋" w:hAnsi="仿宋" w:eastAsia="仿宋" w:cs="仿宋"/>
          <w:sz w:val="30"/>
          <w:szCs w:val="30"/>
        </w:rPr>
        <w:t>万元，固定资产</w:t>
      </w:r>
      <w:r>
        <w:rPr>
          <w:rFonts w:hint="eastAsia" w:ascii="仿宋" w:hAnsi="仿宋" w:eastAsia="仿宋" w:cs="仿宋"/>
          <w:sz w:val="30"/>
          <w:szCs w:val="30"/>
          <w:lang w:val="en-US" w:eastAsia="zh-CN"/>
        </w:rPr>
        <w:t>244.76</w:t>
      </w:r>
      <w:r>
        <w:rPr>
          <w:rFonts w:hint="eastAsia" w:ascii="仿宋" w:hAnsi="仿宋" w:eastAsia="仿宋" w:cs="仿宋"/>
          <w:sz w:val="30"/>
          <w:szCs w:val="30"/>
        </w:rPr>
        <w:t>万元，其中：房屋</w:t>
      </w:r>
      <w:r>
        <w:rPr>
          <w:rFonts w:hint="eastAsia" w:ascii="仿宋" w:hAnsi="仿宋" w:eastAsia="仿宋" w:cs="仿宋"/>
          <w:sz w:val="30"/>
          <w:szCs w:val="30"/>
          <w:lang w:val="en-US" w:eastAsia="zh-CN"/>
        </w:rPr>
        <w:t>0</w:t>
      </w:r>
      <w:r>
        <w:rPr>
          <w:rFonts w:hint="eastAsia" w:ascii="仿宋" w:hAnsi="仿宋" w:eastAsia="仿宋" w:cs="仿宋"/>
          <w:sz w:val="30"/>
          <w:szCs w:val="30"/>
        </w:rPr>
        <w:t>（平方米），价值</w:t>
      </w:r>
      <w:r>
        <w:rPr>
          <w:rFonts w:hint="eastAsia" w:ascii="仿宋" w:hAnsi="仿宋" w:eastAsia="仿宋" w:cs="仿宋"/>
          <w:sz w:val="30"/>
          <w:szCs w:val="30"/>
          <w:lang w:val="en-US" w:eastAsia="zh-CN"/>
        </w:rPr>
        <w:t>0</w:t>
      </w:r>
      <w:r>
        <w:rPr>
          <w:rFonts w:hint="eastAsia" w:ascii="仿宋" w:hAnsi="仿宋" w:eastAsia="仿宋" w:cs="仿宋"/>
          <w:sz w:val="30"/>
          <w:szCs w:val="30"/>
        </w:rPr>
        <w:t>万元，共有车辆0辆，价值0万元，其中：部级领导干部用车0辆、一般公务用车0辆、一般执法执勤用车0辆、特种专业技术用车0辆、其他用车0辆；单位价值50万元以上通用设备0台（套）、单位价值100万元以上专用设备0台（套），其他固定资产价值</w:t>
      </w:r>
      <w:r>
        <w:rPr>
          <w:rFonts w:hint="eastAsia" w:ascii="仿宋" w:hAnsi="仿宋" w:eastAsia="仿宋" w:cs="仿宋"/>
          <w:sz w:val="30"/>
          <w:szCs w:val="30"/>
          <w:lang w:val="en-US" w:eastAsia="zh-CN"/>
        </w:rPr>
        <w:t>244.76</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其他有关说明内容。无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（二）国有资产收益征缴情况说明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截至2017年12月31日，文物局资产有偿使用收入合计0万元，资产处置收入合计0万元。其中：已缴国库0万元， 已缴财政专户0万元，应缴未缴0万元，单位留用0万元。</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其他有关说明内容。</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 无</w:t>
      </w:r>
    </w:p>
    <w:p>
      <w:pPr>
        <w:spacing w:after="0" w:line="520" w:lineRule="exact"/>
        <w:ind w:firstLine="600" w:firstLineChars="200"/>
        <w:rPr>
          <w:rFonts w:ascii="仿宋" w:hAnsi="仿宋" w:eastAsia="仿宋" w:cs="仿宋"/>
          <w:color w:val="000000"/>
          <w:sz w:val="30"/>
          <w:szCs w:val="30"/>
        </w:rPr>
      </w:pPr>
      <w:bookmarkStart w:id="0" w:name="_GoBack"/>
      <w:r>
        <w:rPr>
          <w:rFonts w:hint="eastAsia" w:ascii="仿宋" w:hAnsi="仿宋" w:eastAsia="仿宋" w:cs="仿宋"/>
          <w:color w:val="000000"/>
          <w:sz w:val="30"/>
          <w:szCs w:val="30"/>
        </w:rPr>
        <w:t xml:space="preserve">（三）部门项目支出情况和项目绩效评价情况说明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2017年度，本部门单位实行绩效管理的项目0个，涉及预算0万元，项目支出决算5.19万元。年末本部门单位民生项目和重点支出项目的绩效评价开展情况及结果：</w:t>
      </w:r>
      <w:r>
        <w:rPr>
          <w:rFonts w:hint="eastAsia" w:ascii="仿宋" w:hAnsi="仿宋" w:eastAsia="仿宋" w:cs="仿宋"/>
          <w:sz w:val="30"/>
          <w:szCs w:val="30"/>
          <w:lang w:eastAsia="zh-CN"/>
        </w:rPr>
        <w:t>无项目</w:t>
      </w:r>
    </w:p>
    <w:p>
      <w:pPr>
        <w:spacing w:line="220" w:lineRule="atLeast"/>
        <w:ind w:firstLine="602" w:firstLineChars="200"/>
        <w:jc w:val="center"/>
        <w:rPr>
          <w:rFonts w:hint="eastAsia" w:ascii="仿宋" w:hAnsi="仿宋" w:eastAsia="仿宋" w:cs="仿宋"/>
          <w:b/>
          <w:bCs/>
          <w:color w:val="000000"/>
          <w:sz w:val="30"/>
          <w:szCs w:val="30"/>
        </w:rPr>
      </w:pPr>
    </w:p>
    <w:bookmarkEnd w:id="0"/>
    <w:p>
      <w:pPr>
        <w:spacing w:line="220" w:lineRule="atLeast"/>
        <w:ind w:firstLine="602" w:firstLineChars="200"/>
        <w:jc w:val="center"/>
        <w:rPr>
          <w:rFonts w:ascii="仿宋" w:hAnsi="仿宋" w:eastAsia="仿宋" w:cs="仿宋"/>
          <w:b/>
          <w:bCs/>
          <w:color w:val="000000"/>
          <w:sz w:val="30"/>
          <w:szCs w:val="30"/>
        </w:rPr>
      </w:pPr>
      <w:r>
        <w:rPr>
          <w:rFonts w:hint="eastAsia" w:ascii="仿宋" w:hAnsi="仿宋" w:eastAsia="仿宋" w:cs="仿宋"/>
          <w:b/>
          <w:bCs/>
          <w:color w:val="000000"/>
          <w:sz w:val="30"/>
          <w:szCs w:val="30"/>
        </w:rPr>
        <w:t>第三部分 专业名词解释</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财政拨款收入：指同级财政当年拨付的资金。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结余分配：反映单位当年结余的分配情况。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本单位支出功能分类说明。205（类）20502（款）2050203（项）：指初中教育。2050299（项）其他普通教育支出，208（类）20805（款）2080505（项）：指 机关事业单位基本养老保险缴费支出。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 </w:t>
      </w:r>
    </w:p>
    <w:p>
      <w:pPr>
        <w:spacing w:line="220" w:lineRule="atLeast"/>
        <w:ind w:firstLine="600" w:firstLineChars="200"/>
        <w:jc w:val="center"/>
        <w:rPr>
          <w:rFonts w:ascii="仿宋" w:hAnsi="仿宋" w:eastAsia="仿宋" w:cs="仿宋"/>
          <w:bCs/>
          <w:color w:val="000000"/>
          <w:sz w:val="30"/>
          <w:szCs w:val="30"/>
        </w:rPr>
      </w:pPr>
    </w:p>
    <w:p>
      <w:pPr>
        <w:spacing w:line="220" w:lineRule="atLeast"/>
        <w:ind w:firstLine="602" w:firstLineChars="200"/>
        <w:jc w:val="center"/>
        <w:rPr>
          <w:rFonts w:ascii="仿宋" w:hAnsi="仿宋" w:eastAsia="仿宋" w:cs="仿宋"/>
          <w:b/>
          <w:bCs/>
          <w:color w:val="000000"/>
          <w:sz w:val="30"/>
          <w:szCs w:val="30"/>
        </w:rPr>
      </w:pPr>
    </w:p>
    <w:p>
      <w:pPr>
        <w:spacing w:line="220" w:lineRule="atLeast"/>
        <w:ind w:firstLine="602" w:firstLineChars="200"/>
        <w:jc w:val="center"/>
        <w:rPr>
          <w:rFonts w:ascii="仿宋" w:hAnsi="仿宋" w:eastAsia="仿宋" w:cs="仿宋"/>
          <w:b/>
          <w:bCs/>
          <w:color w:val="000000"/>
          <w:sz w:val="30"/>
          <w:szCs w:val="30"/>
        </w:rPr>
      </w:pPr>
    </w:p>
    <w:p>
      <w:pPr>
        <w:spacing w:line="220" w:lineRule="atLeast"/>
        <w:ind w:firstLine="602" w:firstLineChars="200"/>
        <w:jc w:val="center"/>
        <w:rPr>
          <w:rFonts w:ascii="仿宋" w:hAnsi="仿宋" w:eastAsia="仿宋" w:cs="仿宋"/>
          <w:b/>
          <w:bCs/>
          <w:color w:val="000000"/>
          <w:sz w:val="30"/>
          <w:szCs w:val="30"/>
        </w:rPr>
      </w:pPr>
    </w:p>
    <w:p>
      <w:pPr>
        <w:spacing w:line="220" w:lineRule="atLeast"/>
        <w:ind w:firstLine="602" w:firstLineChars="200"/>
        <w:jc w:val="center"/>
        <w:rPr>
          <w:rFonts w:ascii="仿宋" w:hAnsi="仿宋" w:eastAsia="仿宋" w:cs="仿宋"/>
          <w:b/>
          <w:bCs/>
          <w:color w:val="000000"/>
          <w:sz w:val="30"/>
          <w:szCs w:val="30"/>
        </w:rPr>
      </w:pPr>
    </w:p>
    <w:p>
      <w:pPr>
        <w:spacing w:line="220" w:lineRule="atLeast"/>
        <w:ind w:firstLine="602" w:firstLineChars="200"/>
        <w:jc w:val="center"/>
        <w:rPr>
          <w:rFonts w:ascii="仿宋" w:hAnsi="仿宋" w:eastAsia="仿宋" w:cs="仿宋"/>
          <w:b/>
          <w:bCs/>
          <w:color w:val="000000"/>
          <w:sz w:val="30"/>
          <w:szCs w:val="30"/>
        </w:rPr>
      </w:pPr>
    </w:p>
    <w:p>
      <w:pPr>
        <w:spacing w:line="220" w:lineRule="atLeast"/>
        <w:ind w:firstLine="602" w:firstLineChars="200"/>
        <w:jc w:val="center"/>
        <w:rPr>
          <w:rFonts w:ascii="仿宋" w:hAnsi="仿宋" w:eastAsia="仿宋" w:cs="仿宋"/>
          <w:b/>
          <w:bCs/>
          <w:color w:val="000000"/>
          <w:sz w:val="30"/>
          <w:szCs w:val="30"/>
        </w:rPr>
      </w:pPr>
      <w:r>
        <w:rPr>
          <w:rFonts w:hint="eastAsia" w:ascii="仿宋" w:hAnsi="仿宋" w:eastAsia="仿宋" w:cs="仿宋"/>
          <w:b/>
          <w:bCs/>
          <w:color w:val="000000"/>
          <w:sz w:val="30"/>
          <w:szCs w:val="30"/>
        </w:rPr>
        <w:t>第四部分 部门决算报表（见附表）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一、报表封面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二、《收入支出决算总表》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三、《收入决算表》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四、《支出决算表》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五、《收入支出决算表》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六、《项目收入支出决算表》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七、《行政事业类项目收入支出决算表》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八、《基本建设类项目收入支出决算表》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九、《支出决算明细表》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十、《基本支出决算明细表》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十一、《项目支出决算明细表》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十二、《财政专户管理资金收入支出决算表》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十三、《财政拨款收入支出决算总表》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十四、《一般公共预算财政拨款收入支出决算表》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十五、《一般公共预算财政拨款支出决算明细表》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十六、《一般公共预算财政拨款基本支出决算明细表》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十七、《一般公共预算财政拨款项目支出决算明细表》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十八、《政府性基金预算财政拨款收入支出决算表》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十九、《政府性基金预算财政拨款支出决算明细表》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二十、《政府性基金预算财政拨款基本支出决算明细表》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二十二、《资产负债简表》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二十三、《资产情况表》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二十四、《国有资产收益征缴情况表》、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二十五、《基本数字表》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二十六、《机构人员情况表》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二十七、《非税收入征缴情况表》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二十八、《部门决算相关信息统计表》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二十九、《政府采购情况表》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 xml:space="preserve">三十、《2017年度一般公共预算“三公”经费支出情况表》 </w:t>
      </w:r>
    </w:p>
    <w:p>
      <w:pPr>
        <w:spacing w:after="0" w:line="520" w:lineRule="exact"/>
        <w:ind w:firstLine="600" w:firstLineChars="200"/>
        <w:rPr>
          <w:rFonts w:ascii="仿宋" w:hAnsi="仿宋" w:eastAsia="仿宋" w:cs="仿宋"/>
          <w:color w:val="000000"/>
          <w:sz w:val="30"/>
          <w:szCs w:val="30"/>
        </w:rPr>
      </w:pP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240"/>
    <w:rsid w:val="000828D5"/>
    <w:rsid w:val="000908BF"/>
    <w:rsid w:val="00094079"/>
    <w:rsid w:val="000A052B"/>
    <w:rsid w:val="000C6CCB"/>
    <w:rsid w:val="000D0E5B"/>
    <w:rsid w:val="000D2972"/>
    <w:rsid w:val="000E02FA"/>
    <w:rsid w:val="000F7EA8"/>
    <w:rsid w:val="0010769C"/>
    <w:rsid w:val="0011222F"/>
    <w:rsid w:val="00113945"/>
    <w:rsid w:val="00120F83"/>
    <w:rsid w:val="00124956"/>
    <w:rsid w:val="00184EEA"/>
    <w:rsid w:val="0019120E"/>
    <w:rsid w:val="001A100E"/>
    <w:rsid w:val="001D349E"/>
    <w:rsid w:val="001D4D8F"/>
    <w:rsid w:val="001E543F"/>
    <w:rsid w:val="001E7BD8"/>
    <w:rsid w:val="0020308A"/>
    <w:rsid w:val="0023560C"/>
    <w:rsid w:val="00247293"/>
    <w:rsid w:val="00262593"/>
    <w:rsid w:val="0026539E"/>
    <w:rsid w:val="002C030E"/>
    <w:rsid w:val="003B09C3"/>
    <w:rsid w:val="003B6905"/>
    <w:rsid w:val="0040469C"/>
    <w:rsid w:val="00407608"/>
    <w:rsid w:val="0041757F"/>
    <w:rsid w:val="004229A0"/>
    <w:rsid w:val="00430A72"/>
    <w:rsid w:val="00437C9E"/>
    <w:rsid w:val="0044054A"/>
    <w:rsid w:val="00442A8F"/>
    <w:rsid w:val="00465E1E"/>
    <w:rsid w:val="00472A92"/>
    <w:rsid w:val="00474FBE"/>
    <w:rsid w:val="0047713B"/>
    <w:rsid w:val="004F0E8A"/>
    <w:rsid w:val="00501D7D"/>
    <w:rsid w:val="00537C11"/>
    <w:rsid w:val="00591C6F"/>
    <w:rsid w:val="005A6966"/>
    <w:rsid w:val="005F0E36"/>
    <w:rsid w:val="005F21F0"/>
    <w:rsid w:val="005F7240"/>
    <w:rsid w:val="006058FD"/>
    <w:rsid w:val="006127BC"/>
    <w:rsid w:val="00621B2F"/>
    <w:rsid w:val="0062359F"/>
    <w:rsid w:val="0063241F"/>
    <w:rsid w:val="00646EEF"/>
    <w:rsid w:val="006659A7"/>
    <w:rsid w:val="006D7B5F"/>
    <w:rsid w:val="006E17D4"/>
    <w:rsid w:val="006E77E4"/>
    <w:rsid w:val="0071455B"/>
    <w:rsid w:val="00732C5D"/>
    <w:rsid w:val="00735251"/>
    <w:rsid w:val="0073594C"/>
    <w:rsid w:val="007603E0"/>
    <w:rsid w:val="00844BF5"/>
    <w:rsid w:val="0088086F"/>
    <w:rsid w:val="00897508"/>
    <w:rsid w:val="008D086D"/>
    <w:rsid w:val="008D30B5"/>
    <w:rsid w:val="008F657E"/>
    <w:rsid w:val="009338EB"/>
    <w:rsid w:val="009773E5"/>
    <w:rsid w:val="009B7CEF"/>
    <w:rsid w:val="009F2137"/>
    <w:rsid w:val="00A06553"/>
    <w:rsid w:val="00A07488"/>
    <w:rsid w:val="00A26DEE"/>
    <w:rsid w:val="00A93702"/>
    <w:rsid w:val="00AA6BEA"/>
    <w:rsid w:val="00AF0AA7"/>
    <w:rsid w:val="00B3668C"/>
    <w:rsid w:val="00B4643F"/>
    <w:rsid w:val="00BC61F7"/>
    <w:rsid w:val="00C15994"/>
    <w:rsid w:val="00C8021A"/>
    <w:rsid w:val="00CB28F8"/>
    <w:rsid w:val="00CD2411"/>
    <w:rsid w:val="00D13FC1"/>
    <w:rsid w:val="00D2523E"/>
    <w:rsid w:val="00D33A94"/>
    <w:rsid w:val="00D3436D"/>
    <w:rsid w:val="00D76FC6"/>
    <w:rsid w:val="00DE2218"/>
    <w:rsid w:val="00DF6DF4"/>
    <w:rsid w:val="00DF75C6"/>
    <w:rsid w:val="00E61534"/>
    <w:rsid w:val="00E80332"/>
    <w:rsid w:val="00E80DAC"/>
    <w:rsid w:val="00E85CEE"/>
    <w:rsid w:val="00E9748C"/>
    <w:rsid w:val="00EB5523"/>
    <w:rsid w:val="00EB6F5D"/>
    <w:rsid w:val="00F50E67"/>
    <w:rsid w:val="00F5593C"/>
    <w:rsid w:val="00F960B3"/>
    <w:rsid w:val="00FD7172"/>
    <w:rsid w:val="00FE1FCA"/>
    <w:rsid w:val="00FE2B8B"/>
    <w:rsid w:val="19DE4256"/>
    <w:rsid w:val="36840A26"/>
    <w:rsid w:val="427C280D"/>
    <w:rsid w:val="4761797F"/>
    <w:rsid w:val="4E1E6E90"/>
    <w:rsid w:val="59BA6FC1"/>
    <w:rsid w:val="5A3D1A84"/>
    <w:rsid w:val="759C1C38"/>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annotation text"/>
    <w:basedOn w:val="1"/>
    <w:unhideWhenUsed/>
    <w:qFormat/>
    <w:uiPriority w:val="99"/>
  </w:style>
  <w:style w:type="paragraph" w:styleId="3">
    <w:name w:val="footer"/>
    <w:basedOn w:val="1"/>
    <w:link w:val="12"/>
    <w:semiHidden/>
    <w:qFormat/>
    <w:uiPriority w:val="99"/>
    <w:pPr>
      <w:tabs>
        <w:tab w:val="center" w:pos="4153"/>
        <w:tab w:val="right" w:pos="8306"/>
      </w:tabs>
    </w:pPr>
    <w:rPr>
      <w:sz w:val="18"/>
      <w:szCs w:val="18"/>
    </w:rPr>
  </w:style>
  <w:style w:type="paragraph" w:styleId="4">
    <w:name w:val="header"/>
    <w:basedOn w:val="1"/>
    <w:link w:val="11"/>
    <w:semiHidden/>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qFormat/>
    <w:uiPriority w:val="99"/>
    <w:pPr>
      <w:adjustRightInd/>
      <w:snapToGrid/>
      <w:spacing w:before="100" w:beforeAutospacing="1" w:after="100" w:afterAutospacing="1"/>
    </w:pPr>
    <w:rPr>
      <w:rFonts w:ascii="宋体" w:hAnsi="宋体" w:eastAsia="宋体" w:cs="宋体"/>
      <w:sz w:val="24"/>
      <w:szCs w:val="24"/>
    </w:rPr>
  </w:style>
  <w:style w:type="character" w:styleId="7">
    <w:name w:val="Hyperlink"/>
    <w:basedOn w:val="6"/>
    <w:semiHidden/>
    <w:qFormat/>
    <w:uiPriority w:val="99"/>
    <w:rPr>
      <w:rFonts w:cs="Times New Roman"/>
      <w:color w:val="136EC2"/>
      <w:u w:val="none"/>
    </w:rPr>
  </w:style>
  <w:style w:type="table" w:styleId="9">
    <w:name w:val="Table Grid"/>
    <w:basedOn w:val="8"/>
    <w:qFormat/>
    <w:uiPriority w:val="9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99"/>
    <w:pPr>
      <w:ind w:firstLine="420" w:firstLineChars="200"/>
    </w:pPr>
  </w:style>
  <w:style w:type="character" w:customStyle="1" w:styleId="11">
    <w:name w:val="页眉 Char"/>
    <w:basedOn w:val="6"/>
    <w:link w:val="4"/>
    <w:semiHidden/>
    <w:qFormat/>
    <w:locked/>
    <w:uiPriority w:val="99"/>
    <w:rPr>
      <w:rFonts w:ascii="Tahoma" w:hAnsi="Tahoma" w:eastAsia="微软雅黑" w:cs="Times New Roman"/>
      <w:kern w:val="0"/>
      <w:sz w:val="18"/>
      <w:szCs w:val="18"/>
    </w:rPr>
  </w:style>
  <w:style w:type="character" w:customStyle="1" w:styleId="12">
    <w:name w:val="页脚 Char"/>
    <w:basedOn w:val="6"/>
    <w:link w:val="3"/>
    <w:semiHidden/>
    <w:qFormat/>
    <w:locked/>
    <w:uiPriority w:val="99"/>
    <w:rPr>
      <w:rFonts w:ascii="Tahoma" w:hAnsi="Tahoma" w:eastAsia="微软雅黑" w:cs="Times New Roman"/>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13</Pages>
  <Words>895</Words>
  <Characters>5107</Characters>
  <Lines>42</Lines>
  <Paragraphs>11</Paragraphs>
  <TotalTime>0</TotalTime>
  <ScaleCrop>false</ScaleCrop>
  <LinksUpToDate>false</LinksUpToDate>
  <CharactersWithSpaces>5991</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2019-05-06T05:48:21Z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