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pPr>
        <w:spacing w:line="220" w:lineRule="atLeast"/>
        <w:ind w:firstLine="600" w:firstLineChars="200"/>
        <w:rPr>
          <w:rFonts w:ascii="仿宋" w:hAnsi="仿宋" w:eastAsia="仿宋" w:cs="仿宋"/>
          <w:sz w:val="30"/>
          <w:szCs w:val="30"/>
        </w:rPr>
      </w:pPr>
    </w:p>
    <w:p>
      <w:pPr>
        <w:spacing w:line="220" w:lineRule="atLeast"/>
        <w:ind w:firstLine="600" w:firstLineChars="200"/>
        <w:rPr>
          <w:rFonts w:ascii="仿宋" w:hAnsi="仿宋" w:eastAsia="仿宋" w:cs="仿宋"/>
          <w:sz w:val="30"/>
          <w:szCs w:val="30"/>
        </w:rPr>
      </w:pPr>
    </w:p>
    <w:p>
      <w:pPr>
        <w:spacing w:after="0" w:line="520" w:lineRule="exact"/>
        <w:jc w:val="center"/>
        <w:rPr>
          <w:rFonts w:ascii="仿宋" w:hAnsi="仿宋" w:eastAsia="仿宋" w:cs="仿宋"/>
          <w:sz w:val="36"/>
          <w:szCs w:val="36"/>
        </w:rPr>
      </w:pPr>
      <w:r>
        <w:rPr>
          <w:rFonts w:hint="eastAsia" w:ascii="仿宋" w:hAnsi="仿宋" w:eastAsia="仿宋" w:cs="仿宋"/>
          <w:sz w:val="36"/>
          <w:szCs w:val="36"/>
        </w:rPr>
        <w:t>2017年度玛纳斯县文化馆部门决算公开说明</w:t>
      </w:r>
    </w:p>
    <w:p>
      <w:pPr>
        <w:spacing w:line="220" w:lineRule="atLeast"/>
        <w:ind w:firstLine="600" w:firstLineChars="200"/>
        <w:rPr>
          <w:rFonts w:ascii="仿宋" w:hAnsi="仿宋" w:eastAsia="仿宋" w:cs="仿宋"/>
          <w:sz w:val="30"/>
          <w:szCs w:val="30"/>
        </w:rPr>
      </w:pPr>
    </w:p>
    <w:p>
      <w:pPr>
        <w:spacing w:after="0" w:line="520" w:lineRule="exact"/>
        <w:ind w:firstLine="643" w:firstLineChars="200"/>
        <w:jc w:val="center"/>
        <w:rPr>
          <w:rFonts w:ascii="仿宋" w:hAnsi="仿宋" w:eastAsia="仿宋" w:cs="仿宋"/>
          <w:b/>
          <w:sz w:val="32"/>
          <w:szCs w:val="32"/>
        </w:rPr>
      </w:pPr>
      <w:r>
        <w:rPr>
          <w:rFonts w:hint="eastAsia" w:ascii="仿宋" w:hAnsi="仿宋" w:eastAsia="仿宋" w:cs="仿宋"/>
          <w:b/>
          <w:sz w:val="32"/>
          <w:szCs w:val="32"/>
        </w:rPr>
        <w:t>目  录</w:t>
      </w:r>
    </w:p>
    <w:p>
      <w:pPr>
        <w:spacing w:line="220" w:lineRule="atLeast"/>
        <w:ind w:firstLine="600" w:firstLineChars="200"/>
        <w:rPr>
          <w:rFonts w:ascii="仿宋" w:hAnsi="仿宋" w:eastAsia="仿宋" w:cs="仿宋"/>
          <w:sz w:val="30"/>
          <w:szCs w:val="30"/>
        </w:rPr>
      </w:pPr>
    </w:p>
    <w:p>
      <w:pPr>
        <w:spacing w:after="0" w:line="520" w:lineRule="exact"/>
        <w:ind w:firstLine="602" w:firstLineChars="200"/>
        <w:rPr>
          <w:rFonts w:ascii="仿宋" w:hAnsi="仿宋" w:eastAsia="仿宋" w:cs="仿宋"/>
          <w:b/>
          <w:bCs/>
          <w:sz w:val="30"/>
          <w:szCs w:val="30"/>
        </w:rPr>
      </w:pPr>
      <w:r>
        <w:rPr>
          <w:rFonts w:hint="eastAsia" w:ascii="仿宋" w:hAnsi="仿宋" w:eastAsia="仿宋" w:cs="仿宋"/>
          <w:b/>
          <w:bCs/>
          <w:sz w:val="30"/>
          <w:szCs w:val="30"/>
        </w:rPr>
        <w:t xml:space="preserve">第一部分 部门单位概况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一、主要职能、机构设置及人员情况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二、部门决算单位构成 </w:t>
      </w:r>
    </w:p>
    <w:p>
      <w:pPr>
        <w:spacing w:after="0" w:line="520" w:lineRule="exact"/>
        <w:ind w:firstLine="602" w:firstLineChars="200"/>
        <w:rPr>
          <w:rFonts w:ascii="仿宋" w:hAnsi="仿宋" w:eastAsia="仿宋" w:cs="仿宋"/>
          <w:b/>
          <w:bCs/>
          <w:sz w:val="30"/>
          <w:szCs w:val="30"/>
        </w:rPr>
      </w:pPr>
      <w:r>
        <w:rPr>
          <w:rFonts w:hint="eastAsia" w:ascii="仿宋" w:hAnsi="仿宋" w:eastAsia="仿宋" w:cs="仿宋"/>
          <w:b/>
          <w:bCs/>
          <w:sz w:val="30"/>
          <w:szCs w:val="30"/>
        </w:rPr>
        <w:t xml:space="preserve">第二部分 部门决算情况说明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一、部门收支总体情况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（一）部门收入支出决算总体情况说明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（二）部门收入总体情况说明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（三）部门支出总体情况说明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二、部门财政拨款收支情况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（一）财政拨款收支总体情况说明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（二）一般公共预算支出决算情况说明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（三）政府性基金预算收支决算情况说明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（四）政府性基金预算支出决算情况说明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三、部门结转结余情况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四、一般公共预算“三公”经费支出情况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五、机关运行经费支出情况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六、政府采购情况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七、其他重要事项的情况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（一）国有资产占用情况说明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（二）国有资产收益征缴情况说明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（三）部门项目支出情况和项目绩效评价情况说明 </w:t>
      </w:r>
    </w:p>
    <w:p>
      <w:pPr>
        <w:spacing w:after="0" w:line="520" w:lineRule="exact"/>
        <w:ind w:firstLine="602" w:firstLineChars="200"/>
        <w:rPr>
          <w:rFonts w:ascii="仿宋" w:hAnsi="仿宋" w:eastAsia="仿宋" w:cs="仿宋"/>
          <w:b/>
          <w:bCs/>
          <w:sz w:val="30"/>
          <w:szCs w:val="30"/>
        </w:rPr>
      </w:pPr>
      <w:r>
        <w:rPr>
          <w:rFonts w:hint="eastAsia" w:ascii="仿宋" w:hAnsi="仿宋" w:eastAsia="仿宋" w:cs="仿宋"/>
          <w:b/>
          <w:bCs/>
          <w:sz w:val="30"/>
          <w:szCs w:val="30"/>
        </w:rPr>
        <w:t xml:space="preserve">第三部分 专业名词解释 </w:t>
      </w:r>
    </w:p>
    <w:p>
      <w:pPr>
        <w:spacing w:after="0" w:line="520" w:lineRule="exact"/>
        <w:ind w:firstLine="602" w:firstLineChars="200"/>
        <w:rPr>
          <w:rFonts w:ascii="仿宋" w:hAnsi="仿宋" w:eastAsia="仿宋" w:cs="仿宋"/>
          <w:b/>
          <w:bCs/>
          <w:sz w:val="30"/>
          <w:szCs w:val="30"/>
        </w:rPr>
      </w:pPr>
      <w:r>
        <w:rPr>
          <w:rFonts w:hint="eastAsia" w:ascii="仿宋" w:hAnsi="仿宋" w:eastAsia="仿宋" w:cs="仿宋"/>
          <w:b/>
          <w:bCs/>
          <w:sz w:val="30"/>
          <w:szCs w:val="30"/>
        </w:rPr>
        <w:t xml:space="preserve">第四部分 部门决算报表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一、报表封面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二、部门收支总体情况（11张）：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《收入支出决算总表》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《收入决算表》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《支出决算表》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《收入支出决算表》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《项目收入支出决算表》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《行政事业类项目收入支出决算表》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《基本建设类项目收入支出决算表》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《支出决算明细表》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《基本支出决算明细表》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《项目支出决算明细表》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《财政专户管理资金收入支出决算表》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三、财政拨款收支情况（9张）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《财政拨款收入支出决算总表》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《一般公共预算财政拨款收入支出决算表》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《一般公共预算财政拨款支出决算明细表》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《一般公共预算财政拨款基本支出决算明细表》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《一般公共预算财政拨款项目支出决算明细表》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《政府性基金预算财政拨款收入支出决算表》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《政府性基金预算财政拨款支出决算明细表》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《政府性基金预算财政拨款基本支出决算明细表》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《政府性基金预算财政拨款项目支出决算明细表》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四、单位资产负责情况（1张）：《资产负债简表》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五、部门决算附表（5张）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《资产情况表》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《国有资产收益征缴情况表》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《基本数字表》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《机构人员情况表》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《非税收入征缴情况表》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六、填报说明附表（2张）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《部门决算相关信息统计表》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《政府采购情况表》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七、“三公”经费支出情况(1张)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《2017年度一般公共预算“三公”经费支出情况表》 </w:t>
      </w:r>
    </w:p>
    <w:p>
      <w:pPr>
        <w:spacing w:line="220" w:lineRule="atLeast"/>
        <w:ind w:firstLine="600" w:firstLineChars="200"/>
        <w:rPr>
          <w:rFonts w:ascii="仿宋" w:hAnsi="仿宋" w:eastAsia="仿宋" w:cs="仿宋"/>
          <w:sz w:val="30"/>
          <w:szCs w:val="30"/>
        </w:rPr>
      </w:pPr>
    </w:p>
    <w:p>
      <w:pPr>
        <w:spacing w:line="220" w:lineRule="atLeast"/>
        <w:ind w:firstLine="600" w:firstLineChars="200"/>
        <w:rPr>
          <w:rFonts w:ascii="仿宋" w:hAnsi="仿宋" w:eastAsia="仿宋" w:cs="仿宋"/>
          <w:sz w:val="30"/>
          <w:szCs w:val="30"/>
        </w:rPr>
      </w:pPr>
    </w:p>
    <w:p>
      <w:pPr>
        <w:spacing w:line="220" w:lineRule="atLeast"/>
        <w:ind w:firstLine="600" w:firstLineChars="200"/>
        <w:rPr>
          <w:rFonts w:ascii="仿宋" w:hAnsi="仿宋" w:eastAsia="仿宋" w:cs="仿宋"/>
          <w:sz w:val="30"/>
          <w:szCs w:val="30"/>
        </w:rPr>
      </w:pPr>
    </w:p>
    <w:p>
      <w:pPr>
        <w:spacing w:line="220" w:lineRule="atLeast"/>
        <w:ind w:firstLine="600" w:firstLineChars="200"/>
        <w:rPr>
          <w:rFonts w:ascii="仿宋" w:hAnsi="仿宋" w:eastAsia="仿宋" w:cs="仿宋"/>
          <w:sz w:val="30"/>
          <w:szCs w:val="30"/>
        </w:rPr>
      </w:pPr>
    </w:p>
    <w:p>
      <w:pPr>
        <w:spacing w:line="220" w:lineRule="atLeast"/>
        <w:ind w:firstLine="600" w:firstLineChars="200"/>
        <w:rPr>
          <w:rFonts w:ascii="仿宋" w:hAnsi="仿宋" w:eastAsia="仿宋" w:cs="仿宋"/>
          <w:sz w:val="30"/>
          <w:szCs w:val="30"/>
        </w:rPr>
      </w:pPr>
    </w:p>
    <w:p>
      <w:pPr>
        <w:spacing w:line="220" w:lineRule="atLeast"/>
        <w:ind w:firstLine="600" w:firstLineChars="200"/>
        <w:rPr>
          <w:rFonts w:ascii="仿宋" w:hAnsi="仿宋" w:eastAsia="仿宋" w:cs="仿宋"/>
          <w:sz w:val="30"/>
          <w:szCs w:val="30"/>
        </w:rPr>
      </w:pPr>
    </w:p>
    <w:p>
      <w:pPr>
        <w:spacing w:line="220" w:lineRule="atLeast"/>
        <w:ind w:firstLine="600" w:firstLineChars="200"/>
        <w:rPr>
          <w:rFonts w:ascii="仿宋" w:hAnsi="仿宋" w:eastAsia="仿宋" w:cs="仿宋"/>
          <w:sz w:val="30"/>
          <w:szCs w:val="30"/>
        </w:rPr>
      </w:pPr>
    </w:p>
    <w:p>
      <w:pPr>
        <w:spacing w:line="220" w:lineRule="atLeast"/>
        <w:ind w:firstLine="600" w:firstLineChars="200"/>
        <w:rPr>
          <w:rFonts w:ascii="仿宋" w:hAnsi="仿宋" w:eastAsia="仿宋" w:cs="仿宋"/>
          <w:sz w:val="30"/>
          <w:szCs w:val="30"/>
        </w:rPr>
      </w:pPr>
    </w:p>
    <w:p>
      <w:pPr>
        <w:spacing w:line="220" w:lineRule="atLeast"/>
        <w:ind w:firstLine="600" w:firstLineChars="200"/>
        <w:rPr>
          <w:rFonts w:ascii="仿宋" w:hAnsi="仿宋" w:eastAsia="仿宋" w:cs="仿宋"/>
          <w:sz w:val="30"/>
          <w:szCs w:val="30"/>
        </w:rPr>
      </w:pPr>
    </w:p>
    <w:p>
      <w:pPr>
        <w:spacing w:line="220" w:lineRule="atLeast"/>
        <w:ind w:firstLine="600" w:firstLineChars="200"/>
        <w:rPr>
          <w:rFonts w:ascii="仿宋" w:hAnsi="仿宋" w:eastAsia="仿宋" w:cs="仿宋"/>
          <w:sz w:val="30"/>
          <w:szCs w:val="30"/>
        </w:rPr>
      </w:pPr>
    </w:p>
    <w:p>
      <w:pPr>
        <w:spacing w:line="220" w:lineRule="atLeast"/>
        <w:ind w:firstLine="600" w:firstLineChars="200"/>
        <w:rPr>
          <w:rFonts w:ascii="仿宋" w:hAnsi="仿宋" w:eastAsia="仿宋" w:cs="仿宋"/>
          <w:sz w:val="30"/>
          <w:szCs w:val="30"/>
        </w:rPr>
      </w:pPr>
    </w:p>
    <w:p>
      <w:pPr>
        <w:spacing w:line="220" w:lineRule="atLeast"/>
        <w:ind w:firstLine="600" w:firstLineChars="200"/>
        <w:rPr>
          <w:rFonts w:ascii="仿宋" w:hAnsi="仿宋" w:eastAsia="仿宋" w:cs="仿宋"/>
          <w:sz w:val="30"/>
          <w:szCs w:val="30"/>
        </w:rPr>
      </w:pPr>
    </w:p>
    <w:p>
      <w:pPr>
        <w:spacing w:line="220" w:lineRule="atLeast"/>
        <w:rPr>
          <w:rFonts w:ascii="仿宋" w:hAnsi="仿宋" w:eastAsia="仿宋" w:cs="仿宋"/>
          <w:sz w:val="30"/>
          <w:szCs w:val="30"/>
        </w:rPr>
      </w:pPr>
    </w:p>
    <w:p>
      <w:pPr>
        <w:spacing w:after="0" w:line="520" w:lineRule="exact"/>
        <w:jc w:val="center"/>
        <w:rPr>
          <w:rFonts w:ascii="仿宋" w:hAnsi="仿宋" w:eastAsia="仿宋" w:cs="仿宋"/>
          <w:b/>
          <w:bCs/>
          <w:sz w:val="30"/>
          <w:szCs w:val="30"/>
        </w:rPr>
      </w:pPr>
      <w:r>
        <w:rPr>
          <w:rFonts w:hint="eastAsia" w:ascii="仿宋" w:hAnsi="仿宋" w:eastAsia="仿宋" w:cs="仿宋"/>
          <w:b/>
          <w:bCs/>
          <w:sz w:val="30"/>
          <w:szCs w:val="30"/>
        </w:rPr>
        <w:t>第一部分 部门单位概况</w:t>
      </w:r>
    </w:p>
    <w:p>
      <w:pPr>
        <w:pStyle w:val="11"/>
        <w:numPr>
          <w:ilvl w:val="0"/>
          <w:numId w:val="1"/>
        </w:numPr>
        <w:spacing w:after="0" w:line="520" w:lineRule="exact"/>
        <w:ind w:firstLineChars="0"/>
        <w:rPr>
          <w:rFonts w:ascii="仿宋" w:hAnsi="仿宋" w:eastAsia="仿宋" w:cs="仿宋"/>
          <w:sz w:val="30"/>
          <w:szCs w:val="30"/>
        </w:rPr>
      </w:pPr>
      <w:r>
        <w:rPr>
          <w:rFonts w:hint="eastAsia" w:ascii="仿宋" w:hAnsi="仿宋" w:eastAsia="仿宋" w:cs="仿宋"/>
          <w:sz w:val="30"/>
          <w:szCs w:val="30"/>
        </w:rPr>
        <w:t>单位基本情况：</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1、基本情况。</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主要职能：文化馆宗旨和业务范围</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宗旨：组织群众文化活动，繁荣群众文化事业。</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业务范围：群众文化宣传、文艺活动组织；业余文艺创作组织；群众文艺理论研究与文化交流；大众科普资料编辑；民族民间文化艺术遗产收集整理与保护；相关培训。</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2、机构人员情况：</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2017年末全额事业编制21人，实有在职17人，退休7人，离休1人。机构人员当年变动情况及原因。与上年持平，无变化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二、部门决算单位构成。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从决算单位构成看，2017年本单位部门决算包括：玛纳斯县文化馆部门本级决算、所属单位决算等。 </w:t>
      </w:r>
    </w:p>
    <w:p>
      <w:pPr>
        <w:spacing w:line="220" w:lineRule="atLeast"/>
        <w:ind w:firstLine="600" w:firstLineChars="200"/>
        <w:rPr>
          <w:rFonts w:ascii="仿宋" w:hAnsi="仿宋" w:eastAsia="仿宋" w:cs="仿宋"/>
          <w:sz w:val="30"/>
          <w:szCs w:val="30"/>
        </w:rPr>
      </w:pPr>
      <w:r>
        <w:rPr>
          <w:rFonts w:hint="eastAsia" w:ascii="仿宋" w:hAnsi="仿宋" w:eastAsia="仿宋" w:cs="仿宋"/>
          <w:sz w:val="30"/>
          <w:szCs w:val="30"/>
        </w:rPr>
        <w:t xml:space="preserve">纳入本单位2017年部门决算编制范围的单位名单见下表： </w:t>
      </w:r>
    </w:p>
    <w:tbl>
      <w:tblPr>
        <w:tblStyle w:val="10"/>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40"/>
        <w:gridCol w:w="3134"/>
        <w:gridCol w:w="254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Pr>
          <w:p>
            <w:pPr>
              <w:keepNext w:val="0"/>
              <w:keepLines w:val="0"/>
              <w:widowControl w:val="0"/>
              <w:suppressLineNumbers w:val="0"/>
              <w:spacing w:before="0" w:beforeAutospacing="0" w:afterAutospacing="0" w:line="220" w:lineRule="atLeast"/>
              <w:ind w:left="0" w:right="0"/>
              <w:jc w:val="center"/>
              <w:rPr>
                <w:rFonts w:hint="default" w:ascii="仿宋" w:hAnsi="仿宋" w:eastAsia="仿宋" w:cs="仿宋"/>
                <w:sz w:val="30"/>
                <w:szCs w:val="30"/>
              </w:rPr>
            </w:pPr>
            <w:r>
              <w:rPr>
                <w:rFonts w:hint="eastAsia" w:ascii="仿宋" w:hAnsi="仿宋" w:eastAsia="仿宋" w:cs="仿宋"/>
                <w:sz w:val="30"/>
                <w:szCs w:val="30"/>
              </w:rPr>
              <w:t>序号</w:t>
            </w:r>
          </w:p>
        </w:tc>
        <w:tc>
          <w:tcPr>
            <w:tcW w:w="3134" w:type="dxa"/>
          </w:tcPr>
          <w:p>
            <w:pPr>
              <w:keepNext w:val="0"/>
              <w:keepLines w:val="0"/>
              <w:widowControl w:val="0"/>
              <w:suppressLineNumbers w:val="0"/>
              <w:spacing w:before="0" w:beforeAutospacing="0" w:afterAutospacing="0" w:line="220" w:lineRule="atLeast"/>
              <w:ind w:left="0" w:right="0"/>
              <w:jc w:val="center"/>
              <w:rPr>
                <w:rFonts w:hint="default" w:ascii="仿宋" w:hAnsi="仿宋" w:eastAsia="仿宋" w:cs="仿宋"/>
                <w:sz w:val="30"/>
                <w:szCs w:val="30"/>
              </w:rPr>
            </w:pPr>
            <w:r>
              <w:rPr>
                <w:rFonts w:hint="eastAsia" w:ascii="仿宋" w:hAnsi="仿宋" w:eastAsia="仿宋" w:cs="仿宋"/>
                <w:sz w:val="30"/>
                <w:szCs w:val="30"/>
              </w:rPr>
              <w:t>单位名称</w:t>
            </w:r>
          </w:p>
        </w:tc>
        <w:tc>
          <w:tcPr>
            <w:tcW w:w="2548" w:type="dxa"/>
          </w:tcPr>
          <w:p>
            <w:pPr>
              <w:keepNext w:val="0"/>
              <w:keepLines w:val="0"/>
              <w:widowControl w:val="0"/>
              <w:suppressLineNumbers w:val="0"/>
              <w:spacing w:before="0" w:beforeAutospacing="0" w:afterAutospacing="0" w:line="220" w:lineRule="atLeast"/>
              <w:ind w:left="0" w:right="0"/>
              <w:jc w:val="center"/>
              <w:rPr>
                <w:rFonts w:hint="default" w:ascii="仿宋" w:hAnsi="仿宋" w:eastAsia="仿宋" w:cs="仿宋"/>
                <w:sz w:val="30"/>
                <w:szCs w:val="30"/>
              </w:rPr>
            </w:pPr>
            <w:r>
              <w:rPr>
                <w:rFonts w:hint="eastAsia" w:ascii="仿宋" w:hAnsi="仿宋" w:eastAsia="仿宋" w:cs="仿宋"/>
                <w:sz w:val="30"/>
                <w:szCs w:val="30"/>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Pr>
          <w:p>
            <w:pPr>
              <w:keepNext w:val="0"/>
              <w:keepLines w:val="0"/>
              <w:widowControl w:val="0"/>
              <w:suppressLineNumbers w:val="0"/>
              <w:spacing w:before="0" w:beforeAutospacing="0" w:afterAutospacing="0" w:line="220" w:lineRule="atLeast"/>
              <w:ind w:left="0" w:right="0"/>
              <w:jc w:val="center"/>
              <w:rPr>
                <w:rFonts w:hint="default" w:ascii="仿宋" w:hAnsi="仿宋" w:eastAsia="仿宋" w:cs="仿宋"/>
                <w:sz w:val="30"/>
                <w:szCs w:val="30"/>
              </w:rPr>
            </w:pPr>
            <w:r>
              <w:rPr>
                <w:rFonts w:hint="eastAsia" w:ascii="仿宋" w:hAnsi="仿宋" w:eastAsia="仿宋" w:cs="仿宋"/>
                <w:sz w:val="30"/>
                <w:szCs w:val="30"/>
              </w:rPr>
              <w:t>1</w:t>
            </w:r>
          </w:p>
        </w:tc>
        <w:tc>
          <w:tcPr>
            <w:tcW w:w="3134" w:type="dxa"/>
          </w:tcPr>
          <w:p>
            <w:pPr>
              <w:keepNext w:val="0"/>
              <w:keepLines w:val="0"/>
              <w:widowControl w:val="0"/>
              <w:suppressLineNumbers w:val="0"/>
              <w:spacing w:before="0" w:beforeAutospacing="0" w:afterAutospacing="0" w:line="220" w:lineRule="atLeast"/>
              <w:ind w:left="0" w:right="0"/>
              <w:jc w:val="center"/>
              <w:rPr>
                <w:rFonts w:hint="default" w:ascii="仿宋" w:hAnsi="仿宋" w:eastAsia="仿宋" w:cs="仿宋"/>
                <w:sz w:val="30"/>
                <w:szCs w:val="30"/>
              </w:rPr>
            </w:pPr>
            <w:r>
              <w:rPr>
                <w:rFonts w:hint="eastAsia" w:ascii="仿宋" w:hAnsi="仿宋" w:eastAsia="仿宋" w:cs="仿宋"/>
                <w:sz w:val="30"/>
                <w:szCs w:val="30"/>
              </w:rPr>
              <w:t>玛纳斯县文化馆本级</w:t>
            </w:r>
          </w:p>
        </w:tc>
        <w:tc>
          <w:tcPr>
            <w:tcW w:w="2548" w:type="dxa"/>
          </w:tcPr>
          <w:p>
            <w:pPr>
              <w:keepNext w:val="0"/>
              <w:keepLines w:val="0"/>
              <w:widowControl w:val="0"/>
              <w:suppressLineNumbers w:val="0"/>
              <w:spacing w:before="0" w:beforeAutospacing="0" w:afterAutospacing="0" w:line="220" w:lineRule="atLeast"/>
              <w:ind w:left="0" w:right="0"/>
              <w:jc w:val="center"/>
              <w:rPr>
                <w:rFonts w:hint="default" w:ascii="仿宋" w:hAnsi="仿宋" w:eastAsia="仿宋" w:cs="仿宋"/>
                <w:sz w:val="30"/>
                <w:szCs w:val="30"/>
              </w:rPr>
            </w:pPr>
          </w:p>
        </w:tc>
      </w:tr>
    </w:tbl>
    <w:p>
      <w:pPr>
        <w:spacing w:line="220" w:lineRule="atLeast"/>
        <w:rPr>
          <w:rFonts w:ascii="仿宋" w:hAnsi="仿宋" w:eastAsia="仿宋" w:cs="仿宋"/>
          <w:sz w:val="30"/>
          <w:szCs w:val="30"/>
        </w:rPr>
      </w:pPr>
    </w:p>
    <w:p>
      <w:pPr>
        <w:spacing w:line="220" w:lineRule="atLeast"/>
        <w:rPr>
          <w:rFonts w:ascii="仿宋" w:hAnsi="仿宋" w:eastAsia="仿宋" w:cs="仿宋"/>
          <w:sz w:val="30"/>
          <w:szCs w:val="30"/>
        </w:rPr>
      </w:pPr>
    </w:p>
    <w:p>
      <w:pPr>
        <w:spacing w:line="220" w:lineRule="atLeast"/>
        <w:rPr>
          <w:rFonts w:ascii="仿宋" w:hAnsi="仿宋" w:eastAsia="仿宋" w:cs="仿宋"/>
          <w:sz w:val="30"/>
          <w:szCs w:val="30"/>
        </w:rPr>
      </w:pPr>
    </w:p>
    <w:p>
      <w:pPr>
        <w:spacing w:line="220" w:lineRule="atLeast"/>
        <w:rPr>
          <w:rFonts w:ascii="仿宋" w:hAnsi="仿宋" w:eastAsia="仿宋" w:cs="仿宋"/>
          <w:sz w:val="30"/>
          <w:szCs w:val="30"/>
        </w:rPr>
      </w:pPr>
    </w:p>
    <w:p>
      <w:pPr>
        <w:spacing w:line="220" w:lineRule="atLeast"/>
        <w:rPr>
          <w:rFonts w:ascii="仿宋" w:hAnsi="仿宋" w:eastAsia="仿宋" w:cs="仿宋"/>
          <w:sz w:val="30"/>
          <w:szCs w:val="30"/>
        </w:rPr>
      </w:pPr>
    </w:p>
    <w:p>
      <w:pPr>
        <w:spacing w:line="220" w:lineRule="atLeast"/>
        <w:rPr>
          <w:rFonts w:ascii="仿宋" w:hAnsi="仿宋" w:eastAsia="仿宋" w:cs="仿宋"/>
          <w:sz w:val="30"/>
          <w:szCs w:val="30"/>
        </w:rPr>
      </w:pPr>
    </w:p>
    <w:p>
      <w:pPr>
        <w:spacing w:line="220" w:lineRule="atLeast"/>
        <w:rPr>
          <w:rFonts w:ascii="仿宋" w:hAnsi="仿宋" w:eastAsia="仿宋" w:cs="仿宋"/>
          <w:sz w:val="30"/>
          <w:szCs w:val="30"/>
        </w:rPr>
      </w:pPr>
    </w:p>
    <w:p>
      <w:pPr>
        <w:spacing w:line="220" w:lineRule="atLeast"/>
        <w:rPr>
          <w:rFonts w:ascii="仿宋" w:hAnsi="仿宋" w:eastAsia="仿宋" w:cs="仿宋"/>
          <w:sz w:val="30"/>
          <w:szCs w:val="30"/>
        </w:rPr>
      </w:pPr>
    </w:p>
    <w:p>
      <w:pPr>
        <w:spacing w:after="0" w:line="520" w:lineRule="exact"/>
        <w:jc w:val="center"/>
        <w:rPr>
          <w:rFonts w:ascii="仿宋" w:hAnsi="仿宋" w:eastAsia="仿宋" w:cs="仿宋"/>
          <w:b/>
          <w:bCs/>
          <w:sz w:val="30"/>
          <w:szCs w:val="30"/>
        </w:rPr>
      </w:pPr>
      <w:r>
        <w:rPr>
          <w:rFonts w:hint="eastAsia" w:ascii="仿宋" w:hAnsi="仿宋" w:eastAsia="仿宋" w:cs="仿宋"/>
          <w:b/>
          <w:bCs/>
          <w:sz w:val="30"/>
          <w:szCs w:val="30"/>
        </w:rPr>
        <w:t>第二部分 部门决算情况说明</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一、部门收支总体情况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（一）部门收入支出决算总体情况说明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2017年度收入276.44万元,与上年相比，减少17.69万元，降低6.01%，支出275.16万元,与上年相比，减少32.48万元，降低10.56%，</w:t>
      </w:r>
      <w:r>
        <w:rPr>
          <w:rFonts w:hint="eastAsia" w:ascii="仿宋" w:hAnsi="仿宋" w:eastAsia="仿宋" w:cs="仿宋"/>
          <w:sz w:val="30"/>
          <w:szCs w:val="30"/>
          <w:lang w:val="en-US" w:eastAsia="zh-CN" w:bidi="ar"/>
        </w:rPr>
        <w:t>结余0万元，与上年相比，增加0万元，增长0%。与上年持平。</w:t>
      </w:r>
      <w:r>
        <w:rPr>
          <w:rFonts w:hint="eastAsia" w:ascii="仿宋" w:hAnsi="仿宋" w:eastAsia="仿宋" w:cs="仿宋"/>
          <w:sz w:val="30"/>
          <w:szCs w:val="30"/>
        </w:rPr>
        <w:t xml:space="preserve">增减变化主要原因是：上级补助收入减少。 </w:t>
      </w:r>
    </w:p>
    <w:p>
      <w:pPr>
        <w:spacing w:after="0" w:line="520" w:lineRule="exact"/>
        <w:ind w:firstLine="600" w:firstLineChars="200"/>
        <w:rPr>
          <w:rFonts w:hint="eastAsia" w:ascii="仿宋" w:hAnsi="仿宋" w:eastAsia="仿宋" w:cs="仿宋"/>
          <w:sz w:val="30"/>
          <w:szCs w:val="30"/>
        </w:rPr>
      </w:pPr>
      <w:r>
        <w:rPr>
          <w:rFonts w:hint="eastAsia" w:ascii="仿宋" w:hAnsi="仿宋" w:eastAsia="仿宋" w:cs="仿宋"/>
          <w:sz w:val="30"/>
          <w:szCs w:val="30"/>
        </w:rPr>
        <w:t>与预算相比情况：</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收入与年初预算相比，增加81.24万元。支出与年初预算相比，增加79.96万元。增减变化主要原因是：当年上级补助收入增加，单位新增1人财政补助收入增加。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其他有关说明内容。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无</w:t>
      </w:r>
    </w:p>
    <w:p>
      <w:pPr>
        <w:spacing w:after="0" w:line="520" w:lineRule="exact"/>
        <w:ind w:firstLine="450" w:firstLineChars="150"/>
        <w:rPr>
          <w:rFonts w:ascii="仿宋" w:hAnsi="仿宋" w:eastAsia="仿宋" w:cs="仿宋"/>
          <w:sz w:val="30"/>
          <w:szCs w:val="30"/>
        </w:rPr>
      </w:pPr>
      <w:r>
        <w:rPr>
          <w:rFonts w:hint="eastAsia" w:ascii="仿宋" w:hAnsi="仿宋" w:eastAsia="仿宋" w:cs="仿宋"/>
          <w:sz w:val="30"/>
          <w:szCs w:val="30"/>
        </w:rPr>
        <w:t xml:space="preserve">（二）部门收入总体情况说明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 本年收入合计276.44万元，其中：财政拨款收入218.37万元，占79%；上级补助收入57.59万元，占20.8%；其他收入0.48万元，占0.2%。与上年相比，减少17.69万元，降低6.01%，上级补助收入0元，占0%；事业收入0万元，占0%；经营收入0万元，占0%；附属单位缴款0万元，占0%；增减变化的主要原因是：上级补助收入减少。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与预算相比情况：收入与年初预算相比，增加81.24万元。增减变化主要原因是：当年上级补助收入增加，单位新增1人财政补助收入增加。</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其他有关说明内容。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无</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（三）部门支出总体情况说明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本年支出合计275.16万元，其中：基本支出275.16万元，占100%；项目支出0万元。</w:t>
      </w:r>
      <w:r>
        <w:rPr>
          <w:rFonts w:hint="eastAsia" w:ascii="仿宋" w:hAnsi="仿宋" w:eastAsia="仿宋" w:cs="仿宋"/>
          <w:sz w:val="30"/>
          <w:szCs w:val="30"/>
          <w:lang w:val="en-US" w:eastAsia="zh-CN" w:bidi="ar"/>
        </w:rPr>
        <w:t>上缴上级支出0万元，占0%；经营支出0万元，占0%；对附属单位补助支出0万元，占0%。</w:t>
      </w:r>
      <w:r>
        <w:rPr>
          <w:rFonts w:hint="eastAsia" w:ascii="仿宋" w:hAnsi="仿宋" w:eastAsia="仿宋" w:cs="仿宋"/>
          <w:sz w:val="30"/>
          <w:szCs w:val="30"/>
        </w:rPr>
        <w:t xml:space="preserve">增减变化的主要原因是：上级补助收入减少。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与预算相比情况：支出与年初预算相比，增加79.96万元。增减变化主要原因是：当年上级补助经费开支增加，单位新增1人支出增加。</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其他有关说明内容。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无</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二、部门财政拨款收支情况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（一）财政拨款收支总体情况说明 </w:t>
      </w:r>
    </w:p>
    <w:p>
      <w:pPr>
        <w:spacing w:after="0" w:line="520" w:lineRule="exact"/>
        <w:ind w:firstLine="600" w:firstLineChars="200"/>
        <w:jc w:val="both"/>
        <w:rPr>
          <w:rFonts w:ascii="仿宋" w:hAnsi="仿宋" w:eastAsia="仿宋" w:cs="仿宋"/>
          <w:sz w:val="30"/>
          <w:szCs w:val="30"/>
        </w:rPr>
      </w:pPr>
      <w:r>
        <w:rPr>
          <w:rFonts w:hint="eastAsia" w:ascii="仿宋" w:hAnsi="仿宋" w:eastAsia="仿宋" w:cs="仿宋"/>
          <w:sz w:val="30"/>
          <w:szCs w:val="30"/>
        </w:rPr>
        <w:t>2017年度财政拨款收入218.37万元，与上年相比，增加16.08万元，增长7.9%。增减变化的主要原因是：财政拨款经费增加。财政拨款支出218.37万元，与上年相比，增加16.08万元，增长7.9%。其中：基本支出218.37万元，项目支出0万元。增减变化的主要原因是：财政拨款经费增加。财政拨款结转结余0万元，与上年相比，增加0万元，增长0%。增减变化的主要原因是严格按照财政预算执行。</w:t>
      </w:r>
    </w:p>
    <w:p>
      <w:pPr>
        <w:spacing w:after="0" w:line="520" w:lineRule="exact"/>
        <w:ind w:firstLine="600" w:firstLineChars="200"/>
        <w:rPr>
          <w:rFonts w:hint="eastAsia" w:ascii="仿宋" w:hAnsi="仿宋" w:eastAsia="仿宋" w:cs="仿宋"/>
          <w:sz w:val="30"/>
          <w:szCs w:val="30"/>
        </w:rPr>
      </w:pPr>
      <w:r>
        <w:rPr>
          <w:rFonts w:hint="eastAsia" w:ascii="仿宋" w:hAnsi="仿宋" w:eastAsia="仿宋" w:cs="仿宋"/>
          <w:sz w:val="30"/>
          <w:szCs w:val="30"/>
        </w:rPr>
        <w:t>与预算相比情况：</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财政拨款收入与年初预算相比，增加23.17万元。 主要原因是单位新增1人，财政补助收入增加。</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其他有关说明内容。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无</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（二）一般公共预算支出决算情况说明 </w:t>
      </w:r>
    </w:p>
    <w:p>
      <w:pPr>
        <w:spacing w:after="0" w:line="520" w:lineRule="exact"/>
        <w:ind w:firstLine="600" w:firstLineChars="200"/>
        <w:rPr>
          <w:rFonts w:hint="eastAsia" w:ascii="仿宋" w:hAnsi="仿宋" w:eastAsia="仿宋" w:cs="仿宋"/>
          <w:sz w:val="30"/>
          <w:szCs w:val="30"/>
        </w:rPr>
      </w:pPr>
      <w:r>
        <w:rPr>
          <w:rFonts w:hint="eastAsia" w:ascii="仿宋" w:hAnsi="仿宋" w:eastAsia="仿宋" w:cs="仿宋"/>
          <w:sz w:val="30"/>
          <w:szCs w:val="30"/>
        </w:rPr>
        <w:t>2017年度一般公共预算财政拨款支出218.37万元。与上年相比，增加16.08万元，增长7.9%。增减变化的主要原因是：财政拨款经费增加。</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其中：按功能分类科目，文化体育与传媒支出196</w:t>
      </w:r>
      <w:r>
        <w:rPr>
          <w:rFonts w:hint="eastAsia" w:ascii="仿宋" w:hAnsi="仿宋" w:eastAsia="仿宋" w:cs="仿宋"/>
          <w:sz w:val="30"/>
          <w:szCs w:val="30"/>
          <w:lang w:val="en-US" w:eastAsia="zh-CN"/>
        </w:rPr>
        <w:t>.</w:t>
      </w:r>
      <w:r>
        <w:rPr>
          <w:rFonts w:hint="eastAsia" w:ascii="仿宋" w:hAnsi="仿宋" w:eastAsia="仿宋" w:cs="仿宋"/>
          <w:sz w:val="30"/>
          <w:szCs w:val="30"/>
        </w:rPr>
        <w:t>6621万元，社会保障和就业支出21</w:t>
      </w:r>
      <w:r>
        <w:rPr>
          <w:rFonts w:hint="eastAsia" w:ascii="仿宋" w:hAnsi="仿宋" w:eastAsia="仿宋" w:cs="仿宋"/>
          <w:sz w:val="30"/>
          <w:szCs w:val="30"/>
          <w:lang w:val="en-US" w:eastAsia="zh-CN"/>
        </w:rPr>
        <w:t>.</w:t>
      </w:r>
      <w:r>
        <w:rPr>
          <w:rFonts w:hint="eastAsia" w:ascii="仿宋" w:hAnsi="仿宋" w:eastAsia="仿宋" w:cs="仿宋"/>
          <w:sz w:val="30"/>
          <w:szCs w:val="30"/>
        </w:rPr>
        <w:t xml:space="preserve">70万元。按经济分类科目，工资福利支出175.99万元，商品和服务支出25.5万元，对个人和家庭的补助16.58万元，其他资本性支出0.3万元。 </w:t>
      </w:r>
    </w:p>
    <w:p>
      <w:pPr>
        <w:spacing w:after="0" w:line="520" w:lineRule="exact"/>
        <w:ind w:firstLine="600" w:firstLineChars="200"/>
        <w:rPr>
          <w:rFonts w:hint="eastAsia" w:ascii="仿宋" w:hAnsi="仿宋" w:eastAsia="仿宋" w:cs="仿宋"/>
          <w:sz w:val="30"/>
          <w:szCs w:val="30"/>
        </w:rPr>
      </w:pPr>
      <w:r>
        <w:rPr>
          <w:rFonts w:hint="eastAsia" w:ascii="仿宋" w:hAnsi="仿宋" w:eastAsia="仿宋" w:cs="仿宋"/>
          <w:sz w:val="30"/>
          <w:szCs w:val="30"/>
        </w:rPr>
        <w:t>与预算相比情况：</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收入与年初预算相比，增加23.17万元。主要原因是单位新增1人，财政补助收入增加。</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其他有关说明内容。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无</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（三）政府性基金预算收支决算情况说明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2017年度政府性基金预算财政拨款收入0万元，与上年相比，增加0万元，增长0%。增减变化的主要原因是：年初无预算安排。政府性基金预算财政拨款支出0万元，与上年相比，增加0万元，增长0%。增减变化的主要原因是：年初无预算安排。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与预算相比情况。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2017年度政府性基金预算财政拨款收入0万元，与预算相比，增加0万元，增长0%。增减变化的主要原因是：年初无预算安排。政府性基金预算财政拨款支出0万元，与预算相比，增加0万元，增长0%。增减变化的主要原因是：年初无预算安排。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其他有关说明内容。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无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（四）政府性基金预算支出决算情况说明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2017年度政府性基金预算支出0万元。与上年相比，增加0万元，增长0%。增减变化的主要原因是：年初无预算安排。按功能分类科目，基本支出0万元，项目支出0万元。按经济分类科目，工资福利支出0万元，商品和服务支出0万元，对个人和家庭的补助0万元，其他资本性支出0万元。  </w:t>
      </w:r>
    </w:p>
    <w:p>
      <w:pPr>
        <w:keepNext w:val="0"/>
        <w:keepLines w:val="0"/>
        <w:widowControl/>
        <w:suppressLineNumbers w:val="0"/>
        <w:adjustRightInd w:val="0"/>
        <w:snapToGrid w:val="0"/>
        <w:spacing w:before="0" w:beforeAutospacing="0" w:after="0" w:afterAutospacing="0" w:line="520" w:lineRule="exact"/>
        <w:ind w:left="0" w:right="0" w:firstLine="600" w:firstLineChars="200"/>
        <w:jc w:val="left"/>
        <w:rPr>
          <w:rFonts w:hint="eastAsia" w:ascii="仿宋" w:hAnsi="仿宋" w:eastAsia="仿宋" w:cs="仿宋"/>
          <w:sz w:val="30"/>
          <w:szCs w:val="30"/>
          <w:lang w:val="en-US"/>
        </w:rPr>
      </w:pPr>
      <w:r>
        <w:rPr>
          <w:rFonts w:hint="eastAsia" w:ascii="仿宋" w:hAnsi="仿宋" w:eastAsia="仿宋" w:cs="仿宋"/>
          <w:snapToGrid/>
          <w:kern w:val="0"/>
          <w:sz w:val="30"/>
          <w:szCs w:val="30"/>
          <w:lang w:val="en-US" w:eastAsia="zh-CN" w:bidi="ar"/>
        </w:rPr>
        <w:t>与预算相比情况。</w:t>
      </w:r>
    </w:p>
    <w:p>
      <w:pPr>
        <w:keepNext w:val="0"/>
        <w:keepLines w:val="0"/>
        <w:widowControl/>
        <w:suppressLineNumbers w:val="0"/>
        <w:adjustRightInd w:val="0"/>
        <w:snapToGrid w:val="0"/>
        <w:spacing w:before="0" w:beforeAutospacing="0" w:after="0" w:afterAutospacing="0" w:line="520" w:lineRule="exact"/>
        <w:ind w:left="0" w:right="0" w:firstLine="600" w:firstLineChars="200"/>
        <w:jc w:val="left"/>
        <w:rPr>
          <w:rFonts w:hint="eastAsia" w:ascii="仿宋" w:hAnsi="仿宋" w:eastAsia="仿宋" w:cs="仿宋"/>
          <w:sz w:val="30"/>
          <w:szCs w:val="30"/>
          <w:lang w:val="en-US"/>
        </w:rPr>
      </w:pPr>
      <w:r>
        <w:rPr>
          <w:rFonts w:hint="eastAsia" w:ascii="仿宋" w:hAnsi="仿宋" w:eastAsia="仿宋" w:cs="仿宋"/>
          <w:snapToGrid/>
          <w:kern w:val="0"/>
          <w:sz w:val="30"/>
          <w:szCs w:val="30"/>
          <w:lang w:val="en-US" w:eastAsia="zh-CN" w:bidi="ar"/>
        </w:rPr>
        <w:t xml:space="preserve">2017年度政府性基金预算财政拨款支出0万元，与预算相比，增加0万元，增长0%。增减变化的主要原因是：年初无预算安排。政府性基金预算财政拨款支出0万元，与预算相比，增加0万元，增长0%。增减变化的主要原因是：年初无预算安排。 </w:t>
      </w:r>
    </w:p>
    <w:p>
      <w:pPr>
        <w:keepNext w:val="0"/>
        <w:keepLines w:val="0"/>
        <w:widowControl/>
        <w:suppressLineNumbers w:val="0"/>
        <w:adjustRightInd w:val="0"/>
        <w:snapToGrid w:val="0"/>
        <w:spacing w:before="0" w:beforeAutospacing="0" w:after="0" w:afterAutospacing="0" w:line="520" w:lineRule="exact"/>
        <w:ind w:left="0" w:right="0" w:firstLine="600" w:firstLineChars="200"/>
        <w:jc w:val="left"/>
        <w:rPr>
          <w:rFonts w:hint="eastAsia" w:ascii="仿宋" w:hAnsi="仿宋" w:eastAsia="仿宋" w:cs="仿宋"/>
          <w:sz w:val="30"/>
          <w:szCs w:val="30"/>
          <w:lang w:val="en-US"/>
        </w:rPr>
      </w:pPr>
      <w:r>
        <w:rPr>
          <w:rFonts w:hint="eastAsia" w:ascii="仿宋" w:hAnsi="仿宋" w:eastAsia="仿宋" w:cs="仿宋"/>
          <w:snapToGrid/>
          <w:kern w:val="0"/>
          <w:sz w:val="30"/>
          <w:szCs w:val="30"/>
          <w:lang w:val="en-US" w:eastAsia="zh-CN" w:bidi="ar"/>
        </w:rPr>
        <w:t xml:space="preserve">其他有关说明内容。 </w:t>
      </w:r>
    </w:p>
    <w:p>
      <w:pPr>
        <w:keepNext w:val="0"/>
        <w:keepLines w:val="0"/>
        <w:widowControl/>
        <w:suppressLineNumbers w:val="0"/>
        <w:adjustRightInd w:val="0"/>
        <w:snapToGrid w:val="0"/>
        <w:spacing w:before="0" w:beforeAutospacing="0" w:after="0" w:afterAutospacing="0" w:line="520" w:lineRule="exact"/>
        <w:ind w:left="0" w:right="0" w:firstLine="600" w:firstLineChars="200"/>
        <w:jc w:val="left"/>
        <w:rPr>
          <w:rFonts w:hint="eastAsia" w:ascii="仿宋" w:hAnsi="仿宋" w:eastAsia="仿宋" w:cs="仿宋"/>
          <w:sz w:val="30"/>
          <w:szCs w:val="30"/>
          <w:lang w:val="en-US"/>
        </w:rPr>
      </w:pPr>
      <w:r>
        <w:rPr>
          <w:rFonts w:hint="eastAsia" w:ascii="仿宋" w:hAnsi="仿宋" w:eastAsia="仿宋" w:cs="仿宋"/>
          <w:snapToGrid/>
          <w:kern w:val="0"/>
          <w:sz w:val="30"/>
          <w:szCs w:val="30"/>
          <w:lang w:val="en-US" w:eastAsia="zh-CN" w:bidi="ar"/>
        </w:rPr>
        <w:t>无</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三、部门结转结余情况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年末结转结余0万元。与上年相比，增加0万元，增长0%。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其中财政拨款结转结余0万元。与上年相比，增加0元，增长0%。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其他有关说明内容。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无</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四、一般公共预算“三公”经费支出情况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2017年度一般公共预算“三公”经费支出决算0万元，比上年增加0万元，增长0%，增加原因是年初无预算安排。其中，因公出国（境）费支出0万元，占0%，比上年增加0万元，增长0%，增加原因是年初无预算安排；公务用车购置及运行维护费支出0万元，占0%，比上年增加0万元，增长0%，增加原因是年初无预算安排；公务接待费支出0万元，占0%，比上年增加0万元，增长0%，增加原因是年初无预算安排。具体情况如下：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因公出国（境）费支出0万元。单位全年使用一般公共预算财政拨款安排的出国（境）团组0个，累计0人次。开支内容包括：年初无预算安排。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公务用车购置及运行维护费0万元,其中，公务用车购置0万元，公务用车运行维护费0万元。主要用于年初无预算安排等。2017年，单位一般公共财政拨款安排的公务用车购置量0辆，保有量为0辆。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公务接待费0万元。具体是：国内公务接待支出0万元，主要是年初无预算安排等。单位国内公务接待0批次，0人次。 </w:t>
      </w:r>
    </w:p>
    <w:p>
      <w:pPr>
        <w:spacing w:after="0" w:line="520" w:lineRule="exact"/>
        <w:ind w:firstLine="600" w:firstLineChars="200"/>
        <w:rPr>
          <w:rFonts w:hint="eastAsia" w:ascii="仿宋" w:hAnsi="仿宋" w:eastAsia="仿宋" w:cs="仿宋"/>
          <w:sz w:val="30"/>
          <w:szCs w:val="30"/>
        </w:rPr>
      </w:pPr>
      <w:r>
        <w:rPr>
          <w:rFonts w:hint="eastAsia" w:ascii="仿宋" w:hAnsi="仿宋" w:eastAsia="仿宋" w:cs="仿宋"/>
          <w:sz w:val="30"/>
          <w:szCs w:val="30"/>
        </w:rPr>
        <w:t xml:space="preserve">与预算相比情况。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2017年度年初一般公共预算“三公”经费支出决算0万元，决算比预算增加0万元，增长0%，增加原因是年初无预算安排。其中，因公出国（境）费支出0万元，占0%，决算比预算增加0万元，增长0%，增加原因是年初无预算安排；公务用车购置及运行维护费支出0万元，占0%，决算比预算增加0万元，增长0%，增加原因是年初无预算安排；公务接待费支出0万元，占0%，决算比预算增加0万元，增长0%，增加原因是年初无预算安排。</w:t>
      </w:r>
    </w:p>
    <w:p>
      <w:pPr>
        <w:tabs>
          <w:tab w:val="left" w:pos="558"/>
        </w:tabs>
        <w:rPr>
          <w:rFonts w:ascii="仿宋" w:hAnsi="仿宋" w:eastAsia="仿宋" w:cs="仿宋"/>
          <w:sz w:val="30"/>
          <w:szCs w:val="30"/>
        </w:rPr>
      </w:pPr>
      <w:r>
        <w:rPr>
          <w:rFonts w:ascii="仿宋" w:hAnsi="仿宋" w:eastAsia="仿宋" w:cs="仿宋"/>
          <w:sz w:val="30"/>
          <w:szCs w:val="30"/>
        </w:rPr>
        <w:tab/>
      </w:r>
      <w:r>
        <w:rPr>
          <w:rFonts w:hint="eastAsia" w:ascii="仿宋" w:hAnsi="仿宋" w:eastAsia="仿宋" w:cs="仿宋"/>
          <w:sz w:val="30"/>
          <w:szCs w:val="30"/>
        </w:rPr>
        <w:t xml:space="preserve">其他有关说明内容。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无</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五、机关运行经费支出情况 </w:t>
      </w:r>
    </w:p>
    <w:p>
      <w:pPr>
        <w:keepNext w:val="0"/>
        <w:keepLines w:val="0"/>
        <w:widowControl/>
        <w:suppressLineNumbers w:val="0"/>
        <w:adjustRightInd w:val="0"/>
        <w:snapToGrid w:val="0"/>
        <w:spacing w:before="0" w:beforeAutospacing="0" w:after="0" w:afterAutospacing="0" w:line="520" w:lineRule="exact"/>
        <w:ind w:left="0" w:right="0" w:firstLine="600" w:firstLineChars="200"/>
        <w:jc w:val="left"/>
        <w:rPr>
          <w:rFonts w:hint="eastAsia" w:ascii="仿宋" w:hAnsi="仿宋" w:eastAsia="仿宋" w:cs="仿宋"/>
          <w:sz w:val="30"/>
          <w:szCs w:val="30"/>
          <w:lang w:val="en-US"/>
        </w:rPr>
      </w:pPr>
      <w:r>
        <w:rPr>
          <w:rFonts w:hint="eastAsia" w:ascii="仿宋" w:hAnsi="仿宋" w:eastAsia="仿宋" w:cs="仿宋"/>
          <w:snapToGrid/>
          <w:kern w:val="0"/>
          <w:sz w:val="30"/>
          <w:szCs w:val="30"/>
          <w:lang w:val="en-US" w:eastAsia="zh-CN" w:bidi="ar"/>
        </w:rPr>
        <w:t xml:space="preserve">2017年度单位机关运行经费支出0万元，比上年增加0万元，增长0%，主要原因是本单位为事业单位，有事业运行经费，无机关运行经费。 </w:t>
      </w:r>
    </w:p>
    <w:p>
      <w:pPr>
        <w:keepNext w:val="0"/>
        <w:keepLines w:val="0"/>
        <w:widowControl/>
        <w:suppressLineNumbers w:val="0"/>
        <w:adjustRightInd w:val="0"/>
        <w:snapToGrid w:val="0"/>
        <w:spacing w:before="0" w:beforeAutospacing="0" w:after="0" w:afterAutospacing="0" w:line="520" w:lineRule="exact"/>
        <w:ind w:left="0" w:right="0" w:firstLine="600" w:firstLineChars="200"/>
        <w:jc w:val="left"/>
        <w:rPr>
          <w:rFonts w:hint="eastAsia" w:ascii="仿宋" w:hAnsi="仿宋" w:eastAsia="仿宋" w:cs="仿宋"/>
          <w:sz w:val="30"/>
          <w:szCs w:val="30"/>
          <w:lang w:val="en-US"/>
        </w:rPr>
      </w:pPr>
      <w:r>
        <w:rPr>
          <w:rFonts w:hint="eastAsia" w:ascii="仿宋" w:hAnsi="仿宋" w:eastAsia="仿宋" w:cs="仿宋"/>
          <w:snapToGrid/>
          <w:kern w:val="0"/>
          <w:sz w:val="30"/>
          <w:szCs w:val="30"/>
          <w:lang w:val="en-US" w:eastAsia="zh-CN" w:bidi="ar"/>
        </w:rPr>
        <w:t>其他有关说明内容。</w:t>
      </w:r>
    </w:p>
    <w:p>
      <w:pPr>
        <w:spacing w:after="0" w:line="520" w:lineRule="exact"/>
        <w:ind w:firstLine="600" w:firstLineChars="200"/>
        <w:rPr>
          <w:rFonts w:hint="eastAsia" w:ascii="仿宋" w:hAnsi="仿宋" w:eastAsia="仿宋" w:cs="仿宋"/>
          <w:sz w:val="30"/>
          <w:szCs w:val="30"/>
        </w:rPr>
      </w:pPr>
      <w:r>
        <w:rPr>
          <w:rFonts w:hint="eastAsia" w:ascii="仿宋" w:hAnsi="仿宋" w:eastAsia="仿宋" w:cs="仿宋"/>
          <w:sz w:val="30"/>
          <w:szCs w:val="30"/>
        </w:rPr>
        <w:t>2017年度单位</w:t>
      </w:r>
      <w:r>
        <w:rPr>
          <w:rFonts w:hint="eastAsia" w:ascii="仿宋" w:hAnsi="仿宋" w:eastAsia="仿宋" w:cs="仿宋"/>
          <w:sz w:val="30"/>
          <w:szCs w:val="30"/>
          <w:lang w:val="en-US" w:eastAsia="zh-CN"/>
        </w:rPr>
        <w:t>公用经费</w:t>
      </w:r>
      <w:r>
        <w:rPr>
          <w:rFonts w:hint="eastAsia" w:ascii="仿宋" w:hAnsi="仿宋" w:eastAsia="仿宋" w:cs="仿宋"/>
          <w:sz w:val="30"/>
          <w:szCs w:val="30"/>
        </w:rPr>
        <w:t>支出</w:t>
      </w:r>
      <w:r>
        <w:rPr>
          <w:rFonts w:hint="eastAsia" w:ascii="仿宋" w:hAnsi="仿宋" w:eastAsia="仿宋" w:cs="仿宋"/>
          <w:sz w:val="30"/>
          <w:szCs w:val="30"/>
          <w:lang w:val="en-US" w:eastAsia="zh-CN"/>
        </w:rPr>
        <w:t>25.8</w:t>
      </w:r>
      <w:r>
        <w:rPr>
          <w:rFonts w:hint="eastAsia" w:ascii="仿宋" w:hAnsi="仿宋" w:eastAsia="仿宋" w:cs="仿宋"/>
          <w:sz w:val="30"/>
          <w:szCs w:val="30"/>
        </w:rPr>
        <w:t>万元，比上年</w:t>
      </w:r>
      <w:r>
        <w:rPr>
          <w:rFonts w:hint="eastAsia" w:ascii="仿宋" w:hAnsi="仿宋" w:eastAsia="仿宋" w:cs="仿宋"/>
          <w:sz w:val="30"/>
          <w:szCs w:val="30"/>
          <w:lang w:val="en-US" w:eastAsia="zh-CN"/>
        </w:rPr>
        <w:t>8.08万元</w:t>
      </w:r>
      <w:r>
        <w:rPr>
          <w:rFonts w:hint="eastAsia" w:ascii="仿宋" w:hAnsi="仿宋" w:eastAsia="仿宋" w:cs="仿宋"/>
          <w:sz w:val="30"/>
          <w:szCs w:val="30"/>
        </w:rPr>
        <w:t>增加</w:t>
      </w:r>
      <w:r>
        <w:rPr>
          <w:rFonts w:hint="eastAsia" w:ascii="仿宋" w:hAnsi="仿宋" w:eastAsia="仿宋" w:cs="仿宋"/>
          <w:sz w:val="30"/>
          <w:szCs w:val="30"/>
          <w:lang w:val="en-US" w:eastAsia="zh-CN"/>
        </w:rPr>
        <w:t>17.72</w:t>
      </w:r>
      <w:r>
        <w:rPr>
          <w:rFonts w:hint="eastAsia" w:ascii="仿宋" w:hAnsi="仿宋" w:eastAsia="仿宋" w:cs="仿宋"/>
          <w:sz w:val="30"/>
          <w:szCs w:val="30"/>
        </w:rPr>
        <w:t>万元，增长</w:t>
      </w:r>
      <w:r>
        <w:rPr>
          <w:rFonts w:hint="eastAsia" w:ascii="仿宋" w:hAnsi="仿宋" w:eastAsia="仿宋" w:cs="仿宋"/>
          <w:sz w:val="30"/>
          <w:szCs w:val="30"/>
          <w:lang w:val="en-US" w:eastAsia="zh-CN"/>
        </w:rPr>
        <w:t>219.31</w:t>
      </w:r>
      <w:r>
        <w:rPr>
          <w:rFonts w:hint="eastAsia" w:ascii="仿宋" w:hAnsi="仿宋" w:eastAsia="仿宋" w:cs="仿宋"/>
          <w:sz w:val="30"/>
          <w:szCs w:val="30"/>
        </w:rPr>
        <w:t>%，主要原因是本单位</w:t>
      </w:r>
      <w:r>
        <w:rPr>
          <w:rFonts w:hint="eastAsia" w:ascii="仿宋" w:hAnsi="仿宋" w:eastAsia="仿宋" w:cs="仿宋"/>
          <w:sz w:val="30"/>
          <w:szCs w:val="30"/>
          <w:lang w:val="en-US" w:eastAsia="zh-CN"/>
        </w:rPr>
        <w:t>增加人员及工资调资。</w:t>
      </w:r>
      <w:r>
        <w:rPr>
          <w:rFonts w:hint="eastAsia"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六、政府采购情况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单位政府采购计划0万元，其中：政府采购货物支出0万元、政府采购工程支出0万元、政府采购服务支出0万元；实际采购0万元，其中：政府采购货物支出0万元、政府采购工程支出0万元、政府采购服务支出0万元。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其他有关说明内容。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无</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七、其他重要事项的情况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（一）国有资产占用情况说明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截至2017年12月31日，资产总计108.26万元，其中：流动资产29.76万元，固定资产78.5万元，其中：房屋902（平方米），价值30.52万元</w:t>
      </w:r>
      <w:r>
        <w:rPr>
          <w:rFonts w:hint="eastAsia" w:ascii="仿宋" w:hAnsi="仿宋" w:eastAsia="仿宋" w:cs="仿宋"/>
          <w:sz w:val="30"/>
          <w:szCs w:val="30"/>
          <w:lang w:eastAsia="zh-CN"/>
        </w:rPr>
        <w:t>，</w:t>
      </w:r>
      <w:r>
        <w:rPr>
          <w:rFonts w:hint="eastAsia" w:ascii="仿宋" w:hAnsi="仿宋" w:eastAsia="仿宋" w:cs="仿宋"/>
          <w:sz w:val="30"/>
          <w:szCs w:val="30"/>
        </w:rPr>
        <w:t xml:space="preserve">共有车辆0辆，价值0万元，其中：部级领导干部用车0辆、一般公务用车0辆、一般执法执勤用车0辆、特种专业技术用车0辆、其他用车0辆；单位价值50万元以上通用设备0台（套）、单位价值100万元以上专用设备0台（套），其他固定资产价值47.98万元。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其他有关说明内容。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无</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（二）国有资产收益征缴情况说明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截至2017年12月31日，文化馆资产有偿使用收入合计0万元，资产处置收入合计0万元。其中：已缴国库0万元， 已缴财政专户0万元，应缴未缴0万元，单位留用0万元。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其他有关说明内容。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无</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（三）部门项目支出情况和项目绩效评价情况说明 </w:t>
      </w:r>
    </w:p>
    <w:p>
      <w:pPr>
        <w:spacing w:after="0" w:line="520" w:lineRule="exact"/>
        <w:ind w:firstLine="600" w:firstLineChars="200"/>
        <w:rPr>
          <w:rFonts w:hint="eastAsia" w:ascii="仿宋" w:hAnsi="仿宋" w:eastAsia="仿宋" w:cs="仿宋"/>
          <w:sz w:val="30"/>
          <w:szCs w:val="30"/>
          <w:lang w:eastAsia="zh-CN"/>
        </w:rPr>
      </w:pPr>
      <w:r>
        <w:rPr>
          <w:rFonts w:hint="eastAsia" w:ascii="仿宋" w:hAnsi="仿宋" w:eastAsia="仿宋" w:cs="仿宋"/>
          <w:sz w:val="30"/>
          <w:szCs w:val="30"/>
        </w:rPr>
        <w:t>2017年度，本部门单位实行绩效管理的项目0个，涉及预算0万元，项目支出决算0万元。年末本部门单位民生项目和重点支出项目的绩效评价开展情况及结果：</w:t>
      </w:r>
      <w:r>
        <w:rPr>
          <w:rFonts w:hint="eastAsia" w:ascii="仿宋" w:hAnsi="仿宋" w:eastAsia="仿宋" w:cs="仿宋"/>
          <w:sz w:val="30"/>
          <w:szCs w:val="30"/>
          <w:lang w:eastAsia="zh-CN"/>
        </w:rPr>
        <w:t>无项目</w:t>
      </w:r>
    </w:p>
    <w:p>
      <w:pPr>
        <w:spacing w:line="220" w:lineRule="atLeast"/>
        <w:ind w:firstLine="600" w:firstLineChars="200"/>
        <w:rPr>
          <w:rFonts w:ascii="仿宋" w:hAnsi="仿宋" w:eastAsia="仿宋" w:cs="仿宋"/>
          <w:sz w:val="30"/>
          <w:szCs w:val="30"/>
        </w:rPr>
      </w:pPr>
    </w:p>
    <w:p>
      <w:pPr>
        <w:spacing w:line="220" w:lineRule="atLeast"/>
        <w:ind w:firstLine="600" w:firstLineChars="200"/>
        <w:rPr>
          <w:rFonts w:ascii="仿宋" w:hAnsi="仿宋" w:eastAsia="仿宋" w:cs="仿宋"/>
          <w:sz w:val="30"/>
          <w:szCs w:val="30"/>
        </w:rPr>
      </w:pPr>
    </w:p>
    <w:p>
      <w:pPr>
        <w:spacing w:line="220" w:lineRule="atLeast"/>
        <w:ind w:firstLine="600" w:firstLineChars="200"/>
        <w:rPr>
          <w:rFonts w:ascii="仿宋" w:hAnsi="仿宋" w:eastAsia="仿宋" w:cs="仿宋"/>
          <w:sz w:val="30"/>
          <w:szCs w:val="30"/>
        </w:rPr>
      </w:pPr>
    </w:p>
    <w:p>
      <w:pPr>
        <w:spacing w:line="220" w:lineRule="atLeast"/>
        <w:ind w:firstLine="600" w:firstLineChars="200"/>
        <w:rPr>
          <w:rFonts w:ascii="仿宋" w:hAnsi="仿宋" w:eastAsia="仿宋" w:cs="仿宋"/>
          <w:sz w:val="30"/>
          <w:szCs w:val="30"/>
        </w:rPr>
      </w:pPr>
    </w:p>
    <w:p>
      <w:pPr>
        <w:spacing w:line="220" w:lineRule="atLeast"/>
        <w:ind w:firstLine="600" w:firstLineChars="200"/>
        <w:rPr>
          <w:rFonts w:ascii="仿宋" w:hAnsi="仿宋" w:eastAsia="仿宋" w:cs="仿宋"/>
          <w:sz w:val="30"/>
          <w:szCs w:val="30"/>
        </w:rPr>
      </w:pPr>
    </w:p>
    <w:p>
      <w:pPr>
        <w:spacing w:line="220" w:lineRule="atLeast"/>
        <w:ind w:firstLine="600" w:firstLineChars="200"/>
        <w:rPr>
          <w:rFonts w:ascii="仿宋" w:hAnsi="仿宋" w:eastAsia="仿宋" w:cs="仿宋"/>
          <w:sz w:val="30"/>
          <w:szCs w:val="30"/>
        </w:rPr>
      </w:pPr>
    </w:p>
    <w:p>
      <w:pPr>
        <w:spacing w:line="220" w:lineRule="atLeast"/>
        <w:ind w:firstLine="600" w:firstLineChars="200"/>
        <w:rPr>
          <w:rFonts w:ascii="仿宋" w:hAnsi="仿宋" w:eastAsia="仿宋" w:cs="仿宋"/>
          <w:sz w:val="30"/>
          <w:szCs w:val="30"/>
        </w:rPr>
      </w:pPr>
    </w:p>
    <w:p>
      <w:pPr>
        <w:spacing w:line="220" w:lineRule="atLeast"/>
        <w:ind w:firstLine="600" w:firstLineChars="200"/>
        <w:rPr>
          <w:rFonts w:ascii="仿宋" w:hAnsi="仿宋" w:eastAsia="仿宋" w:cs="仿宋"/>
          <w:sz w:val="30"/>
          <w:szCs w:val="30"/>
        </w:rPr>
      </w:pPr>
    </w:p>
    <w:p>
      <w:pPr>
        <w:spacing w:line="220" w:lineRule="atLeast"/>
        <w:ind w:firstLine="600" w:firstLineChars="200"/>
        <w:rPr>
          <w:rFonts w:ascii="仿宋" w:hAnsi="仿宋" w:eastAsia="仿宋" w:cs="仿宋"/>
          <w:sz w:val="30"/>
          <w:szCs w:val="30"/>
        </w:rPr>
      </w:pPr>
    </w:p>
    <w:p>
      <w:pPr>
        <w:spacing w:line="220" w:lineRule="atLeast"/>
        <w:ind w:firstLine="600" w:firstLineChars="200"/>
        <w:rPr>
          <w:rFonts w:ascii="仿宋" w:hAnsi="仿宋" w:eastAsia="仿宋" w:cs="仿宋"/>
          <w:sz w:val="30"/>
          <w:szCs w:val="30"/>
        </w:rPr>
      </w:pPr>
    </w:p>
    <w:p>
      <w:pPr>
        <w:spacing w:line="220" w:lineRule="atLeast"/>
        <w:ind w:firstLine="600" w:firstLineChars="200"/>
        <w:rPr>
          <w:rFonts w:ascii="仿宋" w:hAnsi="仿宋" w:eastAsia="仿宋" w:cs="仿宋"/>
          <w:sz w:val="30"/>
          <w:szCs w:val="30"/>
        </w:rPr>
      </w:pPr>
    </w:p>
    <w:p>
      <w:pPr>
        <w:spacing w:line="220" w:lineRule="atLeast"/>
        <w:ind w:firstLine="600" w:firstLineChars="200"/>
        <w:rPr>
          <w:rFonts w:ascii="仿宋" w:hAnsi="仿宋" w:eastAsia="仿宋" w:cs="仿宋"/>
          <w:sz w:val="30"/>
          <w:szCs w:val="30"/>
        </w:rPr>
      </w:pPr>
    </w:p>
    <w:p>
      <w:pPr>
        <w:spacing w:line="220" w:lineRule="atLeast"/>
        <w:ind w:firstLine="600" w:firstLineChars="200"/>
        <w:rPr>
          <w:rFonts w:ascii="仿宋" w:hAnsi="仿宋" w:eastAsia="仿宋" w:cs="仿宋"/>
          <w:sz w:val="30"/>
          <w:szCs w:val="30"/>
        </w:rPr>
      </w:pPr>
    </w:p>
    <w:p>
      <w:pPr>
        <w:spacing w:line="220" w:lineRule="atLeast"/>
        <w:ind w:firstLine="600" w:firstLineChars="200"/>
        <w:rPr>
          <w:rFonts w:ascii="仿宋" w:hAnsi="仿宋" w:eastAsia="仿宋" w:cs="仿宋"/>
          <w:sz w:val="30"/>
          <w:szCs w:val="30"/>
        </w:rPr>
      </w:pPr>
    </w:p>
    <w:p>
      <w:pPr>
        <w:spacing w:line="220" w:lineRule="atLeast"/>
        <w:ind w:firstLine="600" w:firstLineChars="200"/>
        <w:rPr>
          <w:rFonts w:ascii="仿宋" w:hAnsi="仿宋" w:eastAsia="仿宋" w:cs="仿宋"/>
          <w:sz w:val="30"/>
          <w:szCs w:val="30"/>
        </w:rPr>
      </w:pPr>
    </w:p>
    <w:p>
      <w:pPr>
        <w:spacing w:line="220" w:lineRule="atLeast"/>
        <w:ind w:firstLine="600" w:firstLineChars="200"/>
        <w:rPr>
          <w:rFonts w:ascii="仿宋" w:hAnsi="仿宋" w:eastAsia="仿宋" w:cs="仿宋"/>
          <w:sz w:val="30"/>
          <w:szCs w:val="30"/>
        </w:rPr>
      </w:pPr>
    </w:p>
    <w:p>
      <w:pPr>
        <w:spacing w:line="220" w:lineRule="atLeast"/>
        <w:ind w:firstLine="600" w:firstLineChars="200"/>
        <w:rPr>
          <w:rFonts w:ascii="仿宋" w:hAnsi="仿宋" w:eastAsia="仿宋" w:cs="仿宋"/>
          <w:sz w:val="30"/>
          <w:szCs w:val="30"/>
        </w:rPr>
      </w:pPr>
    </w:p>
    <w:p>
      <w:pPr>
        <w:spacing w:line="220" w:lineRule="atLeast"/>
        <w:rPr>
          <w:rFonts w:ascii="仿宋" w:hAnsi="仿宋" w:eastAsia="仿宋" w:cs="仿宋"/>
          <w:sz w:val="30"/>
          <w:szCs w:val="30"/>
        </w:rPr>
      </w:pPr>
    </w:p>
    <w:p>
      <w:pPr>
        <w:spacing w:line="220" w:lineRule="atLeast"/>
        <w:ind w:firstLine="602" w:firstLineChars="200"/>
        <w:jc w:val="center"/>
        <w:rPr>
          <w:rFonts w:ascii="仿宋" w:hAnsi="仿宋" w:eastAsia="仿宋" w:cs="仿宋"/>
          <w:b/>
          <w:bCs/>
          <w:sz w:val="30"/>
          <w:szCs w:val="30"/>
        </w:rPr>
      </w:pPr>
      <w:bookmarkStart w:id="0" w:name="_GoBack"/>
      <w:bookmarkEnd w:id="0"/>
      <w:r>
        <w:rPr>
          <w:rFonts w:hint="eastAsia" w:ascii="仿宋" w:hAnsi="仿宋" w:eastAsia="仿宋" w:cs="仿宋"/>
          <w:b/>
          <w:bCs/>
          <w:sz w:val="30"/>
          <w:szCs w:val="30"/>
        </w:rPr>
        <w:t>第三部分 专业名词解释</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财政拨款收入：指同级财政当年拨付的资金。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上级补助收入：指事业单位从主管部门和上级单位取得的非财政补助收入。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事业收入：指事业单位开展专业业务活动及其辅助活动所取得的收入。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经营收入：指事业单位在专业业务活动及其辅助活动之外开展非独立核算经营活动取得的收入。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附属单位缴款：指事业单位附属的独立核算单位按有关规定上缴的收入。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其他收入：指除上述“财政拨款收入”、“事业收入”、“经营收入”、“附属单位缴款”等之外取得的收入。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用事业基金弥补收支差额：指事业单位在当年的“财政拨款 收入”、“财政拨款结转和结余资金”、“事业收入”、“事业单位经营收入”、“其他收入”不足以安排当年支出的情况下，使用以前年度积累的事业基金（即事业单位当年收支相抵后按国家规定提取、用于弥补以后年度收支差额的基金）弥补本年度收支缺口的资金。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上年结转和结余：指以前年度支出预算因客观条件变化未执行完毕、结转到本年度按有关规定继续使用的资金，既包括财政拨款结转和结余，也包括事业收入、经营收入、其他收入的结转和结余。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结余分配：反映单位当年结余的分配情况。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年末结转和结余：指本年度或以前年度预算安排、因客观条件发生变化无法按原计划实施，需要延迟到以后年度按有关规定继续使用的资金，既包括财政拨款结转和结余，也包括事业收入、经营收入、其他收入的结转和结余。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基本支出：指为保障机构正常运转、完成日常工作任务而发生的人员支出和公用支出。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项目支出：指在基本支出之外为完成特定行政任务和事业发展目标所发生的支出。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经营支出：指事业单位在专业业务活动及其辅助活动之外开展非独立核算经营活动发生的支出。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对附属单位补助支出：指事业单位发生的用非财政预算资金对附属单位的补助支出。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“三公”经费：指用一般公共预算财政拨款安排的因公出国（境）费、公务用车购置及运行费和公务接待费。其中，因公出国（境）费反映单位公务出国（境）的住宿费、旅费、伙食补助 费、杂费、培训费等支出；公务用车购置及运行费反映单位公务用车购置费及租用费、燃料费、维修费、过路过桥费、保险费、安全奖励费用等支出；公务接待费反映单位按规定开支的各类公务接待（含外宾接待）支出。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本单位支出功能分类说明。2070107：指艺术表演团体。2070109：指群众文化。 2080505：指机关事业单位基本养老保险缴费支出。</w:t>
      </w:r>
    </w:p>
    <w:p>
      <w:pPr>
        <w:spacing w:line="220" w:lineRule="atLeast"/>
        <w:ind w:firstLine="600" w:firstLineChars="200"/>
        <w:rPr>
          <w:rFonts w:ascii="仿宋" w:hAnsi="仿宋" w:eastAsia="仿宋" w:cs="仿宋"/>
          <w:sz w:val="30"/>
          <w:szCs w:val="30"/>
        </w:rPr>
      </w:pPr>
    </w:p>
    <w:p>
      <w:pPr>
        <w:spacing w:line="220" w:lineRule="atLeast"/>
        <w:ind w:firstLine="602" w:firstLineChars="200"/>
        <w:jc w:val="center"/>
        <w:rPr>
          <w:rFonts w:ascii="仿宋" w:hAnsi="仿宋" w:eastAsia="仿宋" w:cs="仿宋"/>
          <w:b/>
          <w:bCs/>
          <w:sz w:val="30"/>
          <w:szCs w:val="30"/>
        </w:rPr>
      </w:pPr>
      <w:r>
        <w:rPr>
          <w:rFonts w:hint="eastAsia" w:ascii="仿宋" w:hAnsi="仿宋" w:eastAsia="仿宋" w:cs="仿宋"/>
          <w:b/>
          <w:bCs/>
          <w:sz w:val="30"/>
          <w:szCs w:val="30"/>
        </w:rPr>
        <w:t>第四部分 部门决算报表（见附表）</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一、报表封面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二、《收入支出决算总表》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三、《收入决算表》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四、《支出决算表》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五、《收入支出决算表》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六、《项目收入支出决算表》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七、《行政事业类项目收入支出决算表》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八、《基本建设类项目收入支出决算表》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九、《支出决算明细表》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十、《基本支出决算明细表》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十一、《项目支出决算明细表》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十二、《财政专户管理资金收入支出决算表》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十三、《财政拨款收入支出决算总表》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十四、《一般公共预算财政拨款收入支出决算表》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十五、《一般公共预算财政拨款支出决算明细表》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十六、《一般公共预算财政拨款基本支出决算明细表》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十七、《一般公共预算财政拨款项目支出决算明细表》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十八、《政府性基金预算财政拨款收入支出决算表》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十九、《政府性基金预算财政拨款支出决算明细表》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二十、《政府性基金预算财政拨款基本支出决算明细表》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二十一、《政府性基金预算财政拨款项目支出决算明细表》。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二十二、《资产负债简表》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二十三、《资产情况表》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二十四、《国有资产收益征缴情况表》、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二十五、《基本数字表》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二十六、《机构人员情况表》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二十七、《非税收入征缴情况表》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二十八、《部门决算相关信息统计表》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二十九、《政府采购情况表》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三十、《2017年度一般公共预算“三公”经费支出情况表》 </w:t>
      </w:r>
    </w:p>
    <w:p>
      <w:pPr>
        <w:spacing w:line="220" w:lineRule="atLeast"/>
        <w:ind w:firstLine="600" w:firstLineChars="200"/>
        <w:rPr>
          <w:rFonts w:ascii="仿宋" w:hAnsi="仿宋" w:eastAsia="仿宋" w:cs="仿宋"/>
          <w:sz w:val="30"/>
          <w:szCs w:val="30"/>
        </w:rPr>
      </w:pPr>
    </w:p>
    <w:p>
      <w:pPr>
        <w:spacing w:line="220" w:lineRule="atLeast"/>
        <w:ind w:firstLine="600" w:firstLineChars="200"/>
        <w:rPr>
          <w:rFonts w:ascii="仿宋" w:hAnsi="仿宋" w:eastAsia="仿宋" w:cs="仿宋"/>
          <w:sz w:val="30"/>
          <w:szCs w:val="30"/>
        </w:rPr>
      </w:pPr>
    </w:p>
    <w:p>
      <w:pPr/>
    </w:p>
    <w:sectPr>
      <w:pgSz w:w="11906" w:h="16838"/>
      <w:pgMar w:top="1440" w:right="1800" w:bottom="1440" w:left="1800" w:header="708" w:footer="708" w:gutter="0"/>
      <w:cols w:space="708" w:num="1"/>
      <w:docGrid w:type="lines"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swiss"/>
    <w:pitch w:val="default"/>
    <w:sig w:usb0="80000287" w:usb1="280F3C52" w:usb2="00000016" w:usb3="00000000" w:csb0="0004001F" w:csb1="00000000"/>
  </w:font>
  <w:font w:name="仿宋">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67921698">
    <w:nsid w:val="040C6722"/>
    <w:multiLevelType w:val="multilevel"/>
    <w:tmpl w:val="040C6722"/>
    <w:lvl w:ilvl="0" w:tentative="1">
      <w:start w:val="1"/>
      <w:numFmt w:val="japaneseCounting"/>
      <w:lvlText w:val="%1、"/>
      <w:lvlJc w:val="left"/>
      <w:pPr>
        <w:ind w:left="1320" w:hanging="720"/>
      </w:pPr>
      <w:rPr>
        <w:rFonts w:hint="default"/>
      </w:rPr>
    </w:lvl>
    <w:lvl w:ilvl="1" w:tentative="1">
      <w:start w:val="1"/>
      <w:numFmt w:val="lowerLetter"/>
      <w:lvlText w:val="%2)"/>
      <w:lvlJc w:val="left"/>
      <w:pPr>
        <w:ind w:left="1440" w:hanging="420"/>
      </w:pPr>
    </w:lvl>
    <w:lvl w:ilvl="2" w:tentative="1">
      <w:start w:val="1"/>
      <w:numFmt w:val="lowerRoman"/>
      <w:lvlText w:val="%3."/>
      <w:lvlJc w:val="right"/>
      <w:pPr>
        <w:ind w:left="1860" w:hanging="420"/>
      </w:pPr>
    </w:lvl>
    <w:lvl w:ilvl="3" w:tentative="1">
      <w:start w:val="1"/>
      <w:numFmt w:val="decimal"/>
      <w:lvlText w:val="%4."/>
      <w:lvlJc w:val="left"/>
      <w:pPr>
        <w:ind w:left="2280" w:hanging="420"/>
      </w:pPr>
    </w:lvl>
    <w:lvl w:ilvl="4" w:tentative="1">
      <w:start w:val="1"/>
      <w:numFmt w:val="lowerLetter"/>
      <w:lvlText w:val="%5)"/>
      <w:lvlJc w:val="left"/>
      <w:pPr>
        <w:ind w:left="2700" w:hanging="420"/>
      </w:pPr>
    </w:lvl>
    <w:lvl w:ilvl="5" w:tentative="1">
      <w:start w:val="1"/>
      <w:numFmt w:val="lowerRoman"/>
      <w:lvlText w:val="%6."/>
      <w:lvlJc w:val="right"/>
      <w:pPr>
        <w:ind w:left="3120" w:hanging="420"/>
      </w:pPr>
    </w:lvl>
    <w:lvl w:ilvl="6" w:tentative="1">
      <w:start w:val="1"/>
      <w:numFmt w:val="decimal"/>
      <w:lvlText w:val="%7."/>
      <w:lvlJc w:val="left"/>
      <w:pPr>
        <w:ind w:left="3540" w:hanging="420"/>
      </w:pPr>
    </w:lvl>
    <w:lvl w:ilvl="7" w:tentative="1">
      <w:start w:val="1"/>
      <w:numFmt w:val="lowerLetter"/>
      <w:lvlText w:val="%8)"/>
      <w:lvlJc w:val="left"/>
      <w:pPr>
        <w:ind w:left="3960" w:hanging="420"/>
      </w:pPr>
    </w:lvl>
    <w:lvl w:ilvl="8" w:tentative="1">
      <w:start w:val="1"/>
      <w:numFmt w:val="lowerRoman"/>
      <w:lvlText w:val="%9."/>
      <w:lvlJc w:val="right"/>
      <w:pPr>
        <w:ind w:left="4380" w:hanging="420"/>
      </w:pPr>
    </w:lvl>
  </w:abstractNum>
  <w:num w:numId="1">
    <w:abstractNumId w:val="6792169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2"/>
  </w:compat>
  <w:rsids>
    <w:rsidRoot w:val="005F7240"/>
    <w:rsid w:val="000A7B10"/>
    <w:rsid w:val="00113769"/>
    <w:rsid w:val="0015634E"/>
    <w:rsid w:val="001D15AC"/>
    <w:rsid w:val="0023560C"/>
    <w:rsid w:val="00246097"/>
    <w:rsid w:val="003132EB"/>
    <w:rsid w:val="0037049D"/>
    <w:rsid w:val="00453D25"/>
    <w:rsid w:val="00472A92"/>
    <w:rsid w:val="004A689A"/>
    <w:rsid w:val="004B69B1"/>
    <w:rsid w:val="00576234"/>
    <w:rsid w:val="005C2265"/>
    <w:rsid w:val="005F7240"/>
    <w:rsid w:val="006A4367"/>
    <w:rsid w:val="006E4CF4"/>
    <w:rsid w:val="006F544E"/>
    <w:rsid w:val="007603E0"/>
    <w:rsid w:val="00892672"/>
    <w:rsid w:val="0096320F"/>
    <w:rsid w:val="009F1D60"/>
    <w:rsid w:val="00A77DFA"/>
    <w:rsid w:val="00AA2B0D"/>
    <w:rsid w:val="00BA2487"/>
    <w:rsid w:val="00C13B11"/>
    <w:rsid w:val="00C37D17"/>
    <w:rsid w:val="00CE4C59"/>
    <w:rsid w:val="00D05E3C"/>
    <w:rsid w:val="00D17AEA"/>
    <w:rsid w:val="00D96910"/>
    <w:rsid w:val="00F4704C"/>
    <w:rsid w:val="00F960B3"/>
    <w:rsid w:val="05C90BC6"/>
    <w:rsid w:val="089A02BA"/>
    <w:rsid w:val="12912F8A"/>
    <w:rsid w:val="15173B08"/>
    <w:rsid w:val="16FE2E2D"/>
    <w:rsid w:val="329F4DBD"/>
    <w:rsid w:val="43894249"/>
    <w:rsid w:val="59A740CD"/>
    <w:rsid w:val="604169F4"/>
    <w:rsid w:val="7F732D84"/>
    <w:rsid w:val="7FD1025B"/>
  </w:rsids>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djustRightInd w:val="0"/>
      <w:snapToGrid w:val="0"/>
      <w:spacing w:after="200"/>
    </w:pPr>
    <w:rPr>
      <w:rFonts w:ascii="Tahoma" w:hAnsi="Tahoma" w:eastAsia="微软雅黑" w:cstheme="minorBidi"/>
      <w:sz w:val="22"/>
      <w:szCs w:val="22"/>
      <w:lang w:val="en-US" w:eastAsia="zh-CN" w:bidi="ar-SA"/>
    </w:rPr>
  </w:style>
  <w:style w:type="character" w:default="1" w:styleId="7">
    <w:name w:val="Default Paragraph Font"/>
    <w:unhideWhenUsed/>
    <w:uiPriority w:val="1"/>
  </w:style>
  <w:style w:type="table" w:default="1" w:styleId="9">
    <w:name w:val="Normal Table"/>
    <w:unhideWhenUsed/>
    <w:qFormat/>
    <w:uiPriority w:val="99"/>
    <w:pPr>
      <w:keepNext w:val="0"/>
      <w:keepLines w:val="0"/>
      <w:widowControl/>
      <w:suppressLineNumbers w:val="0"/>
      <w:spacing w:before="0" w:beforeAutospacing="0" w:after="0" w:afterAutospacing="0"/>
      <w:ind w:left="0" w:right="0"/>
    </w:pPr>
    <w:rPr>
      <w:rFonts w:hint="default" w:ascii="Calibri" w:hAnsi="Calibri" w:cs="Times New Roman"/>
      <w:sz w:val="20"/>
      <w:szCs w:val="20"/>
    </w:rPr>
    <w:tblPr>
      <w:tblLayout w:type="fixed"/>
      <w:tblCellMar>
        <w:top w:w="0" w:type="dxa"/>
        <w:left w:w="108" w:type="dxa"/>
        <w:bottom w:w="0" w:type="dxa"/>
        <w:right w:w="108" w:type="dxa"/>
      </w:tblCellMar>
    </w:tblPr>
  </w:style>
  <w:style w:type="paragraph" w:styleId="2">
    <w:name w:val="annotation text"/>
    <w:basedOn w:val="1"/>
    <w:unhideWhenUsed/>
    <w:qFormat/>
    <w:uiPriority w:val="99"/>
  </w:style>
  <w:style w:type="paragraph" w:styleId="3">
    <w:name w:val="Balloon Text"/>
    <w:basedOn w:val="1"/>
    <w:link w:val="13"/>
    <w:unhideWhenUsed/>
    <w:qFormat/>
    <w:uiPriority w:val="99"/>
    <w:pPr>
      <w:spacing w:after="0"/>
    </w:pPr>
    <w:rPr>
      <w:sz w:val="18"/>
      <w:szCs w:val="18"/>
    </w:rPr>
  </w:style>
  <w:style w:type="paragraph" w:styleId="4">
    <w:name w:val="footer"/>
    <w:basedOn w:val="1"/>
    <w:link w:val="15"/>
    <w:unhideWhenUsed/>
    <w:qFormat/>
    <w:uiPriority w:val="99"/>
    <w:pPr>
      <w:tabs>
        <w:tab w:val="center" w:pos="4153"/>
        <w:tab w:val="right" w:pos="8306"/>
      </w:tabs>
    </w:pPr>
    <w:rPr>
      <w:sz w:val="18"/>
      <w:szCs w:val="18"/>
    </w:rPr>
  </w:style>
  <w:style w:type="paragraph" w:styleId="5">
    <w:name w:val="header"/>
    <w:basedOn w:val="1"/>
    <w:link w:val="14"/>
    <w:unhideWhenUsed/>
    <w:qFormat/>
    <w:uiPriority w:val="99"/>
    <w:pPr>
      <w:pBdr>
        <w:bottom w:val="single" w:color="auto" w:sz="6" w:space="1"/>
      </w:pBdr>
      <w:tabs>
        <w:tab w:val="center" w:pos="4153"/>
        <w:tab w:val="right" w:pos="8306"/>
      </w:tabs>
      <w:jc w:val="center"/>
    </w:pPr>
    <w:rPr>
      <w:sz w:val="18"/>
      <w:szCs w:val="18"/>
    </w:rPr>
  </w:style>
  <w:style w:type="paragraph" w:styleId="6">
    <w:name w:val="Normal (Web)"/>
    <w:basedOn w:val="1"/>
    <w:qFormat/>
    <w:uiPriority w:val="0"/>
    <w:pPr>
      <w:widowControl w:val="0"/>
      <w:adjustRightInd/>
      <w:snapToGrid/>
      <w:spacing w:after="0"/>
      <w:jc w:val="both"/>
    </w:pPr>
    <w:rPr>
      <w:rFonts w:ascii="Times New Roman" w:hAnsi="Times New Roman" w:eastAsia="宋体" w:cs="Times New Roman"/>
      <w:kern w:val="2"/>
      <w:sz w:val="24"/>
      <w:szCs w:val="24"/>
    </w:rPr>
  </w:style>
  <w:style w:type="character" w:styleId="8">
    <w:name w:val="annotation reference"/>
    <w:basedOn w:val="7"/>
    <w:unhideWhenUsed/>
    <w:qFormat/>
    <w:uiPriority w:val="99"/>
    <w:rPr>
      <w:sz w:val="21"/>
      <w:szCs w:val="21"/>
    </w:rPr>
  </w:style>
  <w:style w:type="table" w:styleId="10">
    <w:name w:val="Table Grid"/>
    <w:basedOn w:val="9"/>
    <w:qFormat/>
    <w:uiPriority w:val="59"/>
    <w:pPr>
      <w:widowControl w:val="0"/>
      <w:jc w:val="both"/>
    </w:pPr>
    <w:rPr>
      <w:rFonts w:eastAsia="微软雅黑"/>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paragraph" w:customStyle="1" w:styleId="11">
    <w:name w:val="列出段落1"/>
    <w:basedOn w:val="1"/>
    <w:qFormat/>
    <w:uiPriority w:val="34"/>
    <w:pPr>
      <w:ind w:firstLine="420" w:firstLineChars="200"/>
    </w:pPr>
  </w:style>
  <w:style w:type="paragraph" w:customStyle="1" w:styleId="12">
    <w:name w:val="p15"/>
    <w:basedOn w:val="1"/>
    <w:qFormat/>
    <w:uiPriority w:val="0"/>
    <w:pPr>
      <w:adjustRightInd/>
      <w:snapToGrid/>
      <w:spacing w:after="0"/>
      <w:jc w:val="both"/>
    </w:pPr>
    <w:rPr>
      <w:rFonts w:ascii="Times New Roman" w:hAnsi="Times New Roman" w:eastAsia="宋体" w:cs="Times New Roman"/>
      <w:sz w:val="21"/>
      <w:szCs w:val="24"/>
    </w:rPr>
  </w:style>
  <w:style w:type="character" w:customStyle="1" w:styleId="13">
    <w:name w:val="批注框文本 Char"/>
    <w:basedOn w:val="7"/>
    <w:link w:val="3"/>
    <w:semiHidden/>
    <w:qFormat/>
    <w:uiPriority w:val="99"/>
    <w:rPr>
      <w:rFonts w:ascii="Tahoma" w:hAnsi="Tahoma" w:eastAsia="微软雅黑"/>
      <w:sz w:val="18"/>
      <w:szCs w:val="18"/>
    </w:rPr>
  </w:style>
  <w:style w:type="character" w:customStyle="1" w:styleId="14">
    <w:name w:val="页眉 Char"/>
    <w:basedOn w:val="7"/>
    <w:link w:val="5"/>
    <w:semiHidden/>
    <w:qFormat/>
    <w:uiPriority w:val="99"/>
    <w:rPr>
      <w:rFonts w:ascii="Tahoma" w:hAnsi="Tahoma" w:eastAsia="微软雅黑"/>
      <w:sz w:val="18"/>
      <w:szCs w:val="18"/>
    </w:rPr>
  </w:style>
  <w:style w:type="character" w:customStyle="1" w:styleId="15">
    <w:name w:val="页脚 Char"/>
    <w:basedOn w:val="7"/>
    <w:link w:val="4"/>
    <w:semiHidden/>
    <w:qFormat/>
    <w:uiPriority w:val="99"/>
    <w:rPr>
      <w:rFonts w:ascii="Tahoma" w:hAnsi="Tahoma" w:eastAsia="微软雅黑"/>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丰华文化用品广场</Company>
  <Pages>14</Pages>
  <Words>918</Words>
  <Characters>5235</Characters>
  <Lines>43</Lines>
  <Paragraphs>12</Paragraphs>
  <TotalTime>0</TotalTime>
  <ScaleCrop>false</ScaleCrop>
  <LinksUpToDate>false</LinksUpToDate>
  <CharactersWithSpaces>6141</CharactersWithSpaces>
  <Application>WPS Office_10.1.0.5554_F1E327BC-269C-435d-A152-05C5408002CA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2018-08-20T11:52:00Z</dcterms:created>
  <dc:creator>丰华网络</dc:creator>
  <cp:lastModifiedBy>Administrator</cp:lastModifiedBy>
  <dcterms:modified xsi:type="dcterms:W3CDTF">2019-05-06T05:44:09Z</dcterms:modified>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2052-10.1.0.5554</vt:lpwstr>
  </property>
</Properties>
</file>