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rPr>
          <w:rFonts w:cs="仿宋" w:asciiTheme="minorEastAsia" w:hAnsiTheme="minorEastAsia" w:eastAsiaTheme="minorEastAsia"/>
          <w:color w:val="000000" w:themeColor="text1"/>
          <w:sz w:val="28"/>
          <w:szCs w:val="28"/>
        </w:rPr>
      </w:pPr>
    </w:p>
    <w:p>
      <w:pPr>
        <w:spacing w:after="0" w:line="520" w:lineRule="exact"/>
        <w:rPr>
          <w:rFonts w:cs="仿宋" w:asciiTheme="minorEastAsia" w:hAnsiTheme="minorEastAsia" w:eastAsiaTheme="minorEastAsia"/>
          <w:color w:val="000000" w:themeColor="text1"/>
          <w:sz w:val="28"/>
          <w:szCs w:val="28"/>
        </w:rPr>
      </w:pPr>
    </w:p>
    <w:p>
      <w:pPr>
        <w:spacing w:after="0" w:line="520" w:lineRule="exact"/>
        <w:jc w:val="center"/>
        <w:rPr>
          <w:rFonts w:cs="仿宋" w:asciiTheme="minorHAnsi" w:hAnsiTheme="minorHAnsi" w:eastAsiaTheme="minorEastAsia"/>
          <w:b/>
          <w:color w:val="000000" w:themeColor="text1"/>
          <w:sz w:val="44"/>
          <w:szCs w:val="44"/>
        </w:rPr>
      </w:pPr>
      <w:r>
        <w:rPr>
          <w:rFonts w:cs="仿宋" w:asciiTheme="minorHAnsi" w:hAnsiTheme="minorHAnsi" w:eastAsiaTheme="minorEastAsia"/>
          <w:b/>
          <w:color w:val="000000" w:themeColor="text1"/>
          <w:sz w:val="44"/>
          <w:szCs w:val="44"/>
        </w:rPr>
        <w:t>2017</w:t>
      </w:r>
      <w:r>
        <w:rPr>
          <w:rFonts w:cs="仿宋" w:asciiTheme="minorHAnsi" w:hAnsiTheme="minorEastAsia" w:eastAsiaTheme="minorEastAsia"/>
          <w:b/>
          <w:color w:val="000000" w:themeColor="text1"/>
          <w:sz w:val="44"/>
          <w:szCs w:val="44"/>
        </w:rPr>
        <w:t>年度玛纳斯县图书馆部门决算公开说明</w:t>
      </w:r>
    </w:p>
    <w:p>
      <w:pPr>
        <w:spacing w:after="0" w:line="520" w:lineRule="exact"/>
        <w:ind w:firstLine="560" w:firstLineChars="200"/>
        <w:jc w:val="center"/>
        <w:rPr>
          <w:rFonts w:cs="仿宋" w:asciiTheme="minorEastAsia" w:hAnsiTheme="minorEastAsia" w:eastAsiaTheme="minorEastAsia"/>
          <w:color w:val="000000" w:themeColor="text1"/>
          <w:sz w:val="28"/>
          <w:szCs w:val="28"/>
        </w:rPr>
      </w:pPr>
    </w:p>
    <w:p>
      <w:pPr>
        <w:spacing w:after="0" w:line="520" w:lineRule="exact"/>
        <w:ind w:firstLine="560" w:firstLineChars="200"/>
        <w:jc w:val="center"/>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目  录</w:t>
      </w:r>
    </w:p>
    <w:p>
      <w:pPr>
        <w:spacing w:after="0" w:line="520" w:lineRule="exact"/>
        <w:ind w:firstLine="560" w:firstLineChars="200"/>
        <w:jc w:val="center"/>
        <w:rPr>
          <w:rFonts w:cs="仿宋" w:asciiTheme="minorEastAsia" w:hAnsiTheme="minorEastAsia" w:eastAsiaTheme="minorEastAsia"/>
          <w:color w:val="000000" w:themeColor="text1"/>
          <w:sz w:val="28"/>
          <w:szCs w:val="28"/>
        </w:rPr>
      </w:pPr>
    </w:p>
    <w:p>
      <w:pPr>
        <w:spacing w:after="0" w:line="520" w:lineRule="exact"/>
        <w:ind w:firstLine="562" w:firstLineChars="200"/>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 xml:space="preserve">第一部分玛纳斯县图书馆概况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一、主要职能、机构设置及人员情况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二、部门决算单位构成 </w:t>
      </w:r>
    </w:p>
    <w:p>
      <w:pPr>
        <w:spacing w:after="0" w:line="520" w:lineRule="exact"/>
        <w:ind w:firstLine="562" w:firstLineChars="200"/>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 xml:space="preserve">第二部分 部门决算情况说明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一、部门收支总体情况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（一）部门收入支出决算总体情况说明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（二）部门收入总体情况说明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（三）部门支出总体情况说明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二、部门财政拨款收支情况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（一）财政拨款收支总体情况说明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（二）一般公共预算支出决算情况说明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（三）政府性基金预算收支决算情况说明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（四）政府性基金预算支出决算情况说明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三、部门结转结余情况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四、一般公共预算“三公”经费支出情况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五、机关运行经费支出情况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六、政府采购情况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七、其他重要事项的情况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（一）国有资产占用情况说明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（二）国有资产收益征缴情况说明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（三）部门项目支出情况和项目绩效评价情况说明 </w:t>
      </w:r>
    </w:p>
    <w:p>
      <w:pPr>
        <w:spacing w:after="0" w:line="520" w:lineRule="exact"/>
        <w:ind w:firstLine="562" w:firstLineChars="200"/>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 xml:space="preserve">第三部分 专业名词解释 </w:t>
      </w:r>
    </w:p>
    <w:p>
      <w:pPr>
        <w:spacing w:after="0" w:line="520" w:lineRule="exact"/>
        <w:ind w:firstLine="562" w:firstLineChars="200"/>
        <w:rPr>
          <w:rFonts w:cs="仿宋" w:asciiTheme="minorEastAsia" w:hAnsiTheme="minorEastAsia" w:eastAsiaTheme="minorEastAsia"/>
          <w:bCs/>
          <w:color w:val="000000" w:themeColor="text1"/>
          <w:sz w:val="28"/>
          <w:szCs w:val="28"/>
        </w:rPr>
      </w:pPr>
      <w:r>
        <w:rPr>
          <w:rFonts w:hint="eastAsia" w:cs="仿宋" w:asciiTheme="minorEastAsia" w:hAnsiTheme="minorEastAsia" w:eastAsiaTheme="minorEastAsia"/>
          <w:b/>
          <w:bCs/>
          <w:color w:val="000000" w:themeColor="text1"/>
          <w:sz w:val="28"/>
          <w:szCs w:val="28"/>
        </w:rPr>
        <w:t>第四部分 部门决算报表</w:t>
      </w:r>
      <w:r>
        <w:rPr>
          <w:rFonts w:hint="eastAsia" w:cs="仿宋" w:asciiTheme="minorEastAsia" w:hAnsiTheme="minorEastAsia" w:eastAsiaTheme="minorEastAsia"/>
          <w:bCs/>
          <w:color w:val="000000" w:themeColor="text1"/>
          <w:sz w:val="28"/>
          <w:szCs w:val="28"/>
        </w:rPr>
        <w:t xml:space="preserve">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一、报表封面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二、部门收支总体情况（11张）：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《收入支出决算总表》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《收入决算表》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《项目收入支出决算表》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《行政事业类项目收入支出决算表》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《基本建设类项目收入支出决算表》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《基本支出决算明细表》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《项目支出决算明细表》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《财政专户管理资金收入支出决算表》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三、财政拨款收支情况（9张）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《财政拨款收入支出决算总表》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《一般公共预算财政拨款收入支出决算表》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《一般公共预算财政拨款支出决算明细表》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《一般公共预算财政拨款基本支出决算明细表》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《一般公共预算财政拨款项目支出决算明细表》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《政府性基金预算财政拨款收入支出决算表》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《政府性基金预算财政拨款支出决算明细表》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《政府性基金预算财政拨款基本支出决算明细表》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《政府性基金预算财政拨款项目支出决算明细表》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四、单位资产负责情况（1张）：《资产负债简表》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五、部门决算附表（5张）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《资产情况表》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《国有资产收益征缴情况表》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《基本数字表》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《机构人员情况表》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《非税收入征缴情况表》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六、填报说明附表（2张）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《部门决算相关信息统计表》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《政府采购情况表》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七、“三公”经费支出情况(1张) </w:t>
      </w:r>
    </w:p>
    <w:p>
      <w:pPr>
        <w:spacing w:after="0" w:line="520" w:lineRule="exact"/>
        <w:ind w:firstLine="560" w:firstLineChars="200"/>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 xml:space="preserve">《2017年度一般公共预算“三公”经费支出情况表》 </w:t>
      </w: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after="0" w:line="520" w:lineRule="exact"/>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第一部分 部门单位概况</w:t>
      </w:r>
    </w:p>
    <w:p>
      <w:pPr>
        <w:spacing w:after="0" w:line="520" w:lineRule="exact"/>
        <w:ind w:left="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一、部门单位基本情况：</w:t>
      </w:r>
    </w:p>
    <w:p>
      <w:pPr>
        <w:spacing w:line="520" w:lineRule="exact"/>
        <w:ind w:firstLine="588" w:firstLineChars="196"/>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（一）主要职能</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（1）保存人类文化遗产。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图书馆的产生，是保存人类文化遗产的需要。为有了图书馆这一机构，人类的社会实践所取得的经验、文化、知识者得以系统地保存并流传下来，成为今天人类宝贵的文化遗产和精神财富。</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（2）开展社会教育。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近代，资本主义大工业的产生，要求工人有较多的劳动知识和劳动技能，图书馆从而真正走入平民百姓当中，担负起了对工人的科学知识文化教育的任务。现代社会，图书馆成为继续教育、终身教育的基地，担负了更多的教育职能。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（3）传递科学情报。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传递科学情报，是现代图书馆的一个重要职能。图书馆丰富、系统、全面的图书信息资料，成为图书馆从事科学情报传递工作的物质条件。在信息社会，图书馆的科学情报功能将得到加强。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（4）开发智力资源。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图书馆收藏的图书资料，是人类长期积累的一种智力资源，图书馆对这些资源的加工、处理，是对这种智力资源的开发。同时，图书馆将这些图书资料提供利用，是开发图书馆用户的脑力资源。换言之，图书馆承担有人才培养的职能。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（5）提供文化娱乐。 </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图书馆提供的服务，满足了社会对文化娱乐的需要，丰富和活跃了人民群众的文化生活，在精神文明建设当中，起到了不可磨灭的作用。</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（二）内设机构</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内设机构3个包括采编室、办公室、技术部</w:t>
      </w:r>
    </w:p>
    <w:p>
      <w:pPr>
        <w:spacing w:line="520" w:lineRule="exact"/>
        <w:ind w:firstLine="588" w:firstLineChars="196"/>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（三）人员编制</w:t>
      </w:r>
    </w:p>
    <w:p>
      <w:pPr>
        <w:spacing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2018年度年末实有事业编制9个，实有人数8人，在职8人，遗属4人。</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color w:val="000000" w:themeColor="text1"/>
          <w:sz w:val="30"/>
          <w:szCs w:val="30"/>
        </w:rPr>
        <w:t>图书馆</w:t>
      </w:r>
      <w:r>
        <w:rPr>
          <w:rFonts w:hint="eastAsia" w:ascii="仿宋" w:hAnsi="仿宋" w:eastAsia="仿宋" w:cs="仿宋"/>
          <w:sz w:val="30"/>
          <w:szCs w:val="30"/>
        </w:rPr>
        <w:t>部门决算包括：</w:t>
      </w:r>
      <w:r>
        <w:rPr>
          <w:rFonts w:hint="eastAsia" w:ascii="仿宋" w:hAnsi="仿宋" w:eastAsia="仿宋" w:cs="仿宋"/>
          <w:color w:val="000000" w:themeColor="text1"/>
          <w:sz w:val="30"/>
          <w:szCs w:val="30"/>
        </w:rPr>
        <w:t>图书馆</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color w:val="000000" w:themeColor="text1"/>
          <w:sz w:val="30"/>
          <w:szCs w:val="30"/>
        </w:rPr>
        <w:t>图书馆2017</w:t>
      </w:r>
      <w:r>
        <w:rPr>
          <w:rFonts w:hint="eastAsia" w:ascii="仿宋" w:hAnsi="仿宋" w:eastAsia="仿宋" w:cs="仿宋"/>
          <w:sz w:val="30"/>
          <w:szCs w:val="30"/>
        </w:rPr>
        <w:t xml:space="preserve">年部门决算编制范围的单位名单见下表： </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color w:val="000000" w:themeColor="text1"/>
                <w:sz w:val="30"/>
                <w:szCs w:val="30"/>
              </w:rPr>
              <w:t>图书馆</w:t>
            </w:r>
            <w:r>
              <w:rPr>
                <w:rFonts w:hint="eastAsia" w:ascii="仿宋" w:hAnsi="仿宋" w:eastAsia="仿宋" w:cs="仿宋"/>
                <w:sz w:val="30"/>
                <w:szCs w:val="30"/>
              </w:rPr>
              <w:t>单位本级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center"/>
        <w:rPr>
          <w:rFonts w:ascii="仿宋" w:hAnsi="仿宋" w:eastAsia="仿宋" w:cs="仿宋"/>
          <w:bCs/>
          <w:color w:val="000000" w:themeColor="text1"/>
          <w:sz w:val="30"/>
          <w:szCs w:val="30"/>
        </w:rPr>
      </w:pPr>
    </w:p>
    <w:p>
      <w:pPr>
        <w:spacing w:after="0" w:line="520" w:lineRule="exact"/>
        <w:jc w:val="both"/>
        <w:rPr>
          <w:rFonts w:ascii="仿宋" w:hAnsi="仿宋" w:eastAsia="仿宋" w:cs="仿宋"/>
          <w:bCs/>
          <w:color w:val="000000" w:themeColor="text1"/>
          <w:sz w:val="30"/>
          <w:szCs w:val="30"/>
        </w:rPr>
      </w:pPr>
    </w:p>
    <w:p>
      <w:pPr>
        <w:spacing w:after="0" w:line="520" w:lineRule="exact"/>
        <w:jc w:val="both"/>
        <w:rPr>
          <w:rFonts w:ascii="仿宋" w:hAnsi="仿宋" w:eastAsia="仿宋" w:cs="仿宋"/>
          <w:bCs/>
          <w:color w:val="000000" w:themeColor="text1"/>
          <w:sz w:val="30"/>
          <w:szCs w:val="30"/>
        </w:rPr>
      </w:pPr>
    </w:p>
    <w:p>
      <w:pPr>
        <w:spacing w:after="0" w:line="520" w:lineRule="exact"/>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第二部分 部门决算情况说明</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一、部门收支总体情况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（一）部门收入支出决算总体情况说明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2017年度决算收入122.82万元,与上年131.92万元相比，减少9.1万元，减少6.9%，支出127.22万元,与上年130.05万元相比，减少2.83万元，减少2.18%。</w:t>
      </w:r>
      <w:r>
        <w:rPr>
          <w:rFonts w:hint="eastAsia" w:ascii="仿宋" w:hAnsi="仿宋" w:eastAsia="仿宋" w:cs="仿宋"/>
          <w:sz w:val="30"/>
          <w:szCs w:val="30"/>
          <w:lang w:val="en-US" w:eastAsia="zh-CN" w:bidi="ar"/>
        </w:rPr>
        <w:t>结余0万元，与上年相比，增加0万元，增长0%。与上年持平。</w:t>
      </w:r>
      <w:r>
        <w:rPr>
          <w:rFonts w:hint="eastAsia" w:ascii="仿宋" w:hAnsi="仿宋" w:eastAsia="仿宋" w:cs="仿宋"/>
          <w:color w:val="000000" w:themeColor="text1"/>
          <w:sz w:val="30"/>
          <w:szCs w:val="30"/>
        </w:rPr>
        <w:t>增减变化主要原因是：退休人员减少。</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2017年度决算收入122.82万元（含其他收入），预算收入105.19万元，相差18.63万元，决算支出130.05万元，预算支出105.19万元，相差24.86万元，决算收入和支出大于预算原因为：社保基数调整，人员经费支出增加。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（二）部门收入总体情况说明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本年收入合计</w:t>
      </w:r>
      <w:r>
        <w:rPr>
          <w:rFonts w:hint="eastAsia" w:ascii="仿宋" w:hAnsi="仿宋" w:eastAsia="仿宋" w:cs="仿宋"/>
          <w:color w:val="000000" w:themeColor="text1"/>
          <w:sz w:val="30"/>
          <w:szCs w:val="30"/>
        </w:rPr>
        <w:t>122.82万元,与上年131.92万元相比，减少9.1万元，减少6.9%，其中：财政拨款收入105.61万元，占86%；</w:t>
      </w:r>
      <w:r>
        <w:rPr>
          <w:rFonts w:hint="eastAsia" w:ascii="仿宋" w:hAnsi="仿宋" w:eastAsia="仿宋" w:cs="仿宋"/>
          <w:sz w:val="30"/>
          <w:szCs w:val="30"/>
        </w:rPr>
        <w:t>上级补助收入0元，占0%；事业收入0万元，占0%；经营收入0万元，占0%；附属单位缴款0万元，占0%；</w:t>
      </w:r>
      <w:r>
        <w:rPr>
          <w:rFonts w:hint="eastAsia" w:ascii="仿宋" w:hAnsi="仿宋" w:eastAsia="仿宋" w:cs="仿宋"/>
          <w:color w:val="000000" w:themeColor="text1"/>
          <w:sz w:val="30"/>
          <w:szCs w:val="30"/>
        </w:rPr>
        <w:t>其他收入17.21万元，占14%。增减变化主要原因是：退休人员减少。</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2017年度决算收入122.82万元（含其他收入），预算收入105.19万元，相差18.63万元，其中：财政拨款收入105.19万元，占100%，原因为：决算其他收入调增，社保基数调整，人员经费支出增加。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（三）部门支出总体情况说明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本年</w:t>
      </w:r>
      <w:r>
        <w:rPr>
          <w:rFonts w:hint="eastAsia" w:ascii="仿宋" w:hAnsi="仿宋" w:eastAsia="仿宋" w:cs="仿宋"/>
          <w:color w:val="000000" w:themeColor="text1"/>
          <w:sz w:val="30"/>
          <w:szCs w:val="30"/>
        </w:rPr>
        <w:t>支出</w:t>
      </w:r>
      <w:r>
        <w:rPr>
          <w:rFonts w:hint="eastAsia" w:ascii="仿宋" w:hAnsi="仿宋" w:eastAsia="仿宋" w:cs="仿宋"/>
          <w:sz w:val="30"/>
          <w:szCs w:val="30"/>
        </w:rPr>
        <w:t>合计</w:t>
      </w:r>
      <w:r>
        <w:rPr>
          <w:rFonts w:hint="eastAsia" w:ascii="仿宋" w:hAnsi="仿宋" w:eastAsia="仿宋" w:cs="仿宋"/>
          <w:color w:val="000000" w:themeColor="text1"/>
          <w:sz w:val="30"/>
          <w:szCs w:val="30"/>
        </w:rPr>
        <w:t>127.22万元,与上年130.05万元相比，减少2.83万元，减少2.18%。其中：基本支出110万元，占86.47%；项目支出17.21万元，占13.53% 。</w:t>
      </w:r>
      <w:r>
        <w:rPr>
          <w:rFonts w:hint="eastAsia" w:ascii="仿宋" w:hAnsi="仿宋" w:eastAsia="仿宋" w:cs="仿宋"/>
          <w:sz w:val="30"/>
          <w:szCs w:val="30"/>
          <w:lang w:val="en-US" w:eastAsia="zh-CN" w:bidi="ar"/>
        </w:rPr>
        <w:t>上缴上级支出0万元，占0%；经营支出0万元，占0%；对附属单位补助支出0万元，占0%。</w:t>
      </w:r>
      <w:r>
        <w:rPr>
          <w:rFonts w:hint="eastAsia" w:ascii="仿宋" w:hAnsi="仿宋" w:eastAsia="仿宋" w:cs="仿宋"/>
          <w:color w:val="000000" w:themeColor="text1"/>
          <w:sz w:val="30"/>
          <w:szCs w:val="30"/>
        </w:rPr>
        <w:t>增减变化主要原因是：退休人员减少。</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与预算相比情况。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决算支出130.05万元，预算支出105.19万元，相差24.86万元，其中：基本支出105.19万元，占100%；原因为：项目支出增加，社保基数调整，人员经费支出增加。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二、部门财政拨款收支情况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（一）财政拨款收支总体情况说明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财政拨款收入105.61万元，与上年109.74万元相比，减少4.13万元，降低3.76%。财政拨款支出110万元，与上年107.87万元相比，减少2.13万元，降低1.97%其中：基本支出99.88万元，项目支出10.12万元。增减变化的主要原因是：退休人员减少。</w:t>
      </w: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与预算相比情况。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2017年度财政拨款收入105.61万元，2017年预算收入为105.19万元，相差0.42万元，其中：基本支出105.19万元，项目支出0万元。</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（二）一般公共预算支出决算情况说明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sz w:val="30"/>
          <w:szCs w:val="30"/>
        </w:rPr>
        <w:t>2017年度一般公共预算</w:t>
      </w:r>
      <w:r>
        <w:rPr>
          <w:rFonts w:hint="eastAsia" w:ascii="仿宋" w:hAnsi="仿宋" w:eastAsia="仿宋" w:cs="仿宋"/>
          <w:color w:val="000000" w:themeColor="text1"/>
          <w:sz w:val="30"/>
          <w:szCs w:val="30"/>
        </w:rPr>
        <w:t>财政拨款支出110万元，与上年107.87万元相比，减少2.13万元，降低1.97%。增减变化的主要原因是：各项费用均有增加，主要为人员经费的增加。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其中：按功能分类，文化体育与传媒支出98.79万元，社会保障和就业支出11.22万元；</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按经济分类科目，工资福利支出93.47万元，商品和服务支出9.91万元，对个人和家庭的补助6.41万元，其他资本性支出0.21元</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2017年度一般公共预算财政拨款支出110万元，与年初预算105.19万元，相差4.81万元，其中社会保障和就业支出及工资福利支出占主要超支。</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（四）政府性基金预算支出决算情况说明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2017年度政府性基金预算支出0万元。与上年相比，增加0万元，增长0%。增减变化的主要原因是：年初无预算安排。其中：按功能分类科目，</w:t>
      </w:r>
      <w:r>
        <w:rPr>
          <w:rFonts w:hint="eastAsia" w:ascii="仿宋" w:hAnsi="仿宋" w:eastAsia="仿宋" w:cs="仿宋"/>
          <w:color w:val="000000" w:themeColor="text1"/>
          <w:sz w:val="30"/>
          <w:szCs w:val="30"/>
        </w:rPr>
        <w:t>文化体育与传媒支出0万元，社会保障和就业支出0万元；按经济分类科目，工资福利支出0万元，商品和服务支出0万元，对个人和家庭的补助0万元，其他资本性支出0元</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三、部门结转结余情况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 xml:space="preserve">年末基本收支结余0万元，与上年相比，增加0万元，增长0%。 其中财政拨款结转结余0万元。与上年相比，增加0元，增长0%。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 xml:space="preserve">无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四、一般公共预算“三公”经费支出情况 </w:t>
      </w:r>
    </w:p>
    <w:p>
      <w:pPr>
        <w:spacing w:after="0" w:line="520" w:lineRule="exact"/>
        <w:ind w:firstLine="600" w:firstLineChars="200"/>
        <w:rPr>
          <w:rFonts w:hint="eastAsia" w:ascii="仿宋" w:hAnsi="仿宋" w:eastAsia="仿宋" w:cs="仿宋"/>
          <w:color w:val="000000" w:themeColor="text1"/>
          <w:sz w:val="30"/>
          <w:szCs w:val="30"/>
          <w:lang w:eastAsia="zh-CN"/>
        </w:rPr>
      </w:pPr>
      <w:r>
        <w:rPr>
          <w:rFonts w:hint="eastAsia" w:ascii="仿宋" w:hAnsi="仿宋" w:eastAsia="仿宋" w:cs="仿宋"/>
          <w:color w:val="000000" w:themeColor="text1"/>
          <w:sz w:val="30"/>
          <w:szCs w:val="30"/>
        </w:rPr>
        <w:t>2017年度一般公共预算“三公”经费支出决算0.41万元，比上年2.5万元减少2.09万元，降低84%，减少原因是业务接待减少。其中，因公出国（境）费支出0元，占0%，比上年增加（减少）0万元，增长（降低）0%，增加（减少）原因是无；公务用车购置及运行维护费支出0万元，占0，比上年减少0万元，降低0%，减少原因是出车业务减少</w:t>
      </w:r>
      <w:r>
        <w:rPr>
          <w:rFonts w:hint="eastAsia" w:ascii="仿宋" w:hAnsi="仿宋" w:eastAsia="仿宋" w:cs="仿宋"/>
          <w:color w:val="000000" w:themeColor="text1"/>
          <w:sz w:val="30"/>
          <w:szCs w:val="30"/>
          <w:lang w:eastAsia="zh-CN"/>
        </w:rPr>
        <w:t>；公务接待</w:t>
      </w:r>
      <w:r>
        <w:rPr>
          <w:rFonts w:hint="eastAsia" w:ascii="仿宋" w:hAnsi="仿宋" w:eastAsia="仿宋" w:cs="仿宋"/>
          <w:color w:val="000000" w:themeColor="text1"/>
          <w:sz w:val="30"/>
          <w:szCs w:val="30"/>
        </w:rPr>
        <w:t xml:space="preserve">0.41万元，比上年2.5万元减少2.09万元，降低84%，减少原因是业务接待减少。 </w:t>
      </w:r>
      <w:r>
        <w:rPr>
          <w:rFonts w:hint="eastAsia" w:ascii="仿宋" w:hAnsi="仿宋" w:eastAsia="仿宋" w:cs="仿宋"/>
          <w:color w:val="000000" w:themeColor="text1"/>
          <w:sz w:val="30"/>
          <w:szCs w:val="30"/>
          <w:lang w:eastAsia="zh-CN"/>
        </w:rPr>
        <w:t>具体情况如下：</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因公出国（境）费支出0万元。单位全年使用一般公共预算财政拨款安排的出国（境）团组0个，累计0人次。开支内容包括：年初无预算安排。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公务用车购置及运行维护费0万元,其中，公务用车购置0万元，公务用车运行维护费0万元。主要用于年初无预算安排等。2017年，单位一般公共财政拨款安排的公务用车购置量0辆，保有量为0辆。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0.41</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0.41</w:t>
      </w:r>
      <w:r>
        <w:rPr>
          <w:rFonts w:hint="eastAsia" w:ascii="仿宋" w:hAnsi="仿宋" w:eastAsia="仿宋" w:cs="仿宋"/>
          <w:sz w:val="30"/>
          <w:szCs w:val="30"/>
        </w:rPr>
        <w:t>万元，主要是</w:t>
      </w:r>
      <w:r>
        <w:rPr>
          <w:rFonts w:hint="eastAsia" w:ascii="仿宋" w:hAnsi="仿宋" w:eastAsia="仿宋" w:cs="仿宋"/>
          <w:sz w:val="30"/>
          <w:szCs w:val="30"/>
          <w:lang w:eastAsia="zh-CN"/>
        </w:rPr>
        <w:t>加班人员餐费等</w:t>
      </w:r>
      <w:r>
        <w:rPr>
          <w:rFonts w:hint="eastAsia" w:ascii="仿宋" w:hAnsi="仿宋" w:eastAsia="仿宋" w:cs="仿宋"/>
          <w:sz w:val="30"/>
          <w:szCs w:val="30"/>
        </w:rPr>
        <w:t>。单位国内公务接待</w:t>
      </w:r>
      <w:r>
        <w:rPr>
          <w:rFonts w:hint="eastAsia" w:ascii="仿宋" w:hAnsi="仿宋" w:eastAsia="仿宋" w:cs="仿宋"/>
          <w:sz w:val="30"/>
          <w:szCs w:val="30"/>
          <w:lang w:val="en-US" w:eastAsia="zh-CN"/>
        </w:rPr>
        <w:t>6</w:t>
      </w:r>
      <w:r>
        <w:rPr>
          <w:rFonts w:hint="eastAsia" w:ascii="仿宋" w:hAnsi="仿宋" w:eastAsia="仿宋" w:cs="仿宋"/>
          <w:sz w:val="30"/>
          <w:szCs w:val="30"/>
        </w:rPr>
        <w:t>批次，</w:t>
      </w:r>
      <w:r>
        <w:rPr>
          <w:rFonts w:hint="eastAsia" w:ascii="仿宋" w:hAnsi="仿宋" w:eastAsia="仿宋" w:cs="仿宋"/>
          <w:sz w:val="30"/>
          <w:szCs w:val="30"/>
          <w:lang w:val="en-US" w:eastAsia="zh-CN"/>
        </w:rPr>
        <w:t>45</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其他有关说明内容</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五、机关运行经费支出情况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2017年度单位机关运行经费支出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万元，比上年增加0万元，增长0%，主要原因是本单位为事业单位，有事业运行经费，无机关运行经费。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lang w:val="en-US" w:eastAsia="zh-CN"/>
        </w:rPr>
      </w:pPr>
      <w:r>
        <w:rPr>
          <w:rFonts w:hint="eastAsia" w:ascii="仿宋" w:hAnsi="仿宋" w:eastAsia="仿宋" w:cs="仿宋"/>
          <w:color w:val="000000" w:themeColor="text1"/>
          <w:sz w:val="30"/>
          <w:szCs w:val="30"/>
          <w:lang w:eastAsia="zh-CN"/>
        </w:rPr>
        <w:t>本单位</w:t>
      </w:r>
      <w:r>
        <w:rPr>
          <w:rFonts w:hint="eastAsia" w:ascii="仿宋" w:hAnsi="仿宋" w:eastAsia="仿宋" w:cs="仿宋"/>
          <w:color w:val="000000" w:themeColor="text1"/>
          <w:sz w:val="30"/>
          <w:szCs w:val="30"/>
          <w:lang w:val="en-US" w:eastAsia="zh-CN"/>
        </w:rPr>
        <w:t>2017年日常公用经费支出10.12万元，与上年相比，增加3.87万元，增长61.92%。主要是因为人员工资调资。</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七、其他重要事项的情况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（一）国有资产占用情况说明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截至2017年12月31日，资产总计233.43万元，其中：流动资产10.07万元，固定资产223.64万元，其中：房屋1266（平方米），价值126万元，共有车辆0辆，价值0万元，其中：部级领导干部用车0辆、一般公务用车0辆、一般执法执勤用车0辆、特种专业技术用车0辆、其他用车0辆（其他用车主要是：</w:t>
      </w:r>
      <w:r>
        <w:rPr>
          <w:rFonts w:hint="eastAsia" w:ascii="仿宋" w:hAnsi="仿宋" w:eastAsia="仿宋" w:cs="仿宋"/>
          <w:color w:val="000000" w:themeColor="text1"/>
          <w:sz w:val="30"/>
          <w:szCs w:val="30"/>
          <w:lang w:eastAsia="zh-CN"/>
        </w:rPr>
        <w:t>无</w:t>
      </w:r>
      <w:r>
        <w:rPr>
          <w:rFonts w:hint="eastAsia" w:ascii="仿宋" w:hAnsi="仿宋" w:eastAsia="仿宋" w:cs="仿宋"/>
          <w:color w:val="000000" w:themeColor="text1"/>
          <w:sz w:val="30"/>
          <w:szCs w:val="30"/>
        </w:rPr>
        <w:t>）；单位价值50万元以上通用设备0台（套）、</w:t>
      </w:r>
      <w:bookmarkStart w:id="0" w:name="_GoBack"/>
      <w:r>
        <w:rPr>
          <w:rFonts w:hint="eastAsia" w:ascii="仿宋" w:hAnsi="仿宋" w:eastAsia="仿宋" w:cs="仿宋"/>
          <w:color w:val="000000" w:themeColor="text1"/>
          <w:sz w:val="30"/>
          <w:szCs w:val="30"/>
        </w:rPr>
        <w:t>单位价值100万元以上专用设备0台（套），其他固定资产价值97.36万元。</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其他有关说明内容。无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w:t>
      </w:r>
      <w:r>
        <w:rPr>
          <w:rFonts w:hint="eastAsia" w:ascii="仿宋" w:hAnsi="仿宋" w:eastAsia="仿宋" w:cs="仿宋"/>
          <w:color w:val="000000" w:themeColor="text1"/>
          <w:sz w:val="30"/>
          <w:szCs w:val="30"/>
        </w:rPr>
        <w:t>图书馆</w:t>
      </w:r>
      <w:r>
        <w:rPr>
          <w:rFonts w:hint="eastAsia" w:ascii="仿宋" w:hAnsi="仿宋" w:eastAsia="仿宋" w:cs="仿宋"/>
          <w:sz w:val="30"/>
          <w:szCs w:val="30"/>
        </w:rPr>
        <w:t xml:space="preserve">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bookmarkEnd w:id="0"/>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w:t>
      </w:r>
      <w:r>
        <w:rPr>
          <w:rFonts w:hint="eastAsia" w:ascii="仿宋" w:hAnsi="仿宋" w:eastAsia="仿宋" w:cs="仿宋"/>
          <w:color w:val="000000" w:themeColor="text1"/>
          <w:sz w:val="30"/>
          <w:szCs w:val="30"/>
        </w:rPr>
        <w:t>10.12</w:t>
      </w:r>
      <w:r>
        <w:rPr>
          <w:rFonts w:hint="eastAsia" w:ascii="仿宋" w:hAnsi="仿宋" w:eastAsia="仿宋" w:cs="仿宋"/>
          <w:sz w:val="30"/>
          <w:szCs w:val="30"/>
        </w:rPr>
        <w:t>万元。年末本部门单位民生项目和重点支出项目的绩效评价开展情况及结果：</w:t>
      </w:r>
      <w:r>
        <w:rPr>
          <w:rFonts w:hint="eastAsia" w:ascii="仿宋" w:hAnsi="仿宋" w:eastAsia="仿宋" w:cs="仿宋"/>
          <w:sz w:val="30"/>
          <w:szCs w:val="30"/>
          <w:lang w:eastAsia="zh-CN"/>
        </w:rPr>
        <w:t>无项目</w:t>
      </w:r>
    </w:p>
    <w:p>
      <w:pPr>
        <w:spacing w:after="0" w:line="520" w:lineRule="exact"/>
        <w:rPr>
          <w:rFonts w:ascii="仿宋" w:hAnsi="仿宋" w:eastAsia="仿宋" w:cs="仿宋"/>
          <w:color w:val="000000" w:themeColor="text1"/>
          <w:sz w:val="30"/>
          <w:szCs w:val="30"/>
        </w:rPr>
      </w:pPr>
    </w:p>
    <w:p>
      <w:pPr>
        <w:spacing w:after="0" w:line="520" w:lineRule="exact"/>
        <w:ind w:firstLine="600" w:firstLineChars="200"/>
        <w:rPr>
          <w:rFonts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rPr>
          <w:rFonts w:ascii="仿宋" w:hAnsi="仿宋" w:eastAsia="仿宋" w:cs="仿宋"/>
          <w:color w:val="000000" w:themeColor="text1"/>
          <w:sz w:val="30"/>
          <w:szCs w:val="30"/>
        </w:rPr>
      </w:pPr>
    </w:p>
    <w:p>
      <w:pPr>
        <w:spacing w:after="0" w:line="520" w:lineRule="exact"/>
        <w:rPr>
          <w:rFonts w:ascii="仿宋" w:hAnsi="仿宋" w:eastAsia="仿宋" w:cs="仿宋"/>
          <w:color w:val="000000" w:themeColor="text1"/>
          <w:sz w:val="30"/>
          <w:szCs w:val="30"/>
        </w:rPr>
      </w:pPr>
    </w:p>
    <w:p>
      <w:pPr>
        <w:spacing w:after="0" w:line="520" w:lineRule="exact"/>
        <w:rPr>
          <w:rFonts w:ascii="仿宋" w:hAnsi="仿宋" w:eastAsia="仿宋" w:cs="仿宋"/>
          <w:color w:val="000000" w:themeColor="text1"/>
          <w:sz w:val="30"/>
          <w:szCs w:val="30"/>
        </w:rPr>
      </w:pPr>
    </w:p>
    <w:p>
      <w:pPr>
        <w:spacing w:after="0" w:line="520" w:lineRule="exact"/>
        <w:rPr>
          <w:rFonts w:ascii="仿宋" w:hAnsi="仿宋" w:eastAsia="仿宋" w:cs="仿宋"/>
          <w:color w:val="000000" w:themeColor="text1"/>
          <w:sz w:val="30"/>
          <w:szCs w:val="30"/>
        </w:rPr>
      </w:pPr>
    </w:p>
    <w:p>
      <w:pPr>
        <w:spacing w:line="520" w:lineRule="exact"/>
        <w:ind w:firstLine="602" w:firstLineChars="200"/>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第三部分 专业名词解释</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财政拨款收入：指同级财政当年拨付的资金。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结余分配：反映单位当年结余的分配情况。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本单位支出功能分类说明。205（类）20502（款）2050202（项）：指小学教育。2050291（项）其他学前教育支出，208（类）20805（款）2080505（项）：指 机关事业单位基本养老保险缴费支出。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w:t>
      </w:r>
    </w:p>
    <w:p>
      <w:pPr>
        <w:spacing w:after="0" w:line="520" w:lineRule="exact"/>
        <w:ind w:firstLine="600" w:firstLineChars="200"/>
        <w:rPr>
          <w:rFonts w:ascii="仿宋" w:hAnsi="仿宋" w:eastAsia="仿宋" w:cs="仿宋"/>
          <w:color w:val="000000" w:themeColor="text1"/>
          <w:sz w:val="30"/>
          <w:szCs w:val="30"/>
        </w:rPr>
      </w:pPr>
    </w:p>
    <w:p>
      <w:pPr>
        <w:spacing w:after="0" w:line="520" w:lineRule="exact"/>
        <w:ind w:firstLine="600" w:firstLineChars="200"/>
        <w:rPr>
          <w:rFonts w:ascii="仿宋" w:hAnsi="仿宋" w:eastAsia="仿宋" w:cs="仿宋"/>
          <w:color w:val="000000" w:themeColor="text1"/>
          <w:sz w:val="30"/>
          <w:szCs w:val="30"/>
        </w:rPr>
      </w:pPr>
    </w:p>
    <w:p>
      <w:pPr>
        <w:spacing w:after="0" w:line="520" w:lineRule="exact"/>
        <w:ind w:firstLine="600" w:firstLineChars="200"/>
        <w:rPr>
          <w:rFonts w:ascii="仿宋" w:hAnsi="仿宋" w:eastAsia="仿宋" w:cs="仿宋"/>
          <w:color w:val="000000" w:themeColor="text1"/>
          <w:sz w:val="30"/>
          <w:szCs w:val="30"/>
        </w:rPr>
      </w:pPr>
    </w:p>
    <w:p>
      <w:pPr>
        <w:spacing w:after="0" w:line="520" w:lineRule="exact"/>
        <w:ind w:firstLine="600" w:firstLineChars="200"/>
        <w:rPr>
          <w:rFonts w:ascii="仿宋" w:hAnsi="仿宋" w:eastAsia="仿宋" w:cs="仿宋"/>
          <w:color w:val="000000" w:themeColor="text1"/>
          <w:sz w:val="30"/>
          <w:szCs w:val="30"/>
        </w:rPr>
      </w:pPr>
    </w:p>
    <w:p>
      <w:pPr>
        <w:spacing w:after="0" w:line="520" w:lineRule="exact"/>
        <w:ind w:firstLine="600" w:firstLineChars="200"/>
        <w:rPr>
          <w:rFonts w:ascii="仿宋" w:hAnsi="仿宋" w:eastAsia="仿宋" w:cs="仿宋"/>
          <w:color w:val="000000" w:themeColor="text1"/>
          <w:sz w:val="30"/>
          <w:szCs w:val="30"/>
        </w:rPr>
      </w:pPr>
    </w:p>
    <w:p>
      <w:pPr>
        <w:spacing w:line="520" w:lineRule="exact"/>
        <w:jc w:val="both"/>
        <w:rPr>
          <w:rFonts w:ascii="仿宋" w:hAnsi="仿宋" w:eastAsia="仿宋" w:cs="仿宋"/>
          <w:bCs/>
          <w:color w:val="000000" w:themeColor="text1"/>
          <w:sz w:val="30"/>
          <w:szCs w:val="30"/>
        </w:rPr>
      </w:pPr>
    </w:p>
    <w:p>
      <w:pPr>
        <w:spacing w:line="520" w:lineRule="exact"/>
        <w:ind w:firstLine="602" w:firstLineChars="200"/>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第四部分 部门决算报表（见附表）</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一、报表封面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二、《收入支出决算总表》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三、《收入决算表》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五、《收入支出决算表》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六、《项目收入支出决算表》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七、《行政事业类项目收入支出决算表》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八、《基本建设类项目收入支出决算表》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九、《支出决算明细表》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十、《基本支出决算明细表》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十一、《项目支出决算明细表》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十二、《财政专户管理资金收入支出决算表》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十三、《财政拨款收入支出决算总表》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十四、《一般公共预算财政拨款收入支出决算表》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十五、《一般公共预算财政拨款支出决算明细表》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十六、《一般公共预算财政拨款基本支出决算明细表》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十七、《一般公共预算财政拨款项目支出决算明细表》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十八、《政府性基金预算财政拨款收入支出决算表》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十九、《政府性基金预算财政拨款支出决算明细表》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二十、《政府性基金预算财政拨款基本支出决算明细表》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二十二、《资产负债简表》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二十三、《资产情况表》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二十四、《国有资产收益征缴情况表》、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二十五、《基本数字表》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二十六、《机构人员情况表》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二十七、《非税收入征缴情况表》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二十八、《部门决算相关信息统计表》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二十九、《政府采购情况表》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三十、《2017年度一般公共预算“三公”经费支出情况表》 </w:t>
      </w:r>
    </w:p>
    <w:p>
      <w:pPr>
        <w:spacing w:after="0" w:line="520" w:lineRule="exact"/>
        <w:ind w:firstLine="600" w:firstLineChars="200"/>
        <w:rPr>
          <w:rFonts w:ascii="仿宋" w:hAnsi="仿宋" w:eastAsia="仿宋" w:cs="仿宋"/>
          <w:color w:val="000000" w:themeColor="text1"/>
          <w:sz w:val="30"/>
          <w:szCs w:val="30"/>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828D5"/>
    <w:rsid w:val="000908BF"/>
    <w:rsid w:val="00094079"/>
    <w:rsid w:val="000A052B"/>
    <w:rsid w:val="000C6CCB"/>
    <w:rsid w:val="000D0E5B"/>
    <w:rsid w:val="000D1856"/>
    <w:rsid w:val="000E02FA"/>
    <w:rsid w:val="000F2E83"/>
    <w:rsid w:val="0010769C"/>
    <w:rsid w:val="0011222F"/>
    <w:rsid w:val="00113945"/>
    <w:rsid w:val="00120F83"/>
    <w:rsid w:val="00124956"/>
    <w:rsid w:val="00126B17"/>
    <w:rsid w:val="00186B53"/>
    <w:rsid w:val="00197BEE"/>
    <w:rsid w:val="001A100E"/>
    <w:rsid w:val="001D349E"/>
    <w:rsid w:val="001D4D8F"/>
    <w:rsid w:val="001E7BD8"/>
    <w:rsid w:val="0023560C"/>
    <w:rsid w:val="00262593"/>
    <w:rsid w:val="0026539E"/>
    <w:rsid w:val="002C030E"/>
    <w:rsid w:val="00331629"/>
    <w:rsid w:val="003B09C3"/>
    <w:rsid w:val="003B6905"/>
    <w:rsid w:val="003D7C6F"/>
    <w:rsid w:val="003F1B60"/>
    <w:rsid w:val="0040469C"/>
    <w:rsid w:val="00407608"/>
    <w:rsid w:val="0041757F"/>
    <w:rsid w:val="004229A0"/>
    <w:rsid w:val="0044054A"/>
    <w:rsid w:val="00442A8F"/>
    <w:rsid w:val="00461B71"/>
    <w:rsid w:val="00465E1E"/>
    <w:rsid w:val="00472A92"/>
    <w:rsid w:val="004A7A1E"/>
    <w:rsid w:val="004B1E76"/>
    <w:rsid w:val="004C54B9"/>
    <w:rsid w:val="004C5D8B"/>
    <w:rsid w:val="004F0E8A"/>
    <w:rsid w:val="004F6DFB"/>
    <w:rsid w:val="00591C6F"/>
    <w:rsid w:val="005A6966"/>
    <w:rsid w:val="005F0E36"/>
    <w:rsid w:val="005F21F0"/>
    <w:rsid w:val="005F6AEE"/>
    <w:rsid w:val="005F7240"/>
    <w:rsid w:val="00602022"/>
    <w:rsid w:val="006058FD"/>
    <w:rsid w:val="006127BC"/>
    <w:rsid w:val="006208AD"/>
    <w:rsid w:val="00621B2F"/>
    <w:rsid w:val="0062359F"/>
    <w:rsid w:val="0063241F"/>
    <w:rsid w:val="00646EEF"/>
    <w:rsid w:val="006659A7"/>
    <w:rsid w:val="00671687"/>
    <w:rsid w:val="006C3CEC"/>
    <w:rsid w:val="006D7B5F"/>
    <w:rsid w:val="006E17D4"/>
    <w:rsid w:val="0071455B"/>
    <w:rsid w:val="00732C5D"/>
    <w:rsid w:val="007348DB"/>
    <w:rsid w:val="00735251"/>
    <w:rsid w:val="0073594C"/>
    <w:rsid w:val="00746034"/>
    <w:rsid w:val="007511EA"/>
    <w:rsid w:val="007603E0"/>
    <w:rsid w:val="00786203"/>
    <w:rsid w:val="00786217"/>
    <w:rsid w:val="007A142B"/>
    <w:rsid w:val="007F4905"/>
    <w:rsid w:val="00816233"/>
    <w:rsid w:val="00844BF5"/>
    <w:rsid w:val="0085492C"/>
    <w:rsid w:val="0088086F"/>
    <w:rsid w:val="00897508"/>
    <w:rsid w:val="008D086D"/>
    <w:rsid w:val="008F657E"/>
    <w:rsid w:val="009338EB"/>
    <w:rsid w:val="009723A6"/>
    <w:rsid w:val="00976EFF"/>
    <w:rsid w:val="009773E5"/>
    <w:rsid w:val="009A16A3"/>
    <w:rsid w:val="009B7CEF"/>
    <w:rsid w:val="009D2DBC"/>
    <w:rsid w:val="009E231F"/>
    <w:rsid w:val="009F2137"/>
    <w:rsid w:val="00A06553"/>
    <w:rsid w:val="00A07488"/>
    <w:rsid w:val="00A26DEE"/>
    <w:rsid w:val="00A93702"/>
    <w:rsid w:val="00AA6BEA"/>
    <w:rsid w:val="00B0217C"/>
    <w:rsid w:val="00B4643F"/>
    <w:rsid w:val="00B47086"/>
    <w:rsid w:val="00B665BE"/>
    <w:rsid w:val="00BA622F"/>
    <w:rsid w:val="00BC61F7"/>
    <w:rsid w:val="00C15994"/>
    <w:rsid w:val="00C8021A"/>
    <w:rsid w:val="00CA70D9"/>
    <w:rsid w:val="00CB28F8"/>
    <w:rsid w:val="00CD2411"/>
    <w:rsid w:val="00CD6CE3"/>
    <w:rsid w:val="00CE6198"/>
    <w:rsid w:val="00D13FC1"/>
    <w:rsid w:val="00D2523E"/>
    <w:rsid w:val="00D3436D"/>
    <w:rsid w:val="00D76FC6"/>
    <w:rsid w:val="00DA6DA4"/>
    <w:rsid w:val="00DF6DF4"/>
    <w:rsid w:val="00DF75C6"/>
    <w:rsid w:val="00E024CB"/>
    <w:rsid w:val="00E61534"/>
    <w:rsid w:val="00E80332"/>
    <w:rsid w:val="00E80DAC"/>
    <w:rsid w:val="00E85CEE"/>
    <w:rsid w:val="00E9748C"/>
    <w:rsid w:val="00EB5523"/>
    <w:rsid w:val="00EB6F5D"/>
    <w:rsid w:val="00F06066"/>
    <w:rsid w:val="00F5593C"/>
    <w:rsid w:val="00F960B3"/>
    <w:rsid w:val="00FB6A07"/>
    <w:rsid w:val="00FD7172"/>
    <w:rsid w:val="00FE1FCA"/>
    <w:rsid w:val="00FE2B8B"/>
    <w:rsid w:val="014B7ADF"/>
    <w:rsid w:val="153A7892"/>
    <w:rsid w:val="15F4001F"/>
    <w:rsid w:val="19585BFB"/>
    <w:rsid w:val="1F8A2E35"/>
    <w:rsid w:val="25F204CA"/>
    <w:rsid w:val="28892DFB"/>
    <w:rsid w:val="2ED51306"/>
    <w:rsid w:val="35405906"/>
    <w:rsid w:val="4E700728"/>
    <w:rsid w:val="55763497"/>
    <w:rsid w:val="6AB82652"/>
    <w:rsid w:val="782C7639"/>
    <w:rsid w:val="7A15322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unhideWhenUsed/>
    <w:uiPriority w:val="1"/>
  </w:style>
  <w:style w:type="table" w:default="1" w:styleId="10">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Balloon Text"/>
    <w:basedOn w:val="1"/>
    <w:link w:val="15"/>
    <w:unhideWhenUsed/>
    <w:uiPriority w:val="99"/>
    <w:pPr>
      <w:spacing w:after="0"/>
    </w:pPr>
    <w:rPr>
      <w:sz w:val="18"/>
      <w:szCs w:val="18"/>
    </w:rPr>
  </w:style>
  <w:style w:type="paragraph" w:styleId="4">
    <w:name w:val="footer"/>
    <w:basedOn w:val="1"/>
    <w:link w:val="14"/>
    <w:unhideWhenUsed/>
    <w:qFormat/>
    <w:uiPriority w:val="99"/>
    <w:pPr>
      <w:tabs>
        <w:tab w:val="center" w:pos="4153"/>
        <w:tab w:val="right" w:pos="8306"/>
      </w:tabs>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Hyperlink"/>
    <w:basedOn w:val="7"/>
    <w:unhideWhenUsed/>
    <w:qFormat/>
    <w:uiPriority w:val="99"/>
    <w:rPr>
      <w:color w:val="136EC2"/>
      <w:u w:val="none"/>
    </w:rPr>
  </w:style>
  <w:style w:type="character" w:styleId="9">
    <w:name w:val="annotation reference"/>
    <w:basedOn w:val="7"/>
    <w:unhideWhenUsed/>
    <w:qFormat/>
    <w:uiPriority w:val="99"/>
    <w:rPr>
      <w:sz w:val="21"/>
      <w:szCs w:val="21"/>
    </w:rPr>
  </w:style>
  <w:style w:type="table" w:styleId="11">
    <w:name w:val="Table Grid"/>
    <w:basedOn w:val="10"/>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List Paragraph"/>
    <w:basedOn w:val="1"/>
    <w:qFormat/>
    <w:uiPriority w:val="34"/>
    <w:pPr>
      <w:ind w:firstLine="420" w:firstLineChars="200"/>
    </w:pPr>
  </w:style>
  <w:style w:type="character" w:customStyle="1" w:styleId="13">
    <w:name w:val="页眉 Char"/>
    <w:basedOn w:val="7"/>
    <w:link w:val="5"/>
    <w:semiHidden/>
    <w:qFormat/>
    <w:uiPriority w:val="99"/>
    <w:rPr>
      <w:rFonts w:ascii="Tahoma" w:hAnsi="Tahoma" w:eastAsia="微软雅黑"/>
      <w:kern w:val="0"/>
      <w:sz w:val="18"/>
      <w:szCs w:val="18"/>
    </w:rPr>
  </w:style>
  <w:style w:type="character" w:customStyle="1" w:styleId="14">
    <w:name w:val="页脚 Char"/>
    <w:basedOn w:val="7"/>
    <w:link w:val="4"/>
    <w:semiHidden/>
    <w:qFormat/>
    <w:uiPriority w:val="99"/>
    <w:rPr>
      <w:rFonts w:ascii="Tahoma" w:hAnsi="Tahoma" w:eastAsia="微软雅黑"/>
      <w:kern w:val="0"/>
      <w:sz w:val="18"/>
      <w:szCs w:val="18"/>
    </w:rPr>
  </w:style>
  <w:style w:type="character" w:customStyle="1" w:styleId="15">
    <w:name w:val="批注框文本 Char"/>
    <w:basedOn w:val="7"/>
    <w:link w:val="3"/>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15</Pages>
  <Words>992</Words>
  <Characters>5655</Characters>
  <Lines>47</Lines>
  <Paragraphs>13</Paragraphs>
  <TotalTime>0</TotalTime>
  <ScaleCrop>false</ScaleCrop>
  <LinksUpToDate>false</LinksUpToDate>
  <CharactersWithSpaces>6634</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2018-10-07T02:43:00Z</dcterms:created>
  <dc:creator>丰华网络</dc:creator>
  <cp:lastModifiedBy>Administrator</cp:lastModifiedBy>
  <dcterms:modified xsi:type="dcterms:W3CDTF">2019-05-06T05:41:20Z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