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napToGrid w:val="0"/>
        <w:spacing w:line="520" w:lineRule="exact"/>
        <w:rPr>
          <w:rFonts w:ascii="仿宋" w:hAnsi="仿宋" w:eastAsia="仿宋"/>
          <w:b/>
          <w:sz w:val="30"/>
          <w:szCs w:val="30"/>
        </w:rPr>
      </w:pPr>
      <w:r>
        <w:rPr>
          <w:rFonts w:ascii="仿宋" w:hAnsi="仿宋" w:eastAsia="仿宋"/>
          <w:b/>
          <w:sz w:val="30"/>
          <w:szCs w:val="30"/>
        </w:rPr>
        <w:t xml:space="preserve">附件1： </w:t>
      </w:r>
    </w:p>
    <w:p>
      <w:pPr>
        <w:snapToGrid w:val="0"/>
        <w:spacing w:after="200" w:line="520" w:lineRule="exact"/>
        <w:ind w:firstLine="600"/>
        <w:rPr>
          <w:rFonts w:ascii="仿宋" w:hAnsi="仿宋" w:eastAsia="仿宋"/>
          <w:sz w:val="30"/>
          <w:szCs w:val="30"/>
        </w:rPr>
      </w:pPr>
    </w:p>
    <w:p>
      <w:pPr>
        <w:snapToGrid w:val="0"/>
        <w:spacing w:line="520" w:lineRule="exact"/>
        <w:ind w:firstLine="720"/>
        <w:rPr>
          <w:rFonts w:ascii="仿宋" w:hAnsi="仿宋" w:eastAsia="仿宋"/>
          <w:sz w:val="36"/>
          <w:szCs w:val="36"/>
        </w:rPr>
      </w:pPr>
      <w:r>
        <w:rPr>
          <w:rFonts w:ascii="仿宋" w:hAnsi="仿宋" w:eastAsia="仿宋"/>
          <w:sz w:val="36"/>
          <w:szCs w:val="36"/>
        </w:rPr>
        <w:t xml:space="preserve">2017年度玛纳斯县人大部门决算公开说明 </w:t>
      </w:r>
    </w:p>
    <w:p>
      <w:pPr>
        <w:snapToGrid w:val="0"/>
        <w:spacing w:after="200" w:line="520" w:lineRule="exact"/>
        <w:ind w:firstLine="600"/>
        <w:rPr>
          <w:rFonts w:ascii="仿宋" w:hAnsi="仿宋" w:eastAsia="仿宋"/>
          <w:sz w:val="30"/>
          <w:szCs w:val="30"/>
        </w:rPr>
      </w:pPr>
    </w:p>
    <w:p>
      <w:pPr>
        <w:snapToGrid w:val="0"/>
        <w:spacing w:line="520" w:lineRule="exact"/>
        <w:ind w:firstLine="643"/>
        <w:jc w:val="center"/>
        <w:rPr>
          <w:rFonts w:ascii="仿宋" w:hAnsi="仿宋" w:eastAsia="仿宋"/>
          <w:b/>
          <w:sz w:val="32"/>
          <w:szCs w:val="32"/>
        </w:rPr>
      </w:pPr>
      <w:r>
        <w:rPr>
          <w:rFonts w:ascii="仿宋" w:hAnsi="仿宋" w:eastAsia="仿宋"/>
          <w:b/>
          <w:sz w:val="32"/>
          <w:szCs w:val="32"/>
        </w:rPr>
        <w:t>目  录</w:t>
      </w:r>
    </w:p>
    <w:p>
      <w:pPr>
        <w:snapToGrid w:val="0"/>
        <w:spacing w:after="200" w:line="520" w:lineRule="exact"/>
        <w:ind w:firstLine="600"/>
        <w:rPr>
          <w:rFonts w:ascii="仿宋" w:hAnsi="仿宋" w:eastAsia="仿宋"/>
          <w:sz w:val="30"/>
          <w:szCs w:val="30"/>
        </w:rPr>
      </w:pPr>
    </w:p>
    <w:p>
      <w:pPr>
        <w:snapToGrid w:val="0"/>
        <w:spacing w:line="520" w:lineRule="exact"/>
        <w:ind w:firstLine="602"/>
        <w:rPr>
          <w:rFonts w:ascii="仿宋" w:hAnsi="仿宋" w:eastAsia="仿宋"/>
          <w:b/>
          <w:sz w:val="30"/>
          <w:szCs w:val="30"/>
        </w:rPr>
      </w:pPr>
      <w:r>
        <w:rPr>
          <w:rFonts w:ascii="仿宋" w:hAnsi="仿宋" w:eastAsia="仿宋"/>
          <w:b/>
          <w:sz w:val="30"/>
          <w:szCs w:val="30"/>
        </w:rPr>
        <w:t xml:space="preserve">第一部分 </w:t>
      </w:r>
      <w:r>
        <w:rPr>
          <w:rFonts w:hint="eastAsia" w:ascii="仿宋" w:hAnsi="仿宋" w:eastAsia="仿宋"/>
          <w:b/>
          <w:sz w:val="30"/>
          <w:szCs w:val="30"/>
        </w:rPr>
        <w:t>人大</w:t>
      </w:r>
      <w:r>
        <w:rPr>
          <w:rFonts w:ascii="仿宋" w:hAnsi="仿宋" w:eastAsia="仿宋"/>
          <w:b/>
          <w:sz w:val="30"/>
          <w:szCs w:val="30"/>
        </w:rPr>
        <w:t xml:space="preserve">部门单位概况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一、主要职能、机构设置及人员情况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二、部门决算单位构成 </w:t>
      </w:r>
    </w:p>
    <w:p>
      <w:pPr>
        <w:snapToGrid w:val="0"/>
        <w:spacing w:line="520" w:lineRule="exact"/>
        <w:ind w:firstLine="602"/>
        <w:rPr>
          <w:rFonts w:ascii="仿宋" w:hAnsi="仿宋" w:eastAsia="仿宋"/>
          <w:b/>
          <w:sz w:val="30"/>
          <w:szCs w:val="30"/>
        </w:rPr>
      </w:pPr>
      <w:r>
        <w:rPr>
          <w:rFonts w:ascii="仿宋" w:hAnsi="仿宋" w:eastAsia="仿宋"/>
          <w:b/>
          <w:sz w:val="30"/>
          <w:szCs w:val="30"/>
        </w:rPr>
        <w:t xml:space="preserve">第二部分 部门决算情况说明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一、部门收支总体情况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（一）部门收入支出决算总体情况说明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（二）部门收入总体情况说明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（三）部门支出总体情况说明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二、部门财政拨款收支情况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（一）财政拨款收支总体情况说明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（二）一般公共预算支出决算情况说明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（三）政府性基金预算收支决算情况说明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（四）政府性基金预算支出决算情况说明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三、部门结转结余情况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四、一般公共预算“三公”经费支出情况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五、机关运行经费支出情况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六、政府采购情况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七、其他重要事项的情况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（一）国有资产占用情况说明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（二）国有资产收益征缴情况说明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（三）部门项目支出情况和项目绩效评价情况说明 </w:t>
      </w:r>
    </w:p>
    <w:p>
      <w:pPr>
        <w:snapToGrid w:val="0"/>
        <w:spacing w:line="520" w:lineRule="exact"/>
        <w:ind w:firstLine="602"/>
        <w:rPr>
          <w:rFonts w:ascii="仿宋" w:hAnsi="仿宋" w:eastAsia="仿宋"/>
          <w:b/>
          <w:sz w:val="30"/>
          <w:szCs w:val="30"/>
        </w:rPr>
      </w:pPr>
      <w:r>
        <w:rPr>
          <w:rFonts w:ascii="仿宋" w:hAnsi="仿宋" w:eastAsia="仿宋"/>
          <w:b/>
          <w:sz w:val="30"/>
          <w:szCs w:val="30"/>
        </w:rPr>
        <w:t xml:space="preserve">第三部分 专业名词解释 </w:t>
      </w:r>
    </w:p>
    <w:p>
      <w:pPr>
        <w:snapToGrid w:val="0"/>
        <w:spacing w:line="520" w:lineRule="exact"/>
        <w:ind w:firstLine="602"/>
        <w:rPr>
          <w:rFonts w:ascii="仿宋" w:hAnsi="仿宋" w:eastAsia="仿宋"/>
          <w:b/>
          <w:sz w:val="30"/>
          <w:szCs w:val="30"/>
        </w:rPr>
      </w:pPr>
      <w:r>
        <w:rPr>
          <w:rFonts w:ascii="仿宋" w:hAnsi="仿宋" w:eastAsia="仿宋"/>
          <w:b/>
          <w:sz w:val="30"/>
          <w:szCs w:val="30"/>
        </w:rPr>
        <w:t xml:space="preserve">第四部分 部门决算报表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一、报表封面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二、部门收支总体情况（11张）：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《收入支出决算总表》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《收入决算表》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《项目收入支出决算表》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《行政事业类项目收入支出决算表》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《基本建设类项目收入支出决算表》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《基本支出决算明细表》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《项目支出决算明细表》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《财政专户管理资金收入支出决算表》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三、财政拨款收支情况（9张）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《财政拨款收入支出决算总表》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《一般公共预算财政拨款收入支出决算表》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《一般公共预算财政拨款支出决算明细表》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《一般公共预算财政拨款基本支出决算明细表》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《一般公共预算财政拨款项目支出决算明细表》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《政府性基金预算财政拨款收入支出决算表》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《政府性基金预算财政拨款支出决算明细表》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《政府性基金预算财政拨款基本支出决算明细表》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《政府性基金预算财政拨款项目支出决算明细表》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四、单位资产负责情况（1张）：《资产负债简表》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五、部门决算附表（5张）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《资产情况表》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《国有资产收益征缴情况表》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《基本数字表》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《机构人员情况表》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《非税收入征缴情况表》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六、填报说明附表（2张）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《部门决算相关信息统计表》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《政府采购情况表》 </w:t>
      </w:r>
    </w:p>
    <w:p>
      <w:pPr>
        <w:snapToGrid w:val="0"/>
        <w:spacing w:line="520" w:lineRule="exact"/>
        <w:ind w:firstLine="600"/>
        <w:rPr>
          <w:rFonts w:ascii="仿宋" w:hAnsi="仿宋" w:eastAsia="仿宋"/>
          <w:sz w:val="30"/>
          <w:szCs w:val="30"/>
        </w:rPr>
      </w:pPr>
      <w:r>
        <w:rPr>
          <w:rFonts w:ascii="仿宋" w:hAnsi="仿宋" w:eastAsia="仿宋"/>
          <w:sz w:val="30"/>
          <w:szCs w:val="30"/>
        </w:rPr>
        <w:t xml:space="preserve">七、“三公”经费支出情况(1张) </w:t>
      </w:r>
    </w:p>
    <w:p>
      <w:pPr>
        <w:snapToGrid w:val="0"/>
        <w:spacing w:line="520" w:lineRule="exact"/>
        <w:ind w:firstLine="600"/>
        <w:rPr>
          <w:rFonts w:ascii="仿宋" w:hAnsi="仿宋" w:eastAsia="仿宋"/>
          <w:sz w:val="30"/>
          <w:szCs w:val="30"/>
        </w:rPr>
      </w:pPr>
      <w:r>
        <w:rPr>
          <w:rFonts w:ascii="仿宋" w:hAnsi="仿宋" w:eastAsia="仿宋"/>
          <w:sz w:val="30"/>
          <w:szCs w:val="30"/>
        </w:rPr>
        <w:t>《</w:t>
      </w:r>
      <w:r>
        <w:rPr>
          <w:rFonts w:hint="eastAsia" w:ascii="仿宋" w:hAnsi="仿宋" w:eastAsia="仿宋"/>
          <w:sz w:val="30"/>
          <w:szCs w:val="30"/>
        </w:rPr>
        <w:t>2017</w:t>
      </w:r>
      <w:r>
        <w:rPr>
          <w:rFonts w:ascii="仿宋" w:hAnsi="仿宋" w:eastAsia="仿宋"/>
          <w:sz w:val="30"/>
          <w:szCs w:val="30"/>
        </w:rPr>
        <w:t xml:space="preserve">年度一般公共预算“三公”经费支出情况表》 </w:t>
      </w: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after="200" w:line="520" w:lineRule="exact"/>
        <w:ind w:firstLine="600"/>
        <w:rPr>
          <w:rFonts w:ascii="仿宋" w:hAnsi="仿宋" w:eastAsia="仿宋"/>
          <w:sz w:val="30"/>
          <w:szCs w:val="30"/>
        </w:rPr>
      </w:pPr>
    </w:p>
    <w:p>
      <w:pPr>
        <w:snapToGrid w:val="0"/>
        <w:spacing w:line="520" w:lineRule="exact"/>
        <w:jc w:val="center"/>
        <w:rPr>
          <w:rFonts w:ascii="宋体" w:hAnsi="宋体" w:eastAsia="宋体"/>
          <w:b/>
          <w:sz w:val="28"/>
          <w:szCs w:val="28"/>
        </w:rPr>
      </w:pPr>
    </w:p>
    <w:p>
      <w:pPr>
        <w:snapToGrid w:val="0"/>
        <w:spacing w:line="520" w:lineRule="exact"/>
        <w:jc w:val="center"/>
        <w:rPr>
          <w:rFonts w:ascii="宋体" w:hAnsi="宋体" w:eastAsia="宋体"/>
          <w:b/>
          <w:sz w:val="28"/>
          <w:szCs w:val="28"/>
        </w:rPr>
      </w:pPr>
      <w:r>
        <w:rPr>
          <w:rFonts w:ascii="宋体" w:hAnsi="宋体" w:eastAsia="宋体"/>
          <w:b/>
          <w:sz w:val="28"/>
          <w:szCs w:val="28"/>
        </w:rPr>
        <w:t>第一部分 部门单位概况</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一、部门单位基本情况</w:t>
      </w:r>
    </w:p>
    <w:p>
      <w:pPr>
        <w:spacing w:line="520" w:lineRule="exact"/>
        <w:ind w:firstLine="627"/>
        <w:jc w:val="both"/>
        <w:rPr>
          <w:rFonts w:ascii="仿宋" w:hAnsi="仿宋" w:eastAsia="仿宋" w:cs="仿宋"/>
          <w:sz w:val="30"/>
          <w:szCs w:val="30"/>
        </w:rPr>
      </w:pPr>
      <w:r>
        <w:rPr>
          <w:rFonts w:hint="eastAsia" w:ascii="仿宋" w:hAnsi="仿宋" w:eastAsia="仿宋" w:cs="仿宋"/>
          <w:sz w:val="30"/>
          <w:szCs w:val="30"/>
        </w:rPr>
        <w:t>（一）主要职能</w:t>
      </w:r>
    </w:p>
    <w:p>
      <w:pPr>
        <w:spacing w:line="520" w:lineRule="exact"/>
        <w:ind w:firstLine="640"/>
        <w:jc w:val="both"/>
        <w:rPr>
          <w:rFonts w:ascii="仿宋" w:hAnsi="仿宋" w:eastAsia="仿宋" w:cs="仿宋"/>
          <w:sz w:val="30"/>
          <w:szCs w:val="30"/>
        </w:rPr>
      </w:pPr>
      <w:r>
        <w:rPr>
          <w:rFonts w:hint="eastAsia" w:ascii="仿宋" w:hAnsi="仿宋" w:eastAsia="仿宋" w:cs="仿宋"/>
          <w:sz w:val="30"/>
          <w:szCs w:val="30"/>
        </w:rPr>
        <w:t>按照《宪法》和《地方组织法》规定，县人大常委会是人民代表大会的常设机构，是地方国家权力机关，代表人民当家作主，管理国家事务。其主要任务和职责是：</w:t>
      </w:r>
      <w:r>
        <w:rPr>
          <w:rFonts w:hint="eastAsia" w:ascii="仿宋" w:hAnsi="仿宋" w:eastAsia="仿宋" w:cs="仿宋"/>
          <w:sz w:val="30"/>
          <w:szCs w:val="30"/>
        </w:rPr>
        <w:br w:type="textWrapping" w:clear="all"/>
      </w:r>
      <w:r>
        <w:rPr>
          <w:rFonts w:hint="eastAsia" w:ascii="仿宋" w:hAnsi="仿宋" w:eastAsia="仿宋" w:cs="仿宋"/>
          <w:sz w:val="30"/>
          <w:szCs w:val="30"/>
        </w:rPr>
        <w:t>　　1、保证宪法、法律、行政法规和上级人民代表大会及其常委会决议在全县的遵守和执行；</w:t>
      </w:r>
      <w:r>
        <w:rPr>
          <w:rFonts w:hint="eastAsia" w:ascii="仿宋" w:hAnsi="仿宋" w:eastAsia="仿宋" w:cs="仿宋"/>
          <w:sz w:val="30"/>
          <w:szCs w:val="30"/>
        </w:rPr>
        <w:br w:type="textWrapping" w:clear="all"/>
      </w:r>
      <w:r>
        <w:rPr>
          <w:rFonts w:hint="eastAsia" w:ascii="仿宋" w:hAnsi="仿宋" w:eastAsia="仿宋" w:cs="仿宋"/>
          <w:sz w:val="30"/>
          <w:szCs w:val="30"/>
        </w:rPr>
        <w:t>　　2、主持县人民代表大会代表的选举；</w:t>
      </w:r>
      <w:r>
        <w:rPr>
          <w:rFonts w:hint="eastAsia" w:ascii="仿宋" w:hAnsi="仿宋" w:eastAsia="仿宋" w:cs="仿宋"/>
          <w:sz w:val="30"/>
          <w:szCs w:val="30"/>
        </w:rPr>
        <w:br w:type="textWrapping" w:clear="all"/>
      </w:r>
      <w:r>
        <w:rPr>
          <w:rFonts w:hint="eastAsia" w:ascii="仿宋" w:hAnsi="仿宋" w:eastAsia="仿宋" w:cs="仿宋"/>
          <w:sz w:val="30"/>
          <w:szCs w:val="30"/>
        </w:rPr>
        <w:t>　　3、召集县人民代表大会会议；</w:t>
      </w:r>
      <w:r>
        <w:rPr>
          <w:rFonts w:hint="eastAsia" w:ascii="仿宋" w:hAnsi="仿宋" w:eastAsia="仿宋" w:cs="仿宋"/>
          <w:sz w:val="30"/>
          <w:szCs w:val="30"/>
        </w:rPr>
        <w:br w:type="textWrapping" w:clear="all"/>
      </w:r>
      <w:r>
        <w:rPr>
          <w:rFonts w:hint="eastAsia" w:ascii="仿宋" w:hAnsi="仿宋" w:eastAsia="仿宋" w:cs="仿宋"/>
          <w:sz w:val="30"/>
          <w:szCs w:val="30"/>
        </w:rPr>
        <w:t>　　4、讨论、决定全县的政治、经济、教育、科学、文化、卫生、环境和资源保护、民政、民族等工作重大事项；</w:t>
      </w:r>
      <w:r>
        <w:rPr>
          <w:rFonts w:hint="eastAsia" w:ascii="仿宋" w:hAnsi="仿宋" w:eastAsia="仿宋" w:cs="仿宋"/>
          <w:sz w:val="30"/>
          <w:szCs w:val="30"/>
        </w:rPr>
        <w:br w:type="textWrapping" w:clear="all"/>
      </w:r>
      <w:r>
        <w:rPr>
          <w:rFonts w:hint="eastAsia" w:ascii="仿宋" w:hAnsi="仿宋" w:eastAsia="仿宋" w:cs="仿宋"/>
          <w:sz w:val="30"/>
          <w:szCs w:val="30"/>
        </w:rPr>
        <w:t>　　5、根据县人民政府建议，决定对全县的国民经济和社会发展计划、预算的部份变更；</w:t>
      </w:r>
      <w:r>
        <w:rPr>
          <w:rFonts w:hint="eastAsia" w:ascii="仿宋" w:hAnsi="仿宋" w:eastAsia="仿宋" w:cs="仿宋"/>
          <w:sz w:val="30"/>
          <w:szCs w:val="30"/>
        </w:rPr>
        <w:br w:type="textWrapping" w:clear="all"/>
      </w:r>
      <w:r>
        <w:rPr>
          <w:rFonts w:hint="eastAsia" w:ascii="仿宋" w:hAnsi="仿宋" w:eastAsia="仿宋" w:cs="仿宋"/>
          <w:sz w:val="30"/>
          <w:szCs w:val="30"/>
        </w:rPr>
        <w:t>　　6、监督县人民政府、人民法院和人民检察院的工作，联系县人民代表大会代表，受理人民群众对上述机关和国家工作人员的申诉和意见；</w:t>
      </w:r>
      <w:r>
        <w:rPr>
          <w:rFonts w:hint="eastAsia" w:ascii="仿宋" w:hAnsi="仿宋" w:eastAsia="仿宋" w:cs="仿宋"/>
          <w:sz w:val="30"/>
          <w:szCs w:val="30"/>
        </w:rPr>
        <w:br w:type="textWrapping" w:clear="all"/>
      </w:r>
      <w:r>
        <w:rPr>
          <w:rFonts w:hint="eastAsia" w:ascii="仿宋" w:hAnsi="仿宋" w:eastAsia="仿宋" w:cs="仿宋"/>
          <w:sz w:val="30"/>
          <w:szCs w:val="30"/>
        </w:rPr>
        <w:t>　　7、撤销县人民政府不适当的决定和命令；</w:t>
      </w:r>
      <w:r>
        <w:rPr>
          <w:rFonts w:hint="eastAsia" w:ascii="仿宋" w:hAnsi="仿宋" w:eastAsia="仿宋" w:cs="仿宋"/>
          <w:sz w:val="30"/>
          <w:szCs w:val="30"/>
        </w:rPr>
        <w:br w:type="textWrapping" w:clear="all"/>
      </w:r>
      <w:r>
        <w:rPr>
          <w:rFonts w:hint="eastAsia" w:ascii="仿宋" w:hAnsi="仿宋" w:eastAsia="仿宋" w:cs="仿宋"/>
          <w:sz w:val="30"/>
          <w:szCs w:val="30"/>
        </w:rPr>
        <w:t>　　8、撤销乡（镇）人民代表大会及其主席团的不适当的决议；</w:t>
      </w:r>
      <w:r>
        <w:rPr>
          <w:rFonts w:hint="eastAsia" w:ascii="仿宋" w:hAnsi="仿宋" w:eastAsia="仿宋" w:cs="仿宋"/>
          <w:sz w:val="30"/>
          <w:szCs w:val="30"/>
        </w:rPr>
        <w:br w:type="textWrapping" w:clear="all"/>
      </w:r>
      <w:r>
        <w:rPr>
          <w:rFonts w:hint="eastAsia" w:ascii="仿宋" w:hAnsi="仿宋" w:eastAsia="仿宋" w:cs="仿宋"/>
          <w:sz w:val="30"/>
          <w:szCs w:val="30"/>
        </w:rPr>
        <w:t>　　9、在县人民代表大会闭会期间，决定副县长的个别任免；在县长和县人民法院院长、县人民检察院检察长因故不能担任职务的时候，从县人民政府、县人民法院和县人民检察院副职领导人员中决定代理的人选；决定代理检察长，须报州人民检察院和州人民代表大会常务委员会备案；</w:t>
      </w:r>
      <w:r>
        <w:rPr>
          <w:rFonts w:hint="eastAsia" w:ascii="仿宋" w:hAnsi="仿宋" w:eastAsia="仿宋" w:cs="仿宋"/>
          <w:sz w:val="30"/>
          <w:szCs w:val="30"/>
        </w:rPr>
        <w:br w:type="textWrapping" w:clear="all"/>
      </w:r>
      <w:r>
        <w:rPr>
          <w:rFonts w:hint="eastAsia" w:ascii="仿宋" w:hAnsi="仿宋" w:eastAsia="仿宋" w:cs="仿宋"/>
          <w:sz w:val="30"/>
          <w:szCs w:val="30"/>
        </w:rPr>
        <w:t>　　10、根据县长的提名，决定县人民政府局长、主任的任免，报上级人民政府备案； </w:t>
      </w:r>
      <w:r>
        <w:rPr>
          <w:rFonts w:hint="eastAsia" w:ascii="仿宋" w:hAnsi="仿宋" w:eastAsia="仿宋" w:cs="仿宋"/>
          <w:sz w:val="30"/>
          <w:szCs w:val="30"/>
        </w:rPr>
        <w:br w:type="textWrapping" w:clear="all"/>
      </w:r>
      <w:r>
        <w:rPr>
          <w:rFonts w:hint="eastAsia" w:ascii="仿宋" w:hAnsi="仿宋" w:eastAsia="仿宋" w:cs="仿宋"/>
          <w:sz w:val="30"/>
          <w:szCs w:val="30"/>
        </w:rPr>
        <w:t>　　11、按照人民法院组织法和人民检察院组织法定的规定，任免县人民法院副院长、庭长、副庭长、审判委员会委员、审判员，任免县人民检察院副检察长，检察委员会委员、检察员。</w:t>
      </w:r>
    </w:p>
    <w:p>
      <w:pPr>
        <w:pStyle w:val="24"/>
        <w:keepNext w:val="0"/>
        <w:keepLines w:val="0"/>
        <w:widowControl/>
        <w:suppressLineNumbers w:val="0"/>
        <w:spacing w:line="448" w:lineRule="atLeast"/>
        <w:ind w:left="0" w:firstLine="472"/>
        <w:rPr>
          <w:rFonts w:hint="eastAsia" w:ascii="仿宋" w:hAnsi="仿宋" w:eastAsia="仿宋" w:cs="仿宋"/>
          <w:snapToGrid/>
          <w:kern w:val="0"/>
          <w:sz w:val="30"/>
          <w:szCs w:val="30"/>
          <w:lang w:val="en-US" w:eastAsia="zh-CN" w:bidi="ar-SA"/>
        </w:rPr>
      </w:pPr>
      <w:r>
        <w:rPr>
          <w:rFonts w:hint="eastAsia" w:ascii="仿宋" w:hAnsi="仿宋" w:eastAsia="仿宋" w:cs="仿宋"/>
          <w:snapToGrid/>
          <w:kern w:val="0"/>
          <w:sz w:val="30"/>
          <w:szCs w:val="30"/>
          <w:lang w:val="en-US" w:eastAsia="zh-CN" w:bidi="ar-SA"/>
        </w:rPr>
        <w:t>（二） 机构设置情况、年末编制情况、实有人数情况</w:t>
      </w:r>
    </w:p>
    <w:p>
      <w:pPr>
        <w:spacing w:line="520" w:lineRule="exact"/>
        <w:ind w:firstLine="560"/>
        <w:jc w:val="both"/>
        <w:rPr>
          <w:rFonts w:ascii="仿宋" w:hAnsi="仿宋" w:eastAsia="仿宋" w:cs="仿宋"/>
          <w:sz w:val="30"/>
          <w:szCs w:val="30"/>
        </w:rPr>
      </w:pPr>
      <w:r>
        <w:rPr>
          <w:rFonts w:hint="eastAsia" w:ascii="仿宋" w:hAnsi="仿宋" w:eastAsia="仿宋" w:cs="仿宋"/>
          <w:sz w:val="30"/>
          <w:szCs w:val="30"/>
          <w:lang w:val="en-US" w:eastAsia="zh-CN"/>
        </w:rPr>
        <w:t>1、机构情况：玛纳斯县财政局独立核算机构1个，独立编制机构。</w:t>
      </w:r>
      <w:r>
        <w:rPr>
          <w:rFonts w:hint="eastAsia" w:ascii="仿宋" w:hAnsi="仿宋" w:eastAsia="仿宋" w:cs="仿宋"/>
          <w:sz w:val="30"/>
          <w:szCs w:val="30"/>
        </w:rPr>
        <w:t>玛纳斯县人大常委会组织机构的设置有办公室和四个工作委员会，即：县人大常委会办公室、法制工作委员会、代表人事工作委员会、财政经济工作委员会、教科文卫工作委员会。</w:t>
      </w:r>
    </w:p>
    <w:p>
      <w:pPr>
        <w:spacing w:line="520" w:lineRule="exact"/>
        <w:ind w:firstLine="640"/>
        <w:jc w:val="both"/>
        <w:rPr>
          <w:rFonts w:ascii="仿宋" w:hAnsi="仿宋" w:eastAsia="仿宋" w:cs="仿宋"/>
          <w:sz w:val="30"/>
          <w:szCs w:val="30"/>
        </w:rPr>
      </w:pPr>
      <w:r>
        <w:rPr>
          <w:rFonts w:hint="eastAsia" w:ascii="仿宋" w:hAnsi="仿宋" w:eastAsia="仿宋" w:cs="仿宋"/>
          <w:sz w:val="30"/>
          <w:szCs w:val="30"/>
          <w:lang w:val="en-US" w:eastAsia="zh-CN"/>
        </w:rPr>
        <w:t>2、人员情况：</w:t>
      </w:r>
      <w:r>
        <w:rPr>
          <w:rFonts w:hint="eastAsia" w:ascii="仿宋" w:hAnsi="仿宋" w:eastAsia="仿宋" w:cs="仿宋"/>
          <w:sz w:val="30"/>
          <w:szCs w:val="30"/>
        </w:rPr>
        <w:t>县人大属行政机关，财政全额拨款单位，核定编制数为19人，自2003年机构改革以来没有调整过。2017年末县人大实际在职人数20人，其中：县处级7人、科级及以下11人，工勤人员2人；现有离休人员1人，退休22人已转入社保。</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二、部门决算单位构成。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从决算单位构成看，玛纳斯县人大没有下属部门，部门决算只包括部门本级决算。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纳入玛纳斯县人大2017年部门决算编制范围的单位名单见下表： </w:t>
      </w:r>
    </w:p>
    <w:tbl>
      <w:tblPr>
        <w:tblStyle w:val="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378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95"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3786"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95"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3786"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玛纳斯县人大单位本级</w:t>
            </w:r>
          </w:p>
        </w:tc>
        <w:tc>
          <w:tcPr>
            <w:tcW w:w="2841" w:type="dxa"/>
          </w:tcPr>
          <w:p>
            <w:pPr>
              <w:keepNext w:val="0"/>
              <w:keepLines w:val="0"/>
              <w:widowControl w:val="0"/>
              <w:suppressLineNumbers w:val="0"/>
              <w:spacing w:before="0" w:beforeAutospacing="0" w:after="0" w:afterAutospacing="0" w:line="220" w:lineRule="atLeast"/>
              <w:ind w:left="0" w:right="0"/>
              <w:jc w:val="center"/>
              <w:rPr>
                <w:rFonts w:hint="default" w:ascii="仿宋" w:hAnsi="仿宋" w:eastAsia="仿宋" w:cs="仿宋"/>
                <w:sz w:val="30"/>
                <w:szCs w:val="30"/>
              </w:rPr>
            </w:pPr>
          </w:p>
        </w:tc>
      </w:tr>
    </w:tbl>
    <w:p>
      <w:pPr>
        <w:snapToGrid w:val="0"/>
        <w:spacing w:line="520" w:lineRule="exact"/>
        <w:ind w:firstLine="600"/>
        <w:rPr>
          <w:rFonts w:ascii="仿宋" w:hAnsi="仿宋" w:eastAsia="仿宋" w:cs="仿宋"/>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rPr>
          <w:rFonts w:ascii="仿宋" w:hAnsi="仿宋" w:eastAsia="仿宋" w:cs="仿宋"/>
          <w:b/>
          <w:sz w:val="30"/>
          <w:szCs w:val="30"/>
        </w:rPr>
      </w:pPr>
    </w:p>
    <w:p>
      <w:pPr>
        <w:snapToGrid w:val="0"/>
        <w:spacing w:line="520" w:lineRule="exact"/>
        <w:jc w:val="center"/>
        <w:rPr>
          <w:rFonts w:ascii="仿宋" w:hAnsi="仿宋" w:eastAsia="仿宋" w:cs="仿宋"/>
          <w:b/>
          <w:sz w:val="30"/>
          <w:szCs w:val="30"/>
        </w:rPr>
      </w:pPr>
      <w:r>
        <w:rPr>
          <w:rFonts w:hint="eastAsia" w:ascii="仿宋" w:hAnsi="仿宋" w:eastAsia="仿宋" w:cs="仿宋"/>
          <w:b/>
          <w:sz w:val="30"/>
          <w:szCs w:val="30"/>
        </w:rPr>
        <w:t>第二部分 部门决算情况说明</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一、部门收支总体情况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2017年度收入388.7万元,与上年相比，减少131万元，降低25.2%，增减变化主要原因是：财政拨款收入减少，2016年召开了三次人民代表大会，即十六届人民代表大会第六次会议、十七届人民代表大会第一次会议、十七届人民代表大会第二次会议，还有换届选举工作，而2017年没有召开人代会，只是正常的机关运行经费和工资福利支出。</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支出400.2万元,与上年相比，减少108.1万元，降低21.27%，结余0万元，与上年相比，减少11.4万元，降低100%。增减变化主要原因是：2016年召开了三次人民代表大会，即十六届人民代表大会第六次会议、十七届人民代表大会第一次会议、十七届人民代表大会第二次会议，还有换届选举工作，而2017年没有召开人代会，只是正常的机关运行经费和工资福利支出，所以2017年财政拨款收入减少，支出也相应减少。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与预算情况相比</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2017年预算收入339.60万元，决算收入较预算增加49.1万元；预算支出合计339.60万元，决算支出较预算增加60.6万元，增减变化主要原因是：主要是两个退休干部去世，追加了抚恤金；其次是州财政补助专项经费增加。</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 本年收入合计388.7万元，其中：财政拨款收入388.7万元，占100%；其他收入0.019万元，占0.0001%。财政拨款收入</w:t>
      </w:r>
      <w:r>
        <w:rPr>
          <w:rFonts w:hint="eastAsia" w:ascii="仿宋" w:hAnsi="仿宋" w:eastAsia="仿宋" w:cs="仿宋"/>
          <w:color w:val="auto"/>
          <w:sz w:val="30"/>
          <w:szCs w:val="30"/>
        </w:rPr>
        <w:t>与上年相比，减少131万元，降低25.2%，上级补助收入0元，占0%；事业收入0万元，占0%；经营收入0万元，占0%；附属单位缴款0万元，占0%；其他收入0万元，占0%。增减变化</w:t>
      </w:r>
      <w:r>
        <w:rPr>
          <w:rFonts w:hint="eastAsia" w:ascii="仿宋" w:hAnsi="仿宋" w:eastAsia="仿宋" w:cs="仿宋"/>
          <w:sz w:val="30"/>
          <w:szCs w:val="30"/>
        </w:rPr>
        <w:t>的主要原因是：财政拨款收入减少，2017年较2016年减少了三次人代会经费及换届选举经费。</w:t>
      </w:r>
    </w:p>
    <w:p>
      <w:pPr>
        <w:snapToGrid w:val="0"/>
        <w:spacing w:line="520" w:lineRule="exact"/>
        <w:ind w:firstLine="640"/>
        <w:jc w:val="both"/>
        <w:rPr>
          <w:rFonts w:ascii="仿宋" w:hAnsi="仿宋" w:eastAsia="仿宋" w:cs="仿宋"/>
          <w:sz w:val="30"/>
          <w:szCs w:val="30"/>
        </w:rPr>
      </w:pPr>
      <w:r>
        <w:rPr>
          <w:rFonts w:hint="eastAsia" w:ascii="仿宋" w:hAnsi="仿宋" w:eastAsia="仿宋" w:cs="仿宋"/>
          <w:sz w:val="30"/>
          <w:szCs w:val="30"/>
        </w:rPr>
        <w:t>按照收入款项分析，其中：2010101人大行政运行收入339.5万元，占总收入的87.35%，较上年减少88万元；2010104人大会议经费为0，2016年会议经费拨付了77万元；2010199其他人大事务支出收入5万元，占总收入的1.28％，与上年持平；2080505机关养老保险经费收入34.16万元，占总收入的8.78%，较上年增加了24万元，增加了2.4倍，原因是2016年10月工资改革，基本工资标准大幅提高，社保缴费基数相应大幅提高，社保缴费拨款收入也相应大幅提高；2019999其他一般公共服务支出10万元，占总收入的2.5%。</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w:t>
      </w:r>
      <w:r>
        <w:rPr>
          <w:rFonts w:hint="eastAsia" w:ascii="仿宋" w:hAnsi="仿宋" w:eastAsia="仿宋" w:cs="仿宋"/>
          <w:sz w:val="30"/>
          <w:szCs w:val="30"/>
        </w:rPr>
        <w:t>2017年，县人大年初预算收入339.6万元，实际执行总收入为388.7万元；调增49.11万元，</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 xml:space="preserve">两个退休干部去世，追加了抚恤金38万；其次是州财政补助专项经费10万元。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本年支出合计400.1万元，较上年下降了20%，较年初预算增加了60.5万元，增加了17.8%。其中：基本支出382.5万元，占95.6%，较上年减少了46.4万元，同比下降了11.12%，下降的原因是会议项目减少；项目支出17.67万元，占4.41%。，较上年减少了61.63万元，原因是本年度会议经费支出减少。按照支出结构分析，其中:工资福利支出271.97万元，商品服务支出47.85万元，对个人和家庭的补助支出80.04万元。</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lang w:val="en-US" w:eastAsia="zh-CN"/>
        </w:rPr>
        <w:t>2017年度</w:t>
      </w:r>
      <w:r>
        <w:rPr>
          <w:rFonts w:hint="eastAsia" w:ascii="仿宋" w:hAnsi="仿宋" w:eastAsia="仿宋" w:cs="仿宋"/>
          <w:sz w:val="30"/>
          <w:szCs w:val="30"/>
        </w:rPr>
        <w:t>预算支出合计339.60万元，决算支出较预算增加60.6万元，，决算较预算增加42.9万元，增减变化主要原因是：主要是两个退休干部去世，追加了抚恤金，上级经费增加。</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2017年度财政拨款收入388.7万元，与上年相比，减少131万元，降低25.2%。增减变化的主要原因是：2016年召开了三次人民代表大会，即十六届人民代表大会第六次会议、十七届人民代表大会第一次会议、十七届人民代表大会第二次会议，还有换届选举工作，而2017年没有召开人代会，只是正常的机关运行经费和工资福利支出，所以2017年的财政拨款收入较2016年大幅减少。</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财政拨款支出400.1万元，与上年相比，减少108.1万元，降低21.27%。其中：基本支出382.5万元，项目支出17.67万元。增减变化的原因同上。财政拨款结转结余0万元，与上年相比，减少11.44万元，降低100%。增减变化的主要原因是：2016年结余了11.44万元，其中基本支出结余8.77万元，项目支出结余2.67万元，2017年将结余的11.44万元全部支出为0。</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lang w:val="en-US" w:eastAsia="zh-CN"/>
        </w:rPr>
        <w:t>2017年度</w:t>
      </w:r>
      <w:r>
        <w:rPr>
          <w:rFonts w:hint="eastAsia" w:ascii="仿宋" w:hAnsi="仿宋" w:eastAsia="仿宋" w:cs="仿宋"/>
          <w:sz w:val="30"/>
          <w:szCs w:val="30"/>
        </w:rPr>
        <w:t>财政拨款收入339.60万元，决算较预算增加49.1万元，增长14.46%</w:t>
      </w:r>
      <w:r>
        <w:rPr>
          <w:rFonts w:hint="eastAsia" w:ascii="仿宋" w:hAnsi="仿宋" w:eastAsia="仿宋" w:cs="仿宋"/>
          <w:sz w:val="30"/>
          <w:szCs w:val="30"/>
          <w:lang w:eastAsia="zh-CN"/>
        </w:rPr>
        <w:t>。</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财政拨款支出339.60万元，预算基本支出339.60万元，决算较预算增加60.5万元，增长17.82%。增减变化主要原因是：两个退休干部去世，追加了抚恤金，上级经费增加。</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其他有关说明内容。无</w:t>
      </w:r>
    </w:p>
    <w:p>
      <w:pPr>
        <w:snapToGrid w:val="0"/>
        <w:spacing w:line="520" w:lineRule="exact"/>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2017年度一般公共预算财政拨款支出400.1万元。与上年相比，减少108.1万元，降低21.27%。增减变化的主要原因是</w:t>
      </w:r>
      <w:r>
        <w:rPr>
          <w:rFonts w:hint="eastAsia" w:ascii="仿宋" w:hAnsi="仿宋" w:eastAsia="仿宋" w:cs="仿宋"/>
          <w:sz w:val="30"/>
          <w:szCs w:val="30"/>
          <w:lang w:eastAsia="zh-CN"/>
        </w:rPr>
        <w:t>：</w:t>
      </w:r>
      <w:r>
        <w:rPr>
          <w:rFonts w:hint="eastAsia" w:ascii="仿宋" w:hAnsi="仿宋" w:eastAsia="仿宋" w:cs="仿宋"/>
          <w:sz w:val="30"/>
          <w:szCs w:val="30"/>
        </w:rPr>
        <w:t>2016年召开了三次人民代表大会，即十六届人民代表大会第六次会议、十七届人民代表大会第一次会议、十七届人民代表大会第二次会议，还有换届选举工作，而2017年没有召开人代会，只是正常的机关运行经费和工资福利支出，所以2017年财政拨款收入减少，支出也相应减少。</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其中：按功能分类科目</w:t>
      </w:r>
      <w:r>
        <w:rPr>
          <w:rFonts w:hint="eastAsia" w:ascii="仿宋" w:hAnsi="仿宋" w:eastAsia="仿宋" w:cs="仿宋"/>
          <w:sz w:val="30"/>
          <w:szCs w:val="30"/>
          <w:lang w:eastAsia="zh-CN"/>
        </w:rPr>
        <w:t>：一般公共服务支出</w:t>
      </w:r>
      <w:r>
        <w:rPr>
          <w:rFonts w:hint="eastAsia" w:ascii="仿宋" w:hAnsi="仿宋" w:eastAsia="仿宋" w:cs="仿宋"/>
          <w:sz w:val="30"/>
          <w:szCs w:val="30"/>
          <w:lang w:val="en-US" w:eastAsia="zh-CN"/>
        </w:rPr>
        <w:t>365.94万元，其中：</w:t>
      </w:r>
      <w:r>
        <w:rPr>
          <w:rFonts w:hint="eastAsia" w:ascii="仿宋" w:hAnsi="仿宋" w:eastAsia="仿宋" w:cs="仿宋"/>
          <w:sz w:val="30"/>
          <w:szCs w:val="30"/>
        </w:rPr>
        <w:t>2010101人大行政运行支出348.32万元</w:t>
      </w:r>
      <w:r>
        <w:rPr>
          <w:rFonts w:hint="eastAsia" w:ascii="仿宋" w:hAnsi="仿宋" w:eastAsia="仿宋" w:cs="仿宋"/>
          <w:sz w:val="30"/>
          <w:szCs w:val="30"/>
          <w:lang w:eastAsia="zh-CN"/>
        </w:rPr>
        <w:t>；</w:t>
      </w:r>
      <w:r>
        <w:rPr>
          <w:rFonts w:hint="eastAsia" w:ascii="仿宋" w:hAnsi="仿宋" w:eastAsia="仿宋" w:cs="仿宋"/>
          <w:sz w:val="30"/>
          <w:szCs w:val="30"/>
        </w:rPr>
        <w:t>2010104人大会议支出2.64万元</w:t>
      </w:r>
      <w:r>
        <w:rPr>
          <w:rFonts w:hint="eastAsia" w:ascii="仿宋" w:hAnsi="仿宋" w:eastAsia="仿宋" w:cs="仿宋"/>
          <w:sz w:val="30"/>
          <w:szCs w:val="30"/>
          <w:lang w:eastAsia="zh-CN"/>
        </w:rPr>
        <w:t>；</w:t>
      </w:r>
      <w:r>
        <w:rPr>
          <w:rFonts w:hint="eastAsia" w:ascii="仿宋" w:hAnsi="仿宋" w:eastAsia="仿宋" w:cs="仿宋"/>
          <w:sz w:val="30"/>
          <w:szCs w:val="30"/>
        </w:rPr>
        <w:t>2010199其他人大事务支出5万元</w:t>
      </w:r>
      <w:r>
        <w:rPr>
          <w:rFonts w:hint="eastAsia" w:ascii="仿宋" w:hAnsi="仿宋" w:eastAsia="仿宋" w:cs="仿宋"/>
          <w:sz w:val="30"/>
          <w:szCs w:val="30"/>
          <w:lang w:eastAsia="zh-CN"/>
        </w:rPr>
        <w:t>；</w:t>
      </w:r>
      <w:r>
        <w:rPr>
          <w:rFonts w:hint="eastAsia" w:ascii="仿宋" w:hAnsi="仿宋" w:eastAsia="仿宋" w:cs="仿宋"/>
          <w:sz w:val="30"/>
          <w:szCs w:val="30"/>
        </w:rPr>
        <w:t>2019999其他一般公共服务支出10万元</w:t>
      </w:r>
      <w:r>
        <w:rPr>
          <w:rFonts w:hint="eastAsia" w:ascii="仿宋" w:hAnsi="仿宋" w:eastAsia="仿宋" w:cs="仿宋"/>
          <w:sz w:val="30"/>
          <w:szCs w:val="30"/>
          <w:lang w:eastAsia="zh-CN"/>
        </w:rPr>
        <w:t>；社会保障和就业支出</w:t>
      </w:r>
      <w:r>
        <w:rPr>
          <w:rFonts w:hint="eastAsia" w:ascii="仿宋" w:hAnsi="仿宋" w:eastAsia="仿宋" w:cs="仿宋"/>
          <w:sz w:val="30"/>
          <w:szCs w:val="30"/>
        </w:rPr>
        <w:t>2080505机关事业养老保险缴费支出34.16万元。</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按经济分类科目</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工资福利支出271.97万元</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商品服务支出47.85万元</w:t>
      </w:r>
      <w:r>
        <w:rPr>
          <w:rFonts w:hint="eastAsia" w:ascii="仿宋" w:hAnsi="仿宋" w:eastAsia="仿宋" w:cs="仿宋"/>
          <w:sz w:val="30"/>
          <w:szCs w:val="30"/>
          <w:lang w:eastAsia="zh-CN"/>
        </w:rPr>
        <w:t>；</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对个人和家庭的补助支出80.04万元。</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一般公共预算财政拨款年初预算339.60万元，增加60.5万元。预算其中：按功能分类科目，</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2010101人大行政运行支出305.43万元</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2080505机关事业养老保险缴费支出34.16万元。</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按经济分类科目</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工资福利支出274.71万元</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lang w:eastAsia="zh-CN"/>
        </w:rPr>
      </w:pPr>
      <w:r>
        <w:rPr>
          <w:rFonts w:hint="eastAsia" w:ascii="仿宋" w:hAnsi="仿宋" w:eastAsia="仿宋" w:cs="仿宋"/>
          <w:sz w:val="30"/>
          <w:szCs w:val="30"/>
        </w:rPr>
        <w:t>商品服务支出32.30万元</w:t>
      </w:r>
      <w:r>
        <w:rPr>
          <w:rFonts w:hint="eastAsia" w:ascii="仿宋" w:hAnsi="仿宋" w:eastAsia="仿宋" w:cs="仿宋"/>
          <w:sz w:val="30"/>
          <w:szCs w:val="30"/>
          <w:lang w:eastAsia="zh-CN"/>
        </w:rPr>
        <w:t>；</w:t>
      </w:r>
    </w:p>
    <w:p>
      <w:pPr>
        <w:snapToGrid w:val="0"/>
        <w:spacing w:line="520" w:lineRule="exact"/>
        <w:ind w:firstLine="600"/>
        <w:rPr>
          <w:rFonts w:hint="eastAsia" w:ascii="仿宋" w:hAnsi="仿宋" w:eastAsia="仿宋" w:cs="仿宋"/>
          <w:sz w:val="30"/>
          <w:szCs w:val="30"/>
        </w:rPr>
      </w:pPr>
      <w:r>
        <w:rPr>
          <w:rFonts w:hint="eastAsia" w:ascii="仿宋" w:hAnsi="仿宋" w:eastAsia="仿宋" w:cs="仿宋"/>
          <w:sz w:val="30"/>
          <w:szCs w:val="30"/>
        </w:rPr>
        <w:t>对个人和家庭的补助支出32.58万元。</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增减变化主要原因是：主要是两个退休干部去世，追加了抚恤金，上级经费增加。</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年初无预算安排。</w:t>
      </w:r>
    </w:p>
    <w:p>
      <w:pPr>
        <w:spacing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lang w:val="en-US" w:eastAsia="zh-CN"/>
        </w:rPr>
        <w:t>其他有关说明内容。 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政府性基金预算支出0万元。与上年相比，增加0万元，增长0%。增减变化的主要原因是：年初无预算安排。按功能分类科目，2010101人大行政运行支出0万元，2010104人大会议支出0万元，2010199其他人大事务支出0万元，2019999其他一般公共服务支出0万元，2080505机关事业养老保险缴费支出0万元。</w:t>
      </w:r>
    </w:p>
    <w:p>
      <w:pPr>
        <w:spacing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无</w:t>
      </w:r>
    </w:p>
    <w:p>
      <w:pPr>
        <w:spacing w:line="520" w:lineRule="exact"/>
        <w:ind w:firstLine="600" w:firstLineChars="200"/>
        <w:rPr>
          <w:rFonts w:hint="eastAsia" w:ascii="仿宋" w:hAnsi="仿宋" w:eastAsia="仿宋" w:cs="仿宋"/>
          <w:sz w:val="30"/>
          <w:szCs w:val="30"/>
          <w:lang w:val="en-US"/>
        </w:rPr>
      </w:pPr>
      <w:r>
        <w:rPr>
          <w:rFonts w:hint="eastAsia" w:ascii="仿宋" w:hAnsi="仿宋" w:eastAsia="仿宋" w:cs="仿宋"/>
          <w:sz w:val="30"/>
          <w:szCs w:val="30"/>
          <w:lang w:val="en-US" w:eastAsia="zh-CN"/>
        </w:rPr>
        <w:t>其他有关说明内容。 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三、部门结转结余情况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年末结转结余0万元。与上年相比，减少11.44万元，降低100%。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其中财政拨款结转结余0万元。与上年相比，减少11.44万元，降低100%。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16万元，比上年增加1.33万元，增长9.06%，增加原因是2017年县委调配了一辆公务用车，并配备了一名驾驶员，所以公务用车运行维护费较上年增加了；公务接待费10853元，较上年略有下降。其中，公务用车购置及运行维护费支出14.92万元，占93.25%，比上年增加1.54万元，增长11.5%；公务接待费支出1.08万元，占6.75%，比上年减少0.21万元，降低16.27%，减少原因是县人大严格执行中央八项规定，厉行节约，减少公务接待。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因公出国（境）费支出0万元。玛纳斯县人大全年使用一般公共预算财政拨款安排的出国（境）团组0个，累计0人次。</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公务用车购置及运行维护费14.92万元,其中，公务用车购置0万元，公务用车运行维护费14.92万元。主要用于人在行政运行、人大调研、检查</w:t>
      </w:r>
      <w:bookmarkStart w:id="0" w:name="_GoBack"/>
      <w:bookmarkEnd w:id="0"/>
      <w:r>
        <w:rPr>
          <w:rFonts w:hint="eastAsia" w:ascii="仿宋" w:hAnsi="仿宋" w:eastAsia="仿宋" w:cs="仿宋"/>
          <w:sz w:val="30"/>
          <w:szCs w:val="30"/>
        </w:rPr>
        <w:t xml:space="preserve">。2017年，单位一般公共财政拨款安排的公务用车购置量0辆，保有量为4辆。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公务接待费1.08万元。具体是：国内公务接待支出1.08万元。国内公务接待8批次，213人次。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w:t>
      </w:r>
      <w:r>
        <w:rPr>
          <w:rFonts w:hint="eastAsia" w:ascii="仿宋" w:hAnsi="仿宋" w:eastAsia="仿宋" w:cs="仿宋"/>
          <w:sz w:val="30"/>
          <w:szCs w:val="30"/>
        </w:rPr>
        <w:t>2017年度年初一般公共预算“三公”经费支出决算0万元，决算比预算增加0万元，增长0%，增加原因是年初无预算安排。</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color w:val="auto"/>
          <w:sz w:val="30"/>
          <w:szCs w:val="30"/>
        </w:rPr>
      </w:pPr>
      <w:r>
        <w:rPr>
          <w:rFonts w:hint="eastAsia" w:ascii="仿宋" w:hAnsi="仿宋" w:eastAsia="仿宋" w:cs="仿宋"/>
          <w:color w:val="auto"/>
          <w:sz w:val="30"/>
          <w:szCs w:val="30"/>
        </w:rPr>
        <w:t xml:space="preserve">五、机关运行经费支出情况 </w:t>
      </w:r>
    </w:p>
    <w:p>
      <w:pPr>
        <w:snapToGrid w:val="0"/>
        <w:spacing w:line="520" w:lineRule="exact"/>
        <w:ind w:firstLine="600"/>
        <w:rPr>
          <w:rFonts w:ascii="仿宋" w:hAnsi="仿宋" w:eastAsia="仿宋" w:cs="仿宋"/>
          <w:color w:val="auto"/>
          <w:sz w:val="30"/>
          <w:szCs w:val="30"/>
        </w:rPr>
      </w:pPr>
      <w:r>
        <w:rPr>
          <w:rFonts w:hint="eastAsia" w:ascii="仿宋" w:hAnsi="仿宋" w:eastAsia="仿宋" w:cs="仿宋"/>
          <w:color w:val="auto"/>
          <w:sz w:val="30"/>
          <w:szCs w:val="30"/>
        </w:rPr>
        <w:t xml:space="preserve">2017年度玛纳斯县人大机关运行经费支出30.47万元，比上年减少8.73万元，降低22.27%，主要原因是本年度没有重大会议及项目支出，所以只是正常的机关运行经费。 </w:t>
      </w:r>
    </w:p>
    <w:p>
      <w:pPr>
        <w:spacing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line="520" w:lineRule="exact"/>
        <w:ind w:firstLine="600" w:firstLineChars="200"/>
        <w:rPr>
          <w:rFonts w:ascii="仿宋" w:hAnsi="仿宋" w:eastAsia="仿宋" w:cs="仿宋"/>
          <w:sz w:val="30"/>
          <w:szCs w:val="30"/>
        </w:rPr>
      </w:pPr>
      <w:r>
        <w:rPr>
          <w:rFonts w:hint="eastAsia" w:ascii="仿宋" w:hAnsi="仿宋" w:eastAsia="仿宋" w:cs="仿宋"/>
          <w:color w:val="auto"/>
          <w:sz w:val="30"/>
          <w:szCs w:val="30"/>
        </w:rPr>
        <w:t>玛纳斯县人大</w:t>
      </w: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截至2017年12月31日，资产总计69.31万元，其中：流动资产8.69万元，固定资产60.61万元，其中：车辆1辆，价值24.61万元，其中：一般公务用车1辆；单位价值50万元以上通用设备0台（套）、单位价值100万元以上专用设备0台（套），其他固定资产价值35.99万元。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w:t>
      </w:r>
      <w:r>
        <w:rPr>
          <w:rFonts w:hint="eastAsia" w:ascii="仿宋" w:hAnsi="仿宋" w:eastAsia="仿宋" w:cs="仿宋"/>
          <w:color w:val="000000" w:themeColor="text1"/>
          <w:sz w:val="30"/>
          <w:szCs w:val="30"/>
        </w:rPr>
        <w:t>玛纳斯县人大资</w:t>
      </w:r>
      <w:r>
        <w:rPr>
          <w:rFonts w:hint="eastAsia" w:ascii="仿宋" w:hAnsi="仿宋" w:eastAsia="仿宋" w:cs="仿宋"/>
          <w:sz w:val="30"/>
          <w:szCs w:val="30"/>
        </w:rPr>
        <w:t xml:space="preserve">产有偿使用收入合计0万元，资产处置收入合计0万元。其中：已缴国库0万元， 已缴财政专户0万元，应缴未缴0万元，单位留用0万元。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2017年度，本部门单位实行绩效管理的项目0个，涉及预算0万元，项目支出决算0万元。</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napToGrid w:val="0"/>
        <w:spacing w:after="200" w:line="520" w:lineRule="exact"/>
        <w:ind w:firstLine="602"/>
        <w:jc w:val="center"/>
        <w:rPr>
          <w:rFonts w:hint="eastAsia" w:ascii="仿宋" w:hAnsi="仿宋" w:eastAsia="仿宋" w:cs="仿宋"/>
          <w:b/>
          <w:bCs/>
          <w:sz w:val="30"/>
          <w:szCs w:val="30"/>
        </w:rPr>
      </w:pPr>
    </w:p>
    <w:p>
      <w:pPr>
        <w:snapToGrid w:val="0"/>
        <w:spacing w:after="200" w:line="520" w:lineRule="exact"/>
        <w:ind w:firstLine="602"/>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本单位支出功能分类说明。201（类）01（款）01（项）：指人大行政运行；201（类）01（款）04（项）：指人大会议；201（类）01（款）99（项）：指人大其他事务支出；201（类）99（款）99（项）：指其他一身公共服务支出；208（类）05（款）05（项）：指机关事业基本养老保险缴费支出。</w:t>
      </w: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2"/>
        <w:jc w:val="center"/>
        <w:rPr>
          <w:rFonts w:ascii="仿宋" w:hAnsi="仿宋" w:eastAsia="仿宋" w:cs="仿宋"/>
          <w:sz w:val="30"/>
          <w:szCs w:val="30"/>
        </w:rPr>
      </w:pPr>
      <w:r>
        <w:rPr>
          <w:rFonts w:hint="eastAsia" w:ascii="仿宋" w:hAnsi="仿宋" w:eastAsia="仿宋" w:cs="仿宋"/>
          <w:sz w:val="30"/>
          <w:szCs w:val="30"/>
        </w:rPr>
        <w:t>第四部分 部门决算报表（见附表）</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一、报表封面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二、《收入支出决算总表》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三、《收入决算表》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四、《支出决算表》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五、《收入支出决算表》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九、《支出决算明细表》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二十二、《资产负债简表》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二十三、《资产情况表》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二十五、《基本数字表》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napToGrid w:val="0"/>
        <w:spacing w:line="520" w:lineRule="exact"/>
        <w:ind w:firstLine="6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ind w:firstLine="600"/>
        <w:rPr>
          <w:rFonts w:ascii="仿宋" w:hAnsi="仿宋" w:eastAsia="仿宋" w:cs="仿宋"/>
          <w:sz w:val="30"/>
          <w:szCs w:val="30"/>
        </w:rPr>
      </w:pPr>
    </w:p>
    <w:p>
      <w:pPr>
        <w:snapToGrid w:val="0"/>
        <w:spacing w:after="200" w:line="520" w:lineRule="exact"/>
        <w:rPr>
          <w:rFonts w:ascii="仿宋" w:hAnsi="仿宋" w:eastAsia="仿宋" w:cs="仿宋"/>
          <w:sz w:val="30"/>
          <w:szCs w:val="30"/>
        </w:rPr>
      </w:pPr>
    </w:p>
    <w:sectPr>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9F31A8"/>
    <w:rsid w:val="00530AFC"/>
    <w:rsid w:val="006B1BAC"/>
    <w:rsid w:val="009F31A8"/>
    <w:rsid w:val="00A10DC2"/>
    <w:rsid w:val="00E67718"/>
    <w:rsid w:val="00E94DB1"/>
    <w:rsid w:val="17353B19"/>
    <w:rsid w:val="18911265"/>
    <w:rsid w:val="1A9660C6"/>
    <w:rsid w:val="1F2E6D67"/>
    <w:rsid w:val="33EF6B57"/>
    <w:rsid w:val="361070F8"/>
    <w:rsid w:val="38492180"/>
    <w:rsid w:val="3E7A1AA2"/>
    <w:rsid w:val="43D71FE1"/>
    <w:rsid w:val="49D70BC2"/>
    <w:rsid w:val="51450492"/>
    <w:rsid w:val="55B44897"/>
    <w:rsid w:val="5B3E54BE"/>
    <w:rsid w:val="5B9A2071"/>
    <w:rsid w:val="611466BF"/>
    <w:rsid w:val="67BC77EE"/>
    <w:rsid w:val="69B75DF2"/>
    <w:rsid w:val="6ACB5E1A"/>
    <w:rsid w:val="74F9767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ahoma" w:hAnsi="Tahoma" w:eastAsia="微软雅黑" w:cstheme="minorBidi"/>
      <w:sz w:val="22"/>
      <w:szCs w:val="22"/>
      <w:lang w:val="en-US" w:eastAsia="zh-CN" w:bidi="ar-SA"/>
    </w:rPr>
  </w:style>
  <w:style w:type="paragraph" w:styleId="2">
    <w:name w:val="heading 1"/>
    <w:next w:val="1"/>
    <w:qFormat/>
    <w:uiPriority w:val="7"/>
    <w:pPr>
      <w:jc w:val="both"/>
      <w:outlineLvl w:val="0"/>
    </w:pPr>
    <w:rPr>
      <w:rFonts w:ascii="Calibri" w:hAnsi="Calibri" w:eastAsia="宋体" w:cstheme="minorBidi"/>
      <w:sz w:val="28"/>
      <w:szCs w:val="28"/>
      <w:lang w:val="en-US" w:eastAsia="zh-CN" w:bidi="ar-SA"/>
    </w:rPr>
  </w:style>
  <w:style w:type="paragraph" w:styleId="3">
    <w:name w:val="heading 2"/>
    <w:next w:val="1"/>
    <w:qFormat/>
    <w:uiPriority w:val="8"/>
    <w:pPr>
      <w:jc w:val="both"/>
      <w:outlineLvl w:val="1"/>
    </w:pPr>
    <w:rPr>
      <w:rFonts w:ascii="Calibri" w:hAnsi="Calibri" w:eastAsia="宋体" w:cstheme="minorBidi"/>
      <w:sz w:val="21"/>
      <w:szCs w:val="21"/>
      <w:lang w:val="en-US" w:eastAsia="zh-CN" w:bidi="ar-SA"/>
    </w:rPr>
  </w:style>
  <w:style w:type="paragraph" w:styleId="4">
    <w:name w:val="heading 3"/>
    <w:next w:val="1"/>
    <w:qFormat/>
    <w:uiPriority w:val="9"/>
    <w:pPr>
      <w:ind w:left="1000" w:hanging="400"/>
      <w:jc w:val="both"/>
      <w:outlineLvl w:val="2"/>
    </w:pPr>
    <w:rPr>
      <w:rFonts w:ascii="Calibri" w:hAnsi="Calibri" w:eastAsia="宋体" w:cstheme="minorBidi"/>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heme="minorBidi"/>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heme="minorBidi"/>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heme="minorBidi"/>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heme="minorBidi"/>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heme="minorBidi"/>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heme="minorBidi"/>
      <w:sz w:val="21"/>
      <w:szCs w:val="21"/>
      <w:lang w:val="en-US" w:eastAsia="zh-CN" w:bidi="ar-SA"/>
    </w:rPr>
  </w:style>
  <w:style w:type="character" w:default="1" w:styleId="26">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heme="minorBidi"/>
      <w:sz w:val="21"/>
      <w:szCs w:val="21"/>
      <w:lang w:val="en-US" w:eastAsia="zh-CN" w:bidi="ar-SA"/>
    </w:rPr>
  </w:style>
  <w:style w:type="paragraph" w:styleId="12">
    <w:name w:val="annotation text"/>
    <w:basedOn w:val="1"/>
    <w:qFormat/>
    <w:uiPriority w:val="0"/>
  </w:style>
  <w:style w:type="paragraph" w:styleId="13">
    <w:name w:val="toc 5"/>
    <w:next w:val="1"/>
    <w:unhideWhenUsed/>
    <w:qFormat/>
    <w:uiPriority w:val="32"/>
    <w:pPr>
      <w:ind w:left="1700"/>
      <w:jc w:val="both"/>
    </w:pPr>
    <w:rPr>
      <w:rFonts w:ascii="Calibri" w:hAnsi="Calibri" w:eastAsia="宋体" w:cstheme="minorBidi"/>
      <w:sz w:val="21"/>
      <w:szCs w:val="21"/>
      <w:lang w:val="en-US" w:eastAsia="zh-CN" w:bidi="ar-SA"/>
    </w:rPr>
  </w:style>
  <w:style w:type="paragraph" w:styleId="14">
    <w:name w:val="toc 3"/>
    <w:next w:val="1"/>
    <w:unhideWhenUsed/>
    <w:qFormat/>
    <w:uiPriority w:val="30"/>
    <w:pPr>
      <w:ind w:left="850"/>
      <w:jc w:val="both"/>
    </w:pPr>
    <w:rPr>
      <w:rFonts w:ascii="Calibri" w:hAnsi="Calibri" w:eastAsia="宋体" w:cstheme="minorBidi"/>
      <w:sz w:val="21"/>
      <w:szCs w:val="21"/>
      <w:lang w:val="en-US" w:eastAsia="zh-CN" w:bidi="ar-SA"/>
    </w:rPr>
  </w:style>
  <w:style w:type="paragraph" w:styleId="15">
    <w:name w:val="toc 8"/>
    <w:next w:val="1"/>
    <w:unhideWhenUsed/>
    <w:qFormat/>
    <w:uiPriority w:val="35"/>
    <w:pPr>
      <w:ind w:left="2975"/>
      <w:jc w:val="both"/>
    </w:pPr>
    <w:rPr>
      <w:rFonts w:ascii="Calibri" w:hAnsi="Calibri" w:eastAsia="宋体" w:cstheme="minorBidi"/>
      <w:sz w:val="21"/>
      <w:szCs w:val="21"/>
      <w:lang w:val="en-US" w:eastAsia="zh-CN" w:bidi="ar-SA"/>
    </w:rPr>
  </w:style>
  <w:style w:type="paragraph" w:styleId="16">
    <w:name w:val="footer"/>
    <w:basedOn w:val="1"/>
    <w:link w:val="42"/>
    <w:qFormat/>
    <w:uiPriority w:val="0"/>
    <w:pPr>
      <w:tabs>
        <w:tab w:val="center" w:pos="4153"/>
        <w:tab w:val="right" w:pos="8306"/>
      </w:tabs>
      <w:snapToGrid w:val="0"/>
    </w:pPr>
    <w:rPr>
      <w:sz w:val="18"/>
      <w:szCs w:val="18"/>
    </w:rPr>
  </w:style>
  <w:style w:type="paragraph" w:styleId="17">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8">
    <w:name w:val="toc 1"/>
    <w:next w:val="1"/>
    <w:unhideWhenUsed/>
    <w:qFormat/>
    <w:uiPriority w:val="28"/>
    <w:pPr>
      <w:jc w:val="both"/>
    </w:pPr>
    <w:rPr>
      <w:rFonts w:ascii="Calibri" w:hAnsi="Calibri" w:eastAsia="宋体" w:cstheme="minorBidi"/>
      <w:sz w:val="21"/>
      <w:szCs w:val="21"/>
      <w:lang w:val="en-US" w:eastAsia="zh-CN" w:bidi="ar-SA"/>
    </w:rPr>
  </w:style>
  <w:style w:type="paragraph" w:styleId="19">
    <w:name w:val="toc 4"/>
    <w:next w:val="1"/>
    <w:unhideWhenUsed/>
    <w:qFormat/>
    <w:uiPriority w:val="31"/>
    <w:pPr>
      <w:ind w:left="1275"/>
      <w:jc w:val="both"/>
    </w:pPr>
    <w:rPr>
      <w:rFonts w:ascii="Calibri" w:hAnsi="Calibri" w:eastAsia="宋体" w:cstheme="minorBidi"/>
      <w:sz w:val="21"/>
      <w:szCs w:val="21"/>
      <w:lang w:val="en-US" w:eastAsia="zh-CN" w:bidi="ar-SA"/>
    </w:rPr>
  </w:style>
  <w:style w:type="paragraph" w:styleId="20">
    <w:name w:val="Subtitle"/>
    <w:qFormat/>
    <w:uiPriority w:val="16"/>
    <w:pPr>
      <w:jc w:val="center"/>
    </w:pPr>
    <w:rPr>
      <w:rFonts w:ascii="Calibri" w:hAnsi="Calibri" w:eastAsia="宋体" w:cstheme="minorBidi"/>
      <w:sz w:val="24"/>
      <w:szCs w:val="24"/>
      <w:lang w:val="en-US" w:eastAsia="zh-CN" w:bidi="ar-SA"/>
    </w:rPr>
  </w:style>
  <w:style w:type="paragraph" w:styleId="21">
    <w:name w:val="toc 6"/>
    <w:next w:val="1"/>
    <w:unhideWhenUsed/>
    <w:qFormat/>
    <w:uiPriority w:val="33"/>
    <w:pPr>
      <w:ind w:left="2125"/>
      <w:jc w:val="both"/>
    </w:pPr>
    <w:rPr>
      <w:rFonts w:ascii="Calibri" w:hAnsi="Calibri" w:eastAsia="宋体" w:cstheme="minorBidi"/>
      <w:sz w:val="21"/>
      <w:szCs w:val="21"/>
      <w:lang w:val="en-US" w:eastAsia="zh-CN" w:bidi="ar-SA"/>
    </w:rPr>
  </w:style>
  <w:style w:type="paragraph" w:styleId="22">
    <w:name w:val="toc 2"/>
    <w:next w:val="1"/>
    <w:unhideWhenUsed/>
    <w:qFormat/>
    <w:uiPriority w:val="29"/>
    <w:pPr>
      <w:ind w:left="425"/>
      <w:jc w:val="both"/>
    </w:pPr>
    <w:rPr>
      <w:rFonts w:ascii="Calibri" w:hAnsi="Calibri" w:eastAsia="宋体" w:cstheme="minorBidi"/>
      <w:sz w:val="21"/>
      <w:szCs w:val="21"/>
      <w:lang w:val="en-US" w:eastAsia="zh-CN" w:bidi="ar-SA"/>
    </w:rPr>
  </w:style>
  <w:style w:type="paragraph" w:styleId="23">
    <w:name w:val="toc 9"/>
    <w:next w:val="1"/>
    <w:unhideWhenUsed/>
    <w:qFormat/>
    <w:uiPriority w:val="36"/>
    <w:pPr>
      <w:ind w:left="3400"/>
      <w:jc w:val="both"/>
    </w:pPr>
    <w:rPr>
      <w:rFonts w:ascii="Calibri" w:hAnsi="Calibri" w:eastAsia="宋体" w:cstheme="minorBidi"/>
      <w:sz w:val="21"/>
      <w:szCs w:val="21"/>
      <w:lang w:val="en-US" w:eastAsia="zh-CN" w:bidi="ar-SA"/>
    </w:rPr>
  </w:style>
  <w:style w:type="paragraph" w:styleId="24">
    <w:name w:val="Normal (Web)"/>
    <w:basedOn w:val="1"/>
    <w:qFormat/>
    <w:uiPriority w:val="0"/>
    <w:pPr>
      <w:keepNext w:val="0"/>
      <w:keepLines w:val="0"/>
      <w:widowControl w:val="0"/>
      <w:suppressLineNumbers w:val="0"/>
      <w:adjustRightInd/>
      <w:snapToGrid/>
      <w:spacing w:before="0" w:beforeAutospacing="0" w:after="0" w:afterAutospacing="0"/>
      <w:ind w:left="0" w:right="0"/>
      <w:jc w:val="both"/>
    </w:pPr>
    <w:rPr>
      <w:rFonts w:hint="default" w:ascii="Times New Roman" w:hAnsi="Times New Roman" w:eastAsia="宋体" w:cs="Times New Roman"/>
      <w:snapToGrid/>
      <w:kern w:val="2"/>
      <w:sz w:val="24"/>
      <w:szCs w:val="24"/>
      <w:lang w:val="en-US" w:eastAsia="zh-CN" w:bidi="ar"/>
    </w:rPr>
  </w:style>
  <w:style w:type="paragraph" w:styleId="25">
    <w:name w:val="Title"/>
    <w:qFormat/>
    <w:uiPriority w:val="6"/>
    <w:pPr>
      <w:jc w:val="center"/>
    </w:pPr>
    <w:rPr>
      <w:rFonts w:ascii="Calibri" w:hAnsi="Calibri" w:eastAsia="宋体" w:cstheme="minorBidi"/>
      <w:b/>
      <w:sz w:val="32"/>
      <w:szCs w:val="32"/>
      <w:lang w:val="en-US" w:eastAsia="zh-CN" w:bidi="ar-SA"/>
    </w:rPr>
  </w:style>
  <w:style w:type="character" w:styleId="27">
    <w:name w:val="Strong"/>
    <w:qFormat/>
    <w:uiPriority w:val="20"/>
    <w:rPr>
      <w:b/>
      <w:w w:val="100"/>
      <w:sz w:val="21"/>
      <w:szCs w:val="21"/>
      <w:shd w:val="clear" w:color="auto" w:fill="auto"/>
    </w:rPr>
  </w:style>
  <w:style w:type="character" w:styleId="28">
    <w:name w:val="Emphasis"/>
    <w:qFormat/>
    <w:uiPriority w:val="18"/>
    <w:rPr>
      <w:i/>
      <w:w w:val="100"/>
      <w:sz w:val="21"/>
      <w:szCs w:val="21"/>
      <w:shd w:val="clear" w:color="auto" w:fill="auto"/>
    </w:rPr>
  </w:style>
  <w:style w:type="table" w:styleId="30">
    <w:name w:val="Table Grid"/>
    <w:basedOn w:val="29"/>
    <w:qFormat/>
    <w:uiPriority w:val="37"/>
    <w:pPr>
      <w:jc w:val="both"/>
    </w:pPr>
    <w:rPr>
      <w:rFonts w:ascii="宋体" w:hAnsi="宋体"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1">
    <w:name w:val="无间隔1"/>
    <w:qFormat/>
    <w:uiPriority w:val="5"/>
    <w:pPr>
      <w:jc w:val="both"/>
    </w:pPr>
    <w:rPr>
      <w:rFonts w:ascii="Calibri" w:hAnsi="Calibri" w:eastAsia="宋体" w:cstheme="minorBidi"/>
      <w:sz w:val="21"/>
      <w:szCs w:val="21"/>
      <w:lang w:val="en-US" w:eastAsia="zh-CN" w:bidi="ar-SA"/>
    </w:rPr>
  </w:style>
  <w:style w:type="character" w:customStyle="1" w:styleId="32">
    <w:name w:val="不明显强调1"/>
    <w:qFormat/>
    <w:uiPriority w:val="17"/>
    <w:rPr>
      <w:i/>
      <w:color w:val="404040"/>
      <w:w w:val="100"/>
      <w:sz w:val="21"/>
      <w:szCs w:val="21"/>
      <w:shd w:val="clear" w:color="auto" w:fill="auto"/>
    </w:rPr>
  </w:style>
  <w:style w:type="character" w:customStyle="1" w:styleId="33">
    <w:name w:val="明显强调1"/>
    <w:qFormat/>
    <w:uiPriority w:val="19"/>
    <w:rPr>
      <w:i/>
      <w:color w:val="5B9BD5"/>
      <w:w w:val="100"/>
      <w:sz w:val="21"/>
      <w:szCs w:val="21"/>
      <w:shd w:val="clear" w:color="auto" w:fill="auto"/>
    </w:rPr>
  </w:style>
  <w:style w:type="paragraph" w:customStyle="1" w:styleId="34">
    <w:name w:val="引用1"/>
    <w:qFormat/>
    <w:uiPriority w:val="21"/>
    <w:pPr>
      <w:ind w:left="864" w:right="864"/>
      <w:jc w:val="center"/>
    </w:pPr>
    <w:rPr>
      <w:rFonts w:ascii="Calibri" w:hAnsi="Calibri" w:eastAsia="宋体" w:cstheme="minorBidi"/>
      <w:i/>
      <w:color w:val="404040"/>
      <w:sz w:val="21"/>
      <w:szCs w:val="21"/>
      <w:lang w:val="en-US" w:eastAsia="zh-CN" w:bidi="ar-SA"/>
    </w:rPr>
  </w:style>
  <w:style w:type="paragraph" w:customStyle="1" w:styleId="35">
    <w:name w:val="明显引用1"/>
    <w:qFormat/>
    <w:uiPriority w:val="22"/>
    <w:pPr>
      <w:ind w:left="950" w:right="950"/>
      <w:jc w:val="center"/>
    </w:pPr>
    <w:rPr>
      <w:rFonts w:ascii="Calibri" w:hAnsi="Calibri" w:eastAsia="宋体" w:cstheme="minorBidi"/>
      <w:i/>
      <w:color w:val="5B9BD5"/>
      <w:sz w:val="21"/>
      <w:szCs w:val="21"/>
      <w:lang w:val="en-US" w:eastAsia="zh-CN" w:bidi="ar-SA"/>
    </w:rPr>
  </w:style>
  <w:style w:type="character" w:customStyle="1" w:styleId="36">
    <w:name w:val="不明显参考1"/>
    <w:qFormat/>
    <w:uiPriority w:val="23"/>
    <w:rPr>
      <w:smallCaps/>
      <w:color w:val="5A5A5A"/>
      <w:w w:val="100"/>
      <w:sz w:val="21"/>
      <w:szCs w:val="21"/>
      <w:shd w:val="clear" w:color="auto" w:fill="auto"/>
    </w:rPr>
  </w:style>
  <w:style w:type="character" w:customStyle="1" w:styleId="37">
    <w:name w:val="明显参考1"/>
    <w:qFormat/>
    <w:uiPriority w:val="24"/>
    <w:rPr>
      <w:b/>
      <w:smallCaps/>
      <w:color w:val="5B9BD5"/>
      <w:w w:val="100"/>
      <w:sz w:val="21"/>
      <w:szCs w:val="21"/>
      <w:shd w:val="clear" w:color="auto" w:fill="auto"/>
    </w:rPr>
  </w:style>
  <w:style w:type="character" w:customStyle="1" w:styleId="38">
    <w:name w:val="书籍标题1"/>
    <w:qFormat/>
    <w:uiPriority w:val="25"/>
    <w:rPr>
      <w:b/>
      <w:i/>
      <w:w w:val="100"/>
      <w:sz w:val="21"/>
      <w:szCs w:val="21"/>
      <w:shd w:val="clear" w:color="auto" w:fill="auto"/>
    </w:rPr>
  </w:style>
  <w:style w:type="paragraph" w:customStyle="1" w:styleId="39">
    <w:name w:val="列出段落1"/>
    <w:qFormat/>
    <w:uiPriority w:val="26"/>
    <w:pPr>
      <w:ind w:left="850"/>
      <w:jc w:val="both"/>
    </w:pPr>
    <w:rPr>
      <w:rFonts w:ascii="Calibri" w:hAnsi="Calibri" w:eastAsia="宋体" w:cstheme="minorBidi"/>
      <w:sz w:val="21"/>
      <w:szCs w:val="21"/>
      <w:lang w:val="en-US" w:eastAsia="zh-CN" w:bidi="ar-SA"/>
    </w:rPr>
  </w:style>
  <w:style w:type="paragraph" w:customStyle="1" w:styleId="40">
    <w:name w:val="TOC 标题1"/>
    <w:unhideWhenUsed/>
    <w:qFormat/>
    <w:uiPriority w:val="27"/>
    <w:rPr>
      <w:rFonts w:ascii="Calibri" w:hAnsi="Calibri" w:eastAsia="宋体" w:cstheme="minorBidi"/>
      <w:color w:val="2E74B5"/>
      <w:sz w:val="32"/>
      <w:szCs w:val="32"/>
      <w:lang w:val="en-US" w:eastAsia="zh-CN" w:bidi="ar-SA"/>
    </w:rPr>
  </w:style>
  <w:style w:type="character" w:customStyle="1" w:styleId="41">
    <w:name w:val="页眉 Char"/>
    <w:basedOn w:val="26"/>
    <w:link w:val="17"/>
    <w:qFormat/>
    <w:uiPriority w:val="0"/>
    <w:rPr>
      <w:rFonts w:ascii="Tahoma" w:hAnsi="Tahoma" w:eastAsia="微软雅黑"/>
      <w:sz w:val="18"/>
      <w:szCs w:val="18"/>
    </w:rPr>
  </w:style>
  <w:style w:type="character" w:customStyle="1" w:styleId="42">
    <w:name w:val="页脚 Char"/>
    <w:basedOn w:val="26"/>
    <w:link w:val="16"/>
    <w:qFormat/>
    <w:uiPriority w:val="0"/>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18</Pages>
  <Words>1250</Words>
  <Characters>7125</Characters>
  <Lines>59</Lines>
  <Paragraphs>16</Paragraphs>
  <TotalTime>0</TotalTime>
  <ScaleCrop>false</ScaleCrop>
  <LinksUpToDate>false</LinksUpToDate>
  <CharactersWithSpaces>8359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2018-10-01T04:04:00Z</dcterms:created>
  <dc:creator>丰华网络</dc:creator>
  <cp:lastModifiedBy>Administrator</cp:lastModifiedBy>
  <dcterms:modified xsi:type="dcterms:W3CDTF">2019-05-06T04:28:55Z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