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520" w:lineRule="exact"/>
        <w:ind w:left="1662" w:leftChars="427" w:hanging="723" w:hangingChars="200"/>
        <w:rPr>
          <w:rFonts w:hint="eastAsia" w:ascii="仿宋" w:hAnsi="仿宋" w:eastAsia="仿宋" w:cs="仿宋"/>
          <w:b/>
          <w:bCs/>
          <w:sz w:val="36"/>
          <w:szCs w:val="36"/>
        </w:rPr>
      </w:pPr>
      <w:r>
        <w:rPr>
          <w:rFonts w:hint="eastAsia" w:ascii="仿宋" w:hAnsi="仿宋" w:eastAsia="仿宋" w:cs="仿宋"/>
          <w:b/>
          <w:bCs/>
          <w:sz w:val="36"/>
          <w:szCs w:val="36"/>
        </w:rPr>
        <w:t xml:space="preserve">2017年度玛纳斯县农业综合开发领导小组 </w:t>
      </w:r>
    </w:p>
    <w:p>
      <w:pPr>
        <w:spacing w:after="0" w:line="520" w:lineRule="exact"/>
        <w:ind w:left="1661" w:leftChars="755" w:firstLine="542" w:firstLineChars="150"/>
        <w:rPr>
          <w:rFonts w:hint="eastAsia" w:ascii="仿宋" w:hAnsi="仿宋" w:eastAsia="仿宋" w:cs="仿宋"/>
          <w:b/>
          <w:bCs/>
          <w:sz w:val="36"/>
          <w:szCs w:val="36"/>
        </w:rPr>
      </w:pPr>
      <w:r>
        <w:rPr>
          <w:rFonts w:hint="eastAsia" w:ascii="仿宋" w:hAnsi="仿宋" w:eastAsia="仿宋" w:cs="仿宋"/>
          <w:b/>
          <w:bCs/>
          <w:sz w:val="36"/>
          <w:szCs w:val="36"/>
        </w:rPr>
        <w:t>办公室部门决算公开说明</w:t>
      </w:r>
    </w:p>
    <w:p>
      <w:pPr>
        <w:spacing w:after="0" w:line="520" w:lineRule="exact"/>
        <w:ind w:left="719" w:leftChars="327" w:firstLine="150" w:firstLineChars="50"/>
        <w:rPr>
          <w:rFonts w:hint="eastAsia" w:ascii="仿宋" w:hAnsi="仿宋" w:eastAsia="仿宋" w:cs="仿宋"/>
          <w:sz w:val="30"/>
          <w:szCs w:val="30"/>
        </w:rPr>
      </w:pPr>
    </w:p>
    <w:p>
      <w:pPr>
        <w:spacing w:after="0" w:line="520" w:lineRule="exact"/>
        <w:ind w:firstLine="3240" w:firstLineChars="900"/>
        <w:rPr>
          <w:rFonts w:hint="eastAsia" w:ascii="仿宋" w:hAnsi="仿宋" w:eastAsia="仿宋" w:cs="仿宋"/>
          <w:b/>
          <w:bCs/>
          <w:sz w:val="36"/>
          <w:szCs w:val="36"/>
        </w:rPr>
      </w:pPr>
      <w:r>
        <w:rPr>
          <w:rFonts w:hint="eastAsia" w:ascii="仿宋" w:hAnsi="仿宋" w:eastAsia="仿宋" w:cs="仿宋"/>
          <w:b/>
          <w:bCs/>
          <w:sz w:val="36"/>
          <w:szCs w:val="36"/>
        </w:rPr>
        <w:t>目  录</w:t>
      </w:r>
    </w:p>
    <w:p>
      <w:pPr>
        <w:spacing w:after="0" w:line="520" w:lineRule="exact"/>
        <w:ind w:firstLine="600" w:firstLineChars="200"/>
        <w:rPr>
          <w:rFonts w:hint="eastAsia" w:ascii="仿宋" w:hAnsi="仿宋" w:eastAsia="仿宋" w:cs="仿宋"/>
          <w:b/>
          <w:bCs/>
          <w:sz w:val="30"/>
          <w:szCs w:val="30"/>
        </w:rPr>
      </w:pPr>
      <w:r>
        <w:rPr>
          <w:rFonts w:hint="eastAsia" w:ascii="仿宋" w:hAnsi="仿宋" w:eastAsia="仿宋" w:cs="仿宋"/>
          <w:b/>
          <w:bCs/>
          <w:sz w:val="30"/>
          <w:szCs w:val="30"/>
        </w:rPr>
        <w:t xml:space="preserve">第一部分 玛纳斯县农业综合开发领导小组办公室单位概况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hint="eastAsia"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hint="eastAsia"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0" w:firstLineChars="200"/>
        <w:rPr>
          <w:rFonts w:hint="eastAsia"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rPr>
          <w:rFonts w:hint="eastAsia" w:ascii="仿宋" w:hAnsi="仿宋" w:eastAsia="仿宋" w:cs="仿宋"/>
          <w:sz w:val="30"/>
          <w:szCs w:val="30"/>
        </w:rPr>
      </w:pPr>
    </w:p>
    <w:p>
      <w:pPr>
        <w:spacing w:line="220" w:lineRule="atLeast"/>
        <w:rPr>
          <w:rFonts w:hint="eastAsia" w:ascii="仿宋" w:hAnsi="仿宋" w:eastAsia="仿宋" w:cs="仿宋"/>
          <w:sz w:val="30"/>
          <w:szCs w:val="30"/>
        </w:rPr>
      </w:pPr>
    </w:p>
    <w:p>
      <w:pPr>
        <w:spacing w:after="0" w:line="520" w:lineRule="exact"/>
        <w:rPr>
          <w:rFonts w:hint="eastAsia" w:ascii="仿宋" w:hAnsi="仿宋" w:eastAsia="仿宋" w:cs="仿宋"/>
          <w:sz w:val="30"/>
          <w:szCs w:val="30"/>
        </w:rPr>
      </w:pPr>
    </w:p>
    <w:p>
      <w:pPr>
        <w:spacing w:after="0" w:line="520" w:lineRule="exact"/>
        <w:rPr>
          <w:rFonts w:hint="eastAsia" w:ascii="仿宋" w:hAnsi="仿宋" w:eastAsia="仿宋" w:cs="仿宋"/>
          <w:sz w:val="30"/>
          <w:szCs w:val="30"/>
        </w:rPr>
      </w:pPr>
    </w:p>
    <w:p>
      <w:pPr>
        <w:spacing w:after="0" w:line="520" w:lineRule="exact"/>
        <w:rPr>
          <w:rFonts w:hint="eastAsia" w:ascii="仿宋" w:hAnsi="仿宋" w:eastAsia="仿宋" w:cs="仿宋"/>
          <w:sz w:val="30"/>
          <w:szCs w:val="30"/>
        </w:rPr>
      </w:pPr>
    </w:p>
    <w:p>
      <w:pPr>
        <w:spacing w:after="0" w:line="520" w:lineRule="exact"/>
        <w:rPr>
          <w:rFonts w:hint="eastAsia" w:ascii="仿宋" w:hAnsi="仿宋" w:eastAsia="仿宋" w:cs="仿宋"/>
          <w:sz w:val="30"/>
          <w:szCs w:val="30"/>
        </w:rPr>
      </w:pPr>
    </w:p>
    <w:p>
      <w:pPr>
        <w:spacing w:after="0" w:line="520" w:lineRule="exact"/>
        <w:rPr>
          <w:rFonts w:hint="eastAsia" w:ascii="仿宋" w:hAnsi="仿宋" w:eastAsia="仿宋" w:cs="仿宋"/>
          <w:sz w:val="30"/>
          <w:szCs w:val="30"/>
        </w:rPr>
      </w:pPr>
    </w:p>
    <w:p>
      <w:pPr>
        <w:spacing w:after="0" w:line="520" w:lineRule="exact"/>
        <w:rPr>
          <w:rFonts w:hint="eastAsia" w:ascii="仿宋" w:hAnsi="仿宋" w:eastAsia="仿宋" w:cs="仿宋"/>
          <w:sz w:val="30"/>
          <w:szCs w:val="30"/>
        </w:rPr>
      </w:pPr>
    </w:p>
    <w:p>
      <w:pPr>
        <w:spacing w:after="0" w:line="520" w:lineRule="exact"/>
        <w:rPr>
          <w:rFonts w:hint="eastAsia" w:ascii="仿宋" w:hAnsi="仿宋" w:eastAsia="仿宋" w:cs="仿宋"/>
          <w:sz w:val="30"/>
          <w:szCs w:val="30"/>
        </w:rPr>
      </w:pPr>
    </w:p>
    <w:p>
      <w:pPr>
        <w:spacing w:after="0" w:line="520" w:lineRule="exact"/>
        <w:ind w:firstLine="2100" w:firstLineChars="700"/>
        <w:rPr>
          <w:rFonts w:hint="eastAsia" w:ascii="仿宋" w:hAnsi="仿宋" w:eastAsia="仿宋" w:cs="仿宋"/>
          <w:b/>
          <w:bCs/>
          <w:sz w:val="30"/>
          <w:szCs w:val="30"/>
        </w:rPr>
      </w:pPr>
      <w:r>
        <w:rPr>
          <w:rFonts w:hint="eastAsia" w:ascii="仿宋" w:hAnsi="仿宋" w:eastAsia="仿宋" w:cs="仿宋"/>
          <w:b/>
          <w:bCs/>
          <w:sz w:val="30"/>
          <w:szCs w:val="30"/>
        </w:rPr>
        <w:t>第一部分 部门单位概况</w:t>
      </w:r>
    </w:p>
    <w:p>
      <w:pPr>
        <w:pStyle w:val="6"/>
        <w:widowControl/>
        <w:spacing w:line="448"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一、部门单位基本情况</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1．主要职能</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（1）、负责编制全县农业综合开发、扶贫开发的中长期规划和年度计划，指导乡镇农业综合开发和扶贫开发工作。</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（2）、负责全县农业综合开发和扶贫开发项目的评估论证、申报审批、计划分配和组织实施工作。</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（3）、负责全县农业综合开发和扶贫开发资金的争取、筹集管理和监督检查工作。</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（4）、负责全县农业综合开发和扶贫开发工作人员的培训管理，组织推广先进适用技术。</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（5）、负责全县农业综合开发和扶贫开发项目的检查验收、资金管理使用工作。</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（6）、负责全县农业综合开发和扶贫开发的统计、监测和年报工作。</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（7）、加强调查研究，为县委、县政府决策和部署农业综合开发和扶贫开发工作当好参谋，充分发挥部门的职能作用。</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（8）、农业综合开发为独立的核算单位，无下属部门。</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2、机构人员当年变动情况及原因</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 xml:space="preserve">（1）机构情况   2017年玛纳斯县农业综合开发领导小组办公室独立核算机构1个，独立编制机构 1个  </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（2）人员情况  玛纳斯县农业综合开发办有事业参照公务员管理人员编制5名，2017年末实有人员2人，在职人员中事业参照公务员管理人员2人。</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 xml:space="preserve"> 2017年独立核算机构、独立编制单位与上年相比没有变化。人员情况： 事业参照公务员管理人员实有人数与上年相比无变化，退休实有人数与上年相比没有变化。</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 xml:space="preserve"> 二、部门决算单位构成。 </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从决算单位构成看，部门决算包括：玛纳斯县农业综合开发领导小组办公室部门本级决算。</w:t>
      </w:r>
    </w:p>
    <w:p>
      <w:pPr>
        <w:ind w:firstLine="600" w:firstLineChars="200"/>
        <w:rPr>
          <w:rFonts w:hint="eastAsia" w:ascii="仿宋" w:hAnsi="仿宋" w:eastAsia="仿宋" w:cs="仿宋"/>
          <w:sz w:val="30"/>
          <w:szCs w:val="30"/>
          <w:lang w:val="en-US" w:eastAsia="zh-CN" w:bidi="ar-SA"/>
        </w:rPr>
      </w:pPr>
      <w:r>
        <w:rPr>
          <w:rFonts w:hint="eastAsia" w:ascii="仿宋" w:hAnsi="仿宋" w:eastAsia="仿宋" w:cs="仿宋"/>
          <w:sz w:val="30"/>
          <w:szCs w:val="30"/>
          <w:lang w:val="en-US" w:eastAsia="zh-CN" w:bidi="ar-SA"/>
        </w:rPr>
        <w:t xml:space="preserve">纳入玛纳斯县农业综合开发领导小组办公室2017年部门决算编制范围的单位名单见下表： </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
        <w:gridCol w:w="668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6687"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90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6687" w:type="dxa"/>
          </w:tcPr>
          <w:p>
            <w:pPr>
              <w:widowControl w:val="0"/>
              <w:spacing w:line="220" w:lineRule="atLeast"/>
              <w:jc w:val="center"/>
              <w:rPr>
                <w:rFonts w:ascii="仿宋" w:hAnsi="仿宋" w:eastAsia="仿宋" w:cs="仿宋"/>
                <w:sz w:val="30"/>
                <w:szCs w:val="30"/>
              </w:rPr>
            </w:pPr>
            <w:r>
              <w:rPr>
                <w:rFonts w:hint="eastAsia" w:ascii="仿宋" w:hAnsi="仿宋" w:eastAsia="仿宋" w:cs="仿宋"/>
                <w:kern w:val="0"/>
                <w:sz w:val="30"/>
                <w:szCs w:val="30"/>
                <w:lang w:val="en-US" w:eastAsia="zh-CN" w:bidi="ar-SA"/>
              </w:rPr>
              <w:t>玛纳斯县农业综合开发领导小组办公室</w:t>
            </w:r>
            <w:r>
              <w:rPr>
                <w:rFonts w:hint="eastAsia" w:ascii="仿宋" w:hAnsi="仿宋" w:eastAsia="仿宋" w:cs="仿宋"/>
                <w:sz w:val="30"/>
                <w:szCs w:val="30"/>
              </w:rPr>
              <w:t>单位本级</w:t>
            </w:r>
          </w:p>
        </w:tc>
        <w:tc>
          <w:tcPr>
            <w:tcW w:w="900" w:type="dxa"/>
          </w:tcPr>
          <w:p>
            <w:pPr>
              <w:widowControl w:val="0"/>
              <w:spacing w:line="220" w:lineRule="atLeast"/>
              <w:jc w:val="center"/>
              <w:rPr>
                <w:rFonts w:ascii="仿宋" w:hAnsi="仿宋" w:eastAsia="仿宋" w:cs="仿宋"/>
                <w:sz w:val="30"/>
                <w:szCs w:val="30"/>
              </w:rPr>
            </w:pPr>
          </w:p>
        </w:tc>
      </w:tr>
    </w:tbl>
    <w:p>
      <w:pPr>
        <w:pStyle w:val="6"/>
        <w:widowControl/>
        <w:spacing w:line="448" w:lineRule="atLeast"/>
        <w:ind w:firstLine="472"/>
        <w:rPr>
          <w:rFonts w:hint="eastAsia" w:ascii="仿宋" w:hAnsi="仿宋" w:eastAsia="仿宋" w:cs="仿宋"/>
          <w:kern w:val="0"/>
          <w:sz w:val="30"/>
          <w:szCs w:val="30"/>
          <w:lang w:val="en-US" w:eastAsia="zh-CN" w:bidi="ar-SA"/>
        </w:rPr>
      </w:pPr>
      <w:r>
        <w:rPr>
          <w:rFonts w:hint="eastAsia" w:ascii="仿宋" w:hAnsi="仿宋" w:eastAsia="仿宋" w:cs="仿宋"/>
          <w:kern w:val="0"/>
          <w:sz w:val="30"/>
          <w:szCs w:val="30"/>
          <w:lang w:val="en-US" w:eastAsia="zh-CN" w:bidi="ar-SA"/>
        </w:rPr>
        <w:t xml:space="preserve"> </w:t>
      </w: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rPr>
          <w:rFonts w:hint="eastAsia" w:ascii="仿宋" w:hAnsi="仿宋" w:eastAsia="仿宋" w:cs="仿宋"/>
          <w:sz w:val="30"/>
          <w:szCs w:val="30"/>
        </w:rPr>
      </w:pPr>
    </w:p>
    <w:p>
      <w:pPr>
        <w:spacing w:after="0" w:line="520" w:lineRule="exact"/>
        <w:ind w:firstLine="1200" w:firstLineChars="400"/>
        <w:jc w:val="center"/>
        <w:rPr>
          <w:rFonts w:hint="eastAsia"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一、部门收支总体情况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（一）部门收入支出决算总体情况说明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2017年度收入1262.07万元,与上年相比，减少284.42万元，降低18.39%；  支出1259.96万元,与上年相比，减少286.53万元，降低18.52%；结余2.11万元，与上年相比，增加2.11万元。增减变化主要原因是：2017年度本单位减少两个项目。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与预算相比情况：2017年度收入1262.07万元，比预算增加1226.11万元；支出1259.96万元,比预算增加1224万元，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主要原因是调增农业综合开发项目预算数1224万元，利息收入增加2.11万元。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（二）部门收入总体情况说明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本年收入合计1262.07万元，其中：财政拨款收入1259.95万元，占99.83%；其他收入2.11万元，占0.17%，与上年相比，减少284.42万元，降低18.39%。增减变化主要原因是： 2017年度本单位减少两个项目。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与预算相比情况：2017年度收入合计1262.07万元，预算收入35.95万元，比预算增加1224万元；主要是调增农业综合开发项目预算数1224万元。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（三）部门支出总体情况说明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本年支出合计1259.95万元，其中：基本支出35.96万元，占2.85%；项目支出1224万元，占97.15%。与上年相比，减少286.53万元，降低18.52%；主要是2017年度本单位减少两个项目。</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与预算相比情况： 2017年基本支出35.96万元，与预算一致，无变化；项目支出1224万元，比预算增加1224万元，主要是调增农业综合开发项目预算数1224万元。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二、部门财政拨款收支情况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（一）财政拨款收支总体情况说明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2017年度财政拨款收入1259.95万元，与上年相比，减少284.42万元，降低18.39 %。增减变化的主要原因是：本单位减少两个项目，项目拨款减少286.53万元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财政拨款支出1259.95万元，与上年相比，减少286.53万元，降低18.53%，其中：基本支出1.46万元，增加4.24%，主要原因是：基本支出中人员经费增加1.31万元，增加6.46%，日常公用经费增加0.15万元，增加1.05%；</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项目支出减少288万元，降低19.05%，减少原因为本单位减少两个项目，有偿资金减少288万元。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与预算相比情况： 2017年财政拨款收入1259.95万元，其中：基本支出35.96万元，与预算一致，无变化； 项目支出1224万元，比预算增加1224万元，主要是调增农业综合开发项目预算数1224万元。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（二）一般公共预算支出决算情况说明</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2017年度一般公共预算财政拨款支出1259.95万元，与上年相比，减少286.53万元，降低18.53% 。增减变化的主要原因是项目支出有偿资金减少288万元。其中：</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按功能分类科目：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社会保障和就业支出（2080505款项事业单位基本养老保险缴费）2.77万元，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农林水支出1257.18万元（其中：2130601款项行政运行支出33.18万元，2130699款项其他农业综合开发支出1224万元）；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按经济分类科目：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301款项工资福利支出18.25万元，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302款项商品和服务支出13.17万元，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303款项对个人和家庭的补助支出3.41万元。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与预算相比情况：</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2017年度社会保障和就业支出 2.77万元，与预算一致，无变化；</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农林水支出1257.18万，比预算增加1224万元， 主要是调增农业综合开发项目预算数1224万元。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（三）政府性基金预算收支决算情况说明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2017年度政府性基金预算财政拨款收入0万元，与上年相比，增加0万元，增长0%。增减变化的主要原因是：年初无预算安排。政府性基金预算财政拨款支出0元，与上年相比，增加0元，增长0%。增减变化的主要原因是：严格执行预算。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与预算相比情况。年初无预算安排。</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 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（四）政府性基金预算支出决算情况说明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2017年度政府性基金预算支出0元。与上年相比，增加0万元，增长0%。增减变化的主要原因是：年初无预算安排。</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与预算相比情况。无预算</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 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三、部门结转结余情况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年末结转结余2.11万元，与上年相比，增加2.11万元，增长211%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其中财政拨款结转结余0万元，与上年相比，无增减变化。</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四、一般公共预算“三公”经费支出情况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2017年度一般公共预算“三公”经费支出决算0.71万元，比上年减少0.06万元，降低7.8%，减少原因主要为压缩公用经费。其中，公务用车购置及运行维护费支出0万元，占100%，比上年减少0.06万元，降低7.8%，减少原因主要为压缩公用经费；公务接待费支出0.71万元，占100%，比上年减少0.06万元，降低7.8%，减少原因主要为压缩公用经费。具体情况如下：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公务用车购置及运行维护费0万元,其中，公务用车购置0，公务用车运行维护费0万元。主要用于车辆燃油、维修费等。2017年，单位一般公共财政拨款安排的公务用车购置量0，保有量为0辆。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公务接待费0.71万元。具体是：国内公务接待支出0.71万元，主要是公务接待检查工作、加班等。玛纳斯县农业综合开发领导小组办公室国内公务接待12批次，125人次。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与预算相比情况:“三公”经费比预算0.9万元减少0.19万元，降低20.1%,减少原因主要为压缩公用经费。</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五、机关运行经费支出情况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本单位为事业单位，无机关运行经费，事业运行经费为13.17万元。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六、政府采购情况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玛纳斯县农业综合开发领导小组政府采购计划0万元，其中：政府采购货物支出0万元；实际采购0万元，其中：政府采购货物支出0万元。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七、其他重要事项的情况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（一）国有资产占用情况说明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截至2017年12月31日，资产总计55.27万元，其中：流动资产38.55万元，固定资产16.73万元，其中：房屋120（平方米），价值3万元，共有车辆0辆，单位价值50万元以上通用设备0台（套）、单位价值100万元以上专用设备0台（套），其他固定资产价值13.73万元。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（二）国有资产收益征缴情况说明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截至2017年12月31日，单位资产有偿使用收入合计0万元，资产处置收入合计0万元。其中：已缴国库0万元， 已缴财政专户0万元，应缴未缴0万元，单位留用0万元。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（三）部门项目支出情况和项目绩效评价情况说明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2017年度，本部门单位实行绩效管理的项目  2个，涉及预算0，项目支出决算1224万元。年末本部门单位民生项目和重点支出项目的绩效评价开展情况及结果：</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1、玛纳斯县新湖坪村0.5万亩高标准农田建设项目</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昌州农开办字[2017]32号文批复的玛纳斯县广东地乡新湖坪村0.5万亩高标准农田建设项目，该项目计划总投资630万元，其中：中央财政资金450万元，自治区财政配套资金144万元，州级财政配套资金18万元，县级财政配套资金18万元。项目计划建设滴灌3854亩；建设机耕路10.42公里；平整土地60亩；栽植防护林65亩；完成农民培训200人次。</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2、乐土驿镇文家庄0.5万亩高标准农田建设项目</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昌州农开办字[2017]33号文批复了玛纳斯县乐土驿镇文家庄村0.5万亩高标准农田建设项目，该项目计划总投资630万元，其中：中央财政资金450万元，自治区财政配套资金144万元，州级财政配套资金18万元，县级财政配套资金18万元。项目计划建设滴灌2354亩；建设渠道3285米；建设机耕路9.99公里；栽植防护林25亩；完成农民培训200人次。</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农发办完成了两个项目的实施方案报批、招标、实施，现工程已基本完成。</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其他有关说明内容：无</w:t>
      </w: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ind w:firstLine="600" w:firstLineChars="200"/>
        <w:rPr>
          <w:rFonts w:hint="eastAsia" w:ascii="仿宋" w:hAnsi="仿宋" w:eastAsia="仿宋" w:cs="仿宋"/>
          <w:sz w:val="30"/>
          <w:szCs w:val="30"/>
          <w:lang w:val="en-US" w:eastAsia="zh-CN"/>
        </w:rPr>
      </w:pPr>
    </w:p>
    <w:p>
      <w:pPr>
        <w:spacing w:after="0" w:line="520" w:lineRule="exact"/>
        <w:rPr>
          <w:rFonts w:hint="eastAsia" w:ascii="仿宋" w:hAnsi="仿宋" w:eastAsia="仿宋" w:cs="仿宋"/>
          <w:sz w:val="30"/>
          <w:szCs w:val="30"/>
          <w:lang w:val="en-US" w:eastAsia="zh-CN"/>
        </w:rPr>
      </w:pPr>
    </w:p>
    <w:p>
      <w:pPr>
        <w:spacing w:line="220" w:lineRule="atLeast"/>
        <w:ind w:firstLine="2400" w:firstLineChars="800"/>
        <w:jc w:val="both"/>
        <w:rPr>
          <w:rFonts w:hint="eastAsia" w:ascii="仿宋" w:hAnsi="仿宋" w:eastAsia="仿宋" w:cs="仿宋"/>
          <w:sz w:val="30"/>
          <w:szCs w:val="30"/>
        </w:rPr>
      </w:pPr>
    </w:p>
    <w:p>
      <w:pPr>
        <w:spacing w:line="220" w:lineRule="atLeast"/>
        <w:ind w:firstLine="2400" w:firstLineChars="800"/>
        <w:jc w:val="both"/>
        <w:rPr>
          <w:rFonts w:hint="eastAsia"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财政拨款收入：指同级财政当年拨付的资金。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上级补助收入：指事业单位从主管部门和上级单位取得的非财政补助收入。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事业收入：指事业单位开展专业业务活动及其辅助活动所取得的收入。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经营收入：指事业单位在专业业务活动及其辅助活动之外开展非独立核算经营活动取得的收入。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附属单位缴款：指事业单位附属的独立核算单位按有关规定上缴的收入。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其他收入：指除上述“财政拨款收入”、“事业收入”、“经营收入”、“附属单位缴款”等之外取得的收入。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结余分配：反映单位当年结余的分配情况。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基本支出：指为保障机构正常运转、完成日常工作任务而发生的人员支出和公用支出。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项目支出：指在基本支出之外为完成特定行政任务和事业发展目标所发生的支出。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经营支出：指事业单位在专业业务活动及其辅助活动之外开展非独立核算经营活动发生的支出。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对附属单位补助支出：指事业单位发生的用非财政预算资金对附属单位的补助支出。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本单位支出功能分类说明。208（类）05（款）05（项）：指机关事业单位基本养老保险缴费。  213（类）06（款）01（项）：指行政运行支出。  213（类）06（款）99（项）：指其他农业综合开发支出。</w:t>
      </w:r>
    </w:p>
    <w:p>
      <w:pPr>
        <w:spacing w:line="220" w:lineRule="atLeast"/>
        <w:ind w:firstLine="600" w:firstLineChars="200"/>
        <w:jc w:val="center"/>
        <w:rPr>
          <w:rFonts w:hint="eastAsia" w:ascii="仿宋" w:hAnsi="仿宋" w:eastAsia="仿宋" w:cs="仿宋"/>
          <w:sz w:val="30"/>
          <w:szCs w:val="30"/>
        </w:rPr>
      </w:pPr>
    </w:p>
    <w:p>
      <w:pPr>
        <w:spacing w:line="220" w:lineRule="atLeast"/>
        <w:ind w:firstLine="600" w:firstLineChars="200"/>
        <w:jc w:val="center"/>
        <w:rPr>
          <w:rFonts w:hint="eastAsia"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四、《支出决算表》 </w:t>
      </w:r>
      <w:bookmarkStart w:id="0" w:name="_GoBack"/>
      <w:bookmarkEnd w:id="0"/>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line="220" w:lineRule="atLeas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rPr>
          <w:rFonts w:hint="eastAsia" w:ascii="仿宋" w:hAnsi="仿宋" w:eastAsia="仿宋" w:cs="仿宋"/>
          <w:sz w:val="30"/>
          <w:szCs w:val="30"/>
        </w:rPr>
      </w:pPr>
    </w:p>
    <w:sectPr>
      <w:foot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12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240"/>
    <w:rsid w:val="00002AA9"/>
    <w:rsid w:val="00014355"/>
    <w:rsid w:val="00015E19"/>
    <w:rsid w:val="000160DC"/>
    <w:rsid w:val="00021995"/>
    <w:rsid w:val="00022527"/>
    <w:rsid w:val="00027DDF"/>
    <w:rsid w:val="00040F11"/>
    <w:rsid w:val="0005004A"/>
    <w:rsid w:val="00066A07"/>
    <w:rsid w:val="000774D3"/>
    <w:rsid w:val="000851B9"/>
    <w:rsid w:val="000A5EF3"/>
    <w:rsid w:val="000E790E"/>
    <w:rsid w:val="001100C4"/>
    <w:rsid w:val="001312DC"/>
    <w:rsid w:val="00133FAD"/>
    <w:rsid w:val="001349E1"/>
    <w:rsid w:val="001577C5"/>
    <w:rsid w:val="00160308"/>
    <w:rsid w:val="0017497A"/>
    <w:rsid w:val="00182772"/>
    <w:rsid w:val="001B0FD9"/>
    <w:rsid w:val="001C404A"/>
    <w:rsid w:val="00211EF1"/>
    <w:rsid w:val="00227695"/>
    <w:rsid w:val="00230054"/>
    <w:rsid w:val="0023560C"/>
    <w:rsid w:val="00237D14"/>
    <w:rsid w:val="0024451F"/>
    <w:rsid w:val="00255448"/>
    <w:rsid w:val="00256DAC"/>
    <w:rsid w:val="00273D8D"/>
    <w:rsid w:val="00283E44"/>
    <w:rsid w:val="002868B5"/>
    <w:rsid w:val="00286F70"/>
    <w:rsid w:val="002A01D7"/>
    <w:rsid w:val="002D4CE9"/>
    <w:rsid w:val="002D57D2"/>
    <w:rsid w:val="002E5B83"/>
    <w:rsid w:val="00300368"/>
    <w:rsid w:val="00321DEA"/>
    <w:rsid w:val="003447CB"/>
    <w:rsid w:val="00360B9C"/>
    <w:rsid w:val="00361AE3"/>
    <w:rsid w:val="00366371"/>
    <w:rsid w:val="00380734"/>
    <w:rsid w:val="00381BA5"/>
    <w:rsid w:val="00387740"/>
    <w:rsid w:val="003968AC"/>
    <w:rsid w:val="003A7CB3"/>
    <w:rsid w:val="003D1296"/>
    <w:rsid w:val="00426506"/>
    <w:rsid w:val="00462A88"/>
    <w:rsid w:val="00472A92"/>
    <w:rsid w:val="00475689"/>
    <w:rsid w:val="00482741"/>
    <w:rsid w:val="004A63D8"/>
    <w:rsid w:val="004B05C3"/>
    <w:rsid w:val="004B5DCE"/>
    <w:rsid w:val="005072D7"/>
    <w:rsid w:val="00510D14"/>
    <w:rsid w:val="005168C7"/>
    <w:rsid w:val="00534B1D"/>
    <w:rsid w:val="00536E13"/>
    <w:rsid w:val="00541646"/>
    <w:rsid w:val="00541EA3"/>
    <w:rsid w:val="00545271"/>
    <w:rsid w:val="00557E6B"/>
    <w:rsid w:val="00567A8C"/>
    <w:rsid w:val="00575505"/>
    <w:rsid w:val="005A2764"/>
    <w:rsid w:val="005A7725"/>
    <w:rsid w:val="005B0272"/>
    <w:rsid w:val="005B47B6"/>
    <w:rsid w:val="005B7FCA"/>
    <w:rsid w:val="005F31B8"/>
    <w:rsid w:val="005F7240"/>
    <w:rsid w:val="00601C7E"/>
    <w:rsid w:val="00606F8F"/>
    <w:rsid w:val="0064344B"/>
    <w:rsid w:val="00644548"/>
    <w:rsid w:val="00653D2D"/>
    <w:rsid w:val="00675754"/>
    <w:rsid w:val="006C01E2"/>
    <w:rsid w:val="006C74D6"/>
    <w:rsid w:val="006D39A0"/>
    <w:rsid w:val="006E2127"/>
    <w:rsid w:val="006E5B06"/>
    <w:rsid w:val="006F066A"/>
    <w:rsid w:val="006F0D15"/>
    <w:rsid w:val="00704FC4"/>
    <w:rsid w:val="00722759"/>
    <w:rsid w:val="00756A78"/>
    <w:rsid w:val="007603E0"/>
    <w:rsid w:val="0076656E"/>
    <w:rsid w:val="0078108E"/>
    <w:rsid w:val="00782912"/>
    <w:rsid w:val="00787248"/>
    <w:rsid w:val="00790CB2"/>
    <w:rsid w:val="007A5562"/>
    <w:rsid w:val="007A5D71"/>
    <w:rsid w:val="007B66BF"/>
    <w:rsid w:val="007C096B"/>
    <w:rsid w:val="007C4B92"/>
    <w:rsid w:val="007E13A8"/>
    <w:rsid w:val="00800BF6"/>
    <w:rsid w:val="00802027"/>
    <w:rsid w:val="0080744B"/>
    <w:rsid w:val="00807CB7"/>
    <w:rsid w:val="00814D5D"/>
    <w:rsid w:val="00824F76"/>
    <w:rsid w:val="00844BD6"/>
    <w:rsid w:val="00855767"/>
    <w:rsid w:val="008607DA"/>
    <w:rsid w:val="00891DE9"/>
    <w:rsid w:val="00893777"/>
    <w:rsid w:val="008C3C23"/>
    <w:rsid w:val="008D4E62"/>
    <w:rsid w:val="008E25F0"/>
    <w:rsid w:val="008E7424"/>
    <w:rsid w:val="008F2A88"/>
    <w:rsid w:val="00902882"/>
    <w:rsid w:val="00903C83"/>
    <w:rsid w:val="00912036"/>
    <w:rsid w:val="009241D5"/>
    <w:rsid w:val="009254E8"/>
    <w:rsid w:val="0094175D"/>
    <w:rsid w:val="009510C2"/>
    <w:rsid w:val="00957388"/>
    <w:rsid w:val="009836C4"/>
    <w:rsid w:val="0099353E"/>
    <w:rsid w:val="009A178A"/>
    <w:rsid w:val="009C1EAF"/>
    <w:rsid w:val="009C2BA8"/>
    <w:rsid w:val="009E3408"/>
    <w:rsid w:val="009F217A"/>
    <w:rsid w:val="009F7BBA"/>
    <w:rsid w:val="00A051FE"/>
    <w:rsid w:val="00A127A6"/>
    <w:rsid w:val="00A6222B"/>
    <w:rsid w:val="00A9549C"/>
    <w:rsid w:val="00A96FF7"/>
    <w:rsid w:val="00A9700A"/>
    <w:rsid w:val="00AC4441"/>
    <w:rsid w:val="00AD0A04"/>
    <w:rsid w:val="00AE4356"/>
    <w:rsid w:val="00B10BD8"/>
    <w:rsid w:val="00B1709B"/>
    <w:rsid w:val="00B323F2"/>
    <w:rsid w:val="00B333E8"/>
    <w:rsid w:val="00B3392A"/>
    <w:rsid w:val="00B3530D"/>
    <w:rsid w:val="00B51794"/>
    <w:rsid w:val="00B7184E"/>
    <w:rsid w:val="00B77683"/>
    <w:rsid w:val="00B9281B"/>
    <w:rsid w:val="00B94711"/>
    <w:rsid w:val="00BA1FF3"/>
    <w:rsid w:val="00BB02E4"/>
    <w:rsid w:val="00BC04FB"/>
    <w:rsid w:val="00BC73CB"/>
    <w:rsid w:val="00BE0785"/>
    <w:rsid w:val="00BE1AB1"/>
    <w:rsid w:val="00BE4E2C"/>
    <w:rsid w:val="00C27A22"/>
    <w:rsid w:val="00C551A5"/>
    <w:rsid w:val="00C7507A"/>
    <w:rsid w:val="00C76FAC"/>
    <w:rsid w:val="00C81CBC"/>
    <w:rsid w:val="00C97D26"/>
    <w:rsid w:val="00CA4494"/>
    <w:rsid w:val="00CA5634"/>
    <w:rsid w:val="00CA740C"/>
    <w:rsid w:val="00CA762D"/>
    <w:rsid w:val="00CB4FCF"/>
    <w:rsid w:val="00CB6261"/>
    <w:rsid w:val="00CB6534"/>
    <w:rsid w:val="00CD1723"/>
    <w:rsid w:val="00CD6084"/>
    <w:rsid w:val="00D01B34"/>
    <w:rsid w:val="00D01E11"/>
    <w:rsid w:val="00D04B1B"/>
    <w:rsid w:val="00D226F3"/>
    <w:rsid w:val="00D233E0"/>
    <w:rsid w:val="00D3272A"/>
    <w:rsid w:val="00D34A32"/>
    <w:rsid w:val="00D40665"/>
    <w:rsid w:val="00D46D47"/>
    <w:rsid w:val="00D517A0"/>
    <w:rsid w:val="00D90ADD"/>
    <w:rsid w:val="00DA142B"/>
    <w:rsid w:val="00DA5EFC"/>
    <w:rsid w:val="00DB29FF"/>
    <w:rsid w:val="00DF450D"/>
    <w:rsid w:val="00DF6FC2"/>
    <w:rsid w:val="00E00ABE"/>
    <w:rsid w:val="00E1065F"/>
    <w:rsid w:val="00E2094A"/>
    <w:rsid w:val="00E320B6"/>
    <w:rsid w:val="00E72375"/>
    <w:rsid w:val="00E949E8"/>
    <w:rsid w:val="00ED62D4"/>
    <w:rsid w:val="00EE242F"/>
    <w:rsid w:val="00F31A04"/>
    <w:rsid w:val="00F320F3"/>
    <w:rsid w:val="00F34A46"/>
    <w:rsid w:val="00F3685D"/>
    <w:rsid w:val="00F51FF6"/>
    <w:rsid w:val="00F5599D"/>
    <w:rsid w:val="00F5703E"/>
    <w:rsid w:val="00F71CA6"/>
    <w:rsid w:val="00F764C7"/>
    <w:rsid w:val="00F84A6F"/>
    <w:rsid w:val="00F908B1"/>
    <w:rsid w:val="00F915C3"/>
    <w:rsid w:val="00F960B3"/>
    <w:rsid w:val="00FB214D"/>
    <w:rsid w:val="00FB4BF1"/>
    <w:rsid w:val="00FC11AE"/>
    <w:rsid w:val="00FD60F7"/>
    <w:rsid w:val="00FE1178"/>
    <w:rsid w:val="00FF3154"/>
    <w:rsid w:val="026D2A85"/>
    <w:rsid w:val="0347273E"/>
    <w:rsid w:val="052D3992"/>
    <w:rsid w:val="07884D99"/>
    <w:rsid w:val="0F7D56D9"/>
    <w:rsid w:val="15B13704"/>
    <w:rsid w:val="16492BA6"/>
    <w:rsid w:val="16662BE5"/>
    <w:rsid w:val="1A287CD7"/>
    <w:rsid w:val="1A447548"/>
    <w:rsid w:val="1D2579D5"/>
    <w:rsid w:val="1D481DCD"/>
    <w:rsid w:val="1E6A3F6D"/>
    <w:rsid w:val="2092079D"/>
    <w:rsid w:val="20E95DF5"/>
    <w:rsid w:val="213A54EE"/>
    <w:rsid w:val="2232325B"/>
    <w:rsid w:val="24513038"/>
    <w:rsid w:val="247C2D36"/>
    <w:rsid w:val="283A3AA4"/>
    <w:rsid w:val="2B3A4444"/>
    <w:rsid w:val="2C0973E8"/>
    <w:rsid w:val="2DEC39E9"/>
    <w:rsid w:val="30644D4B"/>
    <w:rsid w:val="31902AD7"/>
    <w:rsid w:val="32A07E77"/>
    <w:rsid w:val="34A21CEB"/>
    <w:rsid w:val="358933E8"/>
    <w:rsid w:val="35B0159D"/>
    <w:rsid w:val="37843713"/>
    <w:rsid w:val="3A5A02C6"/>
    <w:rsid w:val="3C431E86"/>
    <w:rsid w:val="3EA354F1"/>
    <w:rsid w:val="40AF788B"/>
    <w:rsid w:val="41A453F3"/>
    <w:rsid w:val="41E711B4"/>
    <w:rsid w:val="42075F03"/>
    <w:rsid w:val="43163B42"/>
    <w:rsid w:val="43541C80"/>
    <w:rsid w:val="442F57A1"/>
    <w:rsid w:val="44EB455A"/>
    <w:rsid w:val="470B4360"/>
    <w:rsid w:val="47FF3D27"/>
    <w:rsid w:val="481B3FDB"/>
    <w:rsid w:val="49AF5876"/>
    <w:rsid w:val="4C3D6795"/>
    <w:rsid w:val="4DEE2460"/>
    <w:rsid w:val="4E825CAF"/>
    <w:rsid w:val="4EDC6F44"/>
    <w:rsid w:val="550B4D9E"/>
    <w:rsid w:val="56D47C77"/>
    <w:rsid w:val="59900105"/>
    <w:rsid w:val="5CA62D0E"/>
    <w:rsid w:val="5D114DD7"/>
    <w:rsid w:val="5D2570C9"/>
    <w:rsid w:val="61386964"/>
    <w:rsid w:val="62EE6D8D"/>
    <w:rsid w:val="632F0C6D"/>
    <w:rsid w:val="657278A6"/>
    <w:rsid w:val="6630682D"/>
    <w:rsid w:val="664F3C61"/>
    <w:rsid w:val="66ED1848"/>
    <w:rsid w:val="67C0346E"/>
    <w:rsid w:val="6D0F5AFF"/>
    <w:rsid w:val="6DF979C6"/>
    <w:rsid w:val="72EE0DD4"/>
    <w:rsid w:val="73C408FE"/>
    <w:rsid w:val="764F7B7A"/>
    <w:rsid w:val="76AA02F5"/>
    <w:rsid w:val="77422EC9"/>
    <w:rsid w:val="79720884"/>
    <w:rsid w:val="7AF44765"/>
    <w:rsid w:val="7B406DDB"/>
    <w:rsid w:val="7B5305B5"/>
    <w:rsid w:val="7B58304C"/>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character" w:default="1" w:styleId="7">
    <w:name w:val="Default Paragraph Font"/>
    <w:semiHidden/>
    <w:qFormat/>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1"/>
    <w:semiHidden/>
    <w:qFormat/>
    <w:uiPriority w:val="99"/>
  </w:style>
  <w:style w:type="paragraph" w:styleId="3">
    <w:name w:val="Balloon Text"/>
    <w:basedOn w:val="1"/>
    <w:link w:val="14"/>
    <w:semiHidden/>
    <w:qFormat/>
    <w:uiPriority w:val="99"/>
    <w:rPr>
      <w:sz w:val="18"/>
      <w:szCs w:val="18"/>
    </w:rPr>
  </w:style>
  <w:style w:type="paragraph" w:styleId="4">
    <w:name w:val="footer"/>
    <w:basedOn w:val="1"/>
    <w:link w:val="12"/>
    <w:semiHidden/>
    <w:qFormat/>
    <w:uiPriority w:val="99"/>
    <w:pPr>
      <w:tabs>
        <w:tab w:val="center" w:pos="4153"/>
        <w:tab w:val="right" w:pos="8306"/>
      </w:tabs>
    </w:pPr>
    <w:rPr>
      <w:sz w:val="18"/>
      <w:szCs w:val="18"/>
    </w:rPr>
  </w:style>
  <w:style w:type="paragraph" w:styleId="5">
    <w:name w:val="header"/>
    <w:basedOn w:val="1"/>
    <w:link w:val="13"/>
    <w:semiHidden/>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szCs w:val="18"/>
    </w:rPr>
  </w:style>
  <w:style w:type="paragraph" w:styleId="6">
    <w:name w:val="Normal (Web)"/>
    <w:basedOn w:val="1"/>
    <w:qFormat/>
    <w:uiPriority w:val="99"/>
    <w:pPr>
      <w:widowControl w:val="0"/>
      <w:adjustRightInd/>
      <w:snapToGrid/>
      <w:spacing w:after="0"/>
      <w:jc w:val="both"/>
    </w:pPr>
    <w:rPr>
      <w:rFonts w:ascii="Times New Roman" w:hAnsi="Times New Roman" w:eastAsia="宋体" w:cs="Times New Roman"/>
      <w:kern w:val="2"/>
      <w:sz w:val="24"/>
      <w:szCs w:val="24"/>
    </w:rPr>
  </w:style>
  <w:style w:type="character" w:styleId="8">
    <w:name w:val="annotation reference"/>
    <w:basedOn w:val="7"/>
    <w:semiHidden/>
    <w:qFormat/>
    <w:uiPriority w:val="99"/>
    <w:rPr>
      <w:sz w:val="21"/>
      <w:szCs w:val="21"/>
    </w:rPr>
  </w:style>
  <w:style w:type="table" w:styleId="10">
    <w:name w:val="Table Grid"/>
    <w:basedOn w:val="9"/>
    <w:qFormat/>
    <w:uiPriority w:val="99"/>
    <w:pPr>
      <w:widowControl w:val="0"/>
      <w:jc w:val="both"/>
    </w:pPr>
    <w:rPr>
      <w:rFonts w:eastAsia="微软雅黑"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Comment Text Char"/>
    <w:basedOn w:val="7"/>
    <w:link w:val="2"/>
    <w:semiHidden/>
    <w:qFormat/>
    <w:locked/>
    <w:uiPriority w:val="99"/>
    <w:rPr>
      <w:rFonts w:ascii="Tahoma" w:hAnsi="Tahoma" w:eastAsia="微软雅黑" w:cs="Tahoma"/>
      <w:kern w:val="0"/>
      <w:sz w:val="22"/>
      <w:szCs w:val="22"/>
    </w:rPr>
  </w:style>
  <w:style w:type="character" w:customStyle="1" w:styleId="12">
    <w:name w:val="Footer Char"/>
    <w:basedOn w:val="7"/>
    <w:link w:val="4"/>
    <w:semiHidden/>
    <w:qFormat/>
    <w:locked/>
    <w:uiPriority w:val="99"/>
    <w:rPr>
      <w:rFonts w:ascii="Tahoma" w:hAnsi="Tahoma" w:eastAsia="微软雅黑" w:cs="Tahoma"/>
      <w:kern w:val="0"/>
      <w:sz w:val="18"/>
      <w:szCs w:val="18"/>
    </w:rPr>
  </w:style>
  <w:style w:type="character" w:customStyle="1" w:styleId="13">
    <w:name w:val="Header Char"/>
    <w:basedOn w:val="7"/>
    <w:link w:val="5"/>
    <w:semiHidden/>
    <w:qFormat/>
    <w:locked/>
    <w:uiPriority w:val="99"/>
    <w:rPr>
      <w:rFonts w:ascii="Tahoma" w:hAnsi="Tahoma" w:eastAsia="微软雅黑" w:cs="Tahoma"/>
      <w:kern w:val="0"/>
      <w:sz w:val="18"/>
      <w:szCs w:val="18"/>
    </w:rPr>
  </w:style>
  <w:style w:type="character" w:customStyle="1" w:styleId="14">
    <w:name w:val="Balloon Text Char"/>
    <w:basedOn w:val="7"/>
    <w:link w:val="3"/>
    <w:semiHidden/>
    <w:qFormat/>
    <w:locked/>
    <w:uiPriority w:val="99"/>
    <w:rPr>
      <w:rFonts w:ascii="Tahoma" w:hAnsi="Tahoma" w:eastAsia="微软雅黑" w:cs="Tahoma"/>
      <w:kern w:val="0"/>
      <w:sz w:val="2"/>
      <w:szCs w:val="2"/>
    </w:rPr>
  </w:style>
  <w:style w:type="paragraph" w:customStyle="1" w:styleId="15">
    <w:name w:val="p15"/>
    <w:basedOn w:val="1"/>
    <w:qFormat/>
    <w:uiPriority w:val="99"/>
    <w:pPr>
      <w:adjustRightInd/>
      <w:snapToGrid/>
      <w:spacing w:after="0"/>
      <w:jc w:val="both"/>
    </w:pPr>
    <w:rPr>
      <w:rFonts w:ascii="Times New Roman" w:hAnsi="Times New Roman" w:eastAsia="宋体" w:cs="Times New Roman"/>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丰华文化用品广场</Company>
  <Pages>12</Pages>
  <Words>904</Words>
  <Characters>5156</Characters>
  <Lines>0</Lines>
  <Paragraphs>0</Paragraphs>
  <TotalTime>0</TotalTime>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2019-05-06T06:47:20Z</dcterms:modified>
  <cp:revision>170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