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520" w:lineRule="exact"/>
        <w:ind w:firstLine="720" w:firstLineChars="200"/>
        <w:rPr>
          <w:rFonts w:ascii="仿宋" w:hAnsi="仿宋" w:eastAsia="仿宋" w:cs="仿宋"/>
          <w:sz w:val="36"/>
          <w:szCs w:val="36"/>
        </w:rPr>
      </w:pPr>
      <w:r>
        <w:rPr>
          <w:rFonts w:hint="eastAsia" w:ascii="仿宋" w:hAnsi="仿宋" w:eastAsia="仿宋" w:cs="仿宋"/>
          <w:sz w:val="36"/>
          <w:szCs w:val="36"/>
        </w:rPr>
        <w:t xml:space="preserve">2017年度玛纳斯镇双语幼儿园部门决算公开说明 </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after="0" w:line="520" w:lineRule="exact"/>
        <w:ind w:firstLine="643" w:firstLineChars="200"/>
        <w:jc w:val="center"/>
        <w:rPr>
          <w:rFonts w:ascii="仿宋" w:hAnsi="仿宋" w:eastAsia="仿宋" w:cs="仿宋"/>
          <w:b/>
          <w:sz w:val="32"/>
          <w:szCs w:val="32"/>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第一部分玛纳斯镇双语幼儿园概况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2017</w:t>
      </w:r>
      <w:r>
        <w:rPr>
          <w:rFonts w:hint="eastAsia" w:ascii="仿宋" w:hAnsi="仿宋" w:eastAsia="仿宋" w:cs="仿宋"/>
          <w:sz w:val="30"/>
          <w:szCs w:val="30"/>
        </w:rPr>
        <w:t xml:space="preserve">年度一般公共预算“三公”经费支出情况表》 </w:t>
      </w: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hint="eastAsia"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left="600" w:right="0" w:rightChars="0"/>
        <w:jc w:val="left"/>
        <w:textAlignment w:val="auto"/>
        <w:outlineLvl w:val="9"/>
        <w:rPr>
          <w:rFonts w:hint="eastAsia" w:ascii="仿宋" w:hAnsi="仿宋" w:eastAsia="仿宋" w:cs="仿宋"/>
          <w:color w:val="333333"/>
          <w:sz w:val="30"/>
          <w:szCs w:val="30"/>
        </w:rPr>
      </w:pPr>
      <w:r>
        <w:rPr>
          <w:rFonts w:hint="eastAsia" w:ascii="仿宋" w:hAnsi="仿宋" w:eastAsia="仿宋" w:cs="仿宋"/>
          <w:color w:val="333333"/>
          <w:sz w:val="30"/>
          <w:szCs w:val="30"/>
        </w:rPr>
        <w:t>一、部门单位基本情况：</w:t>
      </w:r>
    </w:p>
    <w:p>
      <w:pPr>
        <w:keepNext w:val="0"/>
        <w:keepLines w:val="0"/>
        <w:pageBreakBefore w:val="0"/>
        <w:widowControl/>
        <w:shd w:val="clear" w:color="auto" w:fill="FFFFFF"/>
        <w:kinsoku/>
        <w:wordWrap/>
        <w:overflowPunct/>
        <w:topLinePunct w:val="0"/>
        <w:autoSpaceDE/>
        <w:autoSpaceDN/>
        <w:bidi w:val="0"/>
        <w:adjustRightInd w:val="0"/>
        <w:snapToGrid w:val="0"/>
        <w:spacing w:beforeAutospacing="0" w:after="0" w:line="520" w:lineRule="exact"/>
        <w:ind w:right="0" w:rightChars="0" w:firstLine="480"/>
        <w:jc w:val="left"/>
        <w:textAlignment w:val="auto"/>
        <w:outlineLvl w:val="9"/>
        <w:rPr>
          <w:rFonts w:hint="eastAsia" w:ascii="仿宋" w:hAnsi="仿宋" w:eastAsia="仿宋" w:cs="仿宋"/>
          <w:color w:val="333333"/>
          <w:sz w:val="30"/>
          <w:szCs w:val="30"/>
        </w:rPr>
      </w:pPr>
      <w:r>
        <w:rPr>
          <w:rFonts w:hint="eastAsia" w:ascii="仿宋" w:hAnsi="仿宋" w:eastAsia="仿宋" w:cs="仿宋"/>
          <w:color w:val="333333"/>
          <w:sz w:val="30"/>
          <w:szCs w:val="30"/>
        </w:rPr>
        <w:t>玛纳斯镇幼儿园，学校占地面积17342平方米，校舍建筑总面积5500平方米。现有12个教学班，学校共有编制教职工27名，年末实有人数495人，</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left="600" w:right="0" w:rightChars="0"/>
        <w:jc w:val="left"/>
        <w:textAlignment w:val="auto"/>
        <w:outlineLvl w:val="9"/>
        <w:rPr>
          <w:rFonts w:hint="eastAsia" w:ascii="仿宋" w:hAnsi="仿宋" w:eastAsia="仿宋" w:cs="仿宋"/>
          <w:b/>
          <w:bCs/>
          <w:color w:val="FF0000"/>
          <w:sz w:val="30"/>
          <w:szCs w:val="30"/>
        </w:rPr>
      </w:pPr>
      <w:r>
        <w:rPr>
          <w:rFonts w:hint="eastAsia" w:ascii="仿宋" w:hAnsi="仿宋" w:eastAsia="仿宋" w:cs="仿宋"/>
          <w:sz w:val="30"/>
          <w:szCs w:val="30"/>
        </w:rPr>
        <w:t>玛纳斯镇幼儿园设置主要部门如下：校党支部、办公室、总务处</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1、校党支部及其主要职能是：</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一、做好当前</w:t>
      </w:r>
      <w:r>
        <w:rPr>
          <w:rFonts w:hint="eastAsia" w:ascii="仿宋" w:hAnsi="仿宋" w:eastAsia="仿宋" w:cs="仿宋"/>
          <w:sz w:val="30"/>
          <w:szCs w:val="30"/>
          <w:lang w:eastAsia="zh-CN"/>
        </w:rPr>
        <w:t>各项</w:t>
      </w:r>
      <w:r>
        <w:rPr>
          <w:rFonts w:hint="eastAsia" w:ascii="仿宋" w:hAnsi="仿宋" w:eastAsia="仿宋" w:cs="仿宋"/>
          <w:sz w:val="30"/>
          <w:szCs w:val="30"/>
        </w:rPr>
        <w:t>工作，确保校园内不发生</w:t>
      </w:r>
      <w:r>
        <w:rPr>
          <w:rFonts w:hint="eastAsia" w:ascii="仿宋" w:hAnsi="仿宋" w:eastAsia="仿宋" w:cs="仿宋"/>
          <w:sz w:val="30"/>
          <w:szCs w:val="30"/>
          <w:lang w:eastAsia="zh-CN"/>
        </w:rPr>
        <w:t>任何</w:t>
      </w:r>
      <w:r>
        <w:rPr>
          <w:rFonts w:hint="eastAsia" w:ascii="仿宋" w:hAnsi="仿宋" w:eastAsia="仿宋" w:cs="仿宋"/>
          <w:sz w:val="30"/>
          <w:szCs w:val="30"/>
        </w:rPr>
        <w:t>事件，认真抓好学校党的思想、组织、作风建设，加强党的教育、管理，努力提高党员的素质，充分发挥党员的先锋模范作用。</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二、保证、监督校长正确贯彻执行党和国家的教育方针、政策、法规，保证办学的社会主义方向。</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三、对学校行政工作的重大问题提出意见和建议， 参与决策，支持校长充分行使职权。</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四、发挥党员以身作则作用； 做好全体教职员工的思想政治工作，配合校长抓好学校的德育工作。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五、坚持党管干部的原则，加强对学校后备干部、中层干部的教育、培养、考察。</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六、根据党章规定，做好发展党员工作，做好党员的评议、鉴定工作。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七、领导学校工会、共青团、等群众组织。工会的工作职能</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一、充分发挥工会的教育职能，努力抓好教职工队伍建设</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二、充分发挥工会的监督职能， 积极完善校园民主政治制度建设</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三、充分发挥工会的维权职能， 切实维护教职工的合法利益</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四、充分发挥工会的协调职能，努力促进校园和谐</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2、办公室及其工作职能</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玛纳斯镇幼儿园办公室是学校行政的综合办事机构。 其主要职能是围绕学校中心工作，积极发挥参谋助手作用，负责综合协调、信息枢纽、督促检查等工作。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一、参谋职能：全面及时掌握全校情况和动态，做好全校日常行政管理工作，负责全校年度工作计划、总结。围绕学校重大事项和中心工作开展调查研究工作，分析、研究并提意见。</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三、管理职能：参与全校管理事务，负责教职工聘用、工资审核等工作，做好岗位考勤统计、审核工作，配合总务处做好有关的资金核算工作。负责对中层干部的选拔聘用、考核及考核资料的搜集、 汇总和登记工作。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四、协调职能：主要抓好纵向协调、横向协调和内部协调，严格执行学校的规章制度，明确各处室职权，协调各处室、教职员工等方面关系，正确有效处理有关矛盾。教务处的工作职能教务处是学校教学的直接管理部门， 负责计划、组织、实施、管理教学工作的全过程。教务处需要协助校长确定教学管理的重点，并具体负责监督执行教学计划方案， 具体负责教学检查的组织实施，落实教学计划，确保学校教学不受干扰地正常进行。对学校的教学活动达到最有效的控制， 使学校内部各种与教学有关的机制协调运行，达到教和教学目标。</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其主要职能是：</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（1）行政职能，教务处对校长负责，根据党和国家有关方针政策要求和教学大纲、教计划、教科书的要求，制定本学校的教务计划，并组织实行；</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（2）参谋职能，对教务方面的重大改革提出方案，进行论证；</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（3）研究职能，对教务工作的重要课题、突破性课题、探索性课题、疑难性课题进行研究和实验；</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（4）服务性职能，在教育教学方面为教师、学生服务，从教材、实验设备、图书资料、教材教法、理论研究、教育规律探讨等方面，支持第一线教师的工作；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5）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 其主要职责是全面负责学校对学生的常规管理、 思想教育、日常行为规范的养成及学校有关的大型活动的组织工作， 促进学生良好行为习惯的养成及思想道德水平的提高。</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一、学生日常行为规范管理</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1、检查仪表仪态</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2、随时掌握学生思想、操行动态</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3、处理违纪现象</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4、开展德育课题</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5、加强学生政治思想教育</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二、学生安全健康工作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sz w:val="30"/>
          <w:szCs w:val="30"/>
        </w:rPr>
        <w:t>、建立健全学校、社会、家庭相结合的教育网络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、加强学生心理教育和法制教育</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、深化导师制管理制度</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三、班级管理工作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1、加强对班级、班主任的管理</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2、班级九项竞赛评比</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3、负责实施奖惩条例</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4、做好贫困生资助工作</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总务处及其工作职能：</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总务处是在校长领导下负责校园校舍、 物资财产、生活福利等总务行政管理的职能处室。</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其主要职能是：</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1、规化职能：做好全校总务工作，编制学校总务工作计划并组织实施，配合学校教学任务的完成。</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2、财务职能：遵守财经纪律，执行财务管理制度。做好学校学费、培训费的收取工作，做好财务核算、费用报销及审核工作，做好有关考勤、考核等奖金、工资发放工作。合理使用经费，按期报好报表。</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3、管理职能：负责学校基建、卫生保健、教学物品采购工作，协调本部门与校内外有关部门工作联系。 负责全校各种设备、器具、财产的管理、保养和维修，指导有关部门和人员合理使用。负责门岗管理。</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4、服务职能：负责学校后勤工作，负责全校教学区、教职工生活区卫生保洁的各类设施维修、监督、管理等工作。关心师生生活，办好食堂和教职工集体福利事业。</w:t>
      </w:r>
    </w:p>
    <w:p>
      <w:pPr>
        <w:keepNext w:val="0"/>
        <w:keepLines w:val="0"/>
        <w:pageBreakBefore w:val="0"/>
        <w:widowControl/>
        <w:kinsoku/>
        <w:wordWrap/>
        <w:overflowPunct/>
        <w:topLinePunct w:val="0"/>
        <w:autoSpaceDE/>
        <w:autoSpaceDN/>
        <w:bidi w:val="0"/>
        <w:adjustRightInd w:val="0"/>
        <w:snapToGrid w:val="0"/>
        <w:spacing w:beforeAutospacing="0" w:after="0" w:line="520" w:lineRule="exact"/>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w:t>
      </w:r>
      <w:r>
        <w:rPr>
          <w:rFonts w:hint="eastAsia" w:ascii="仿宋" w:hAnsi="仿宋" w:eastAsia="仿宋" w:cs="仿宋"/>
          <w:color w:val="333333"/>
          <w:sz w:val="30"/>
          <w:szCs w:val="30"/>
        </w:rPr>
        <w:t>玛纳斯镇幼儿</w:t>
      </w:r>
      <w:r>
        <w:rPr>
          <w:rFonts w:hint="eastAsia" w:ascii="仿宋" w:hAnsi="仿宋" w:eastAsia="仿宋" w:cs="仿宋"/>
          <w:sz w:val="30"/>
          <w:szCs w:val="30"/>
        </w:rPr>
        <w:t>部门决算包括：</w:t>
      </w:r>
      <w:r>
        <w:rPr>
          <w:rFonts w:hint="eastAsia" w:ascii="仿宋" w:hAnsi="仿宋" w:eastAsia="仿宋" w:cs="仿宋"/>
          <w:color w:val="333333"/>
          <w:sz w:val="30"/>
          <w:szCs w:val="30"/>
        </w:rPr>
        <w:t>玛纳斯镇幼儿</w:t>
      </w:r>
      <w:r>
        <w:rPr>
          <w:rFonts w:hint="eastAsia" w:ascii="仿宋" w:hAnsi="仿宋" w:eastAsia="仿宋" w:cs="仿宋"/>
          <w:sz w:val="30"/>
          <w:szCs w:val="30"/>
        </w:rPr>
        <w:t xml:space="preserve">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仿宋" w:hAnsi="仿宋" w:eastAsia="仿宋" w:cs="仿宋"/>
          <w:color w:val="333333"/>
          <w:sz w:val="30"/>
          <w:szCs w:val="30"/>
        </w:rPr>
        <w:t>玛纳斯镇幼儿</w:t>
      </w:r>
      <w:r>
        <w:rPr>
          <w:rFonts w:hint="eastAsia" w:ascii="仿宋" w:hAnsi="仿宋" w:eastAsia="仿宋" w:cs="仿宋"/>
          <w:color w:val="333333"/>
          <w:sz w:val="30"/>
          <w:szCs w:val="30"/>
          <w:lang w:val="en-US" w:eastAsia="zh-CN"/>
        </w:rPr>
        <w:t>2017</w:t>
      </w:r>
      <w:r>
        <w:rPr>
          <w:rFonts w:hint="eastAsia" w:ascii="仿宋" w:hAnsi="仿宋" w:eastAsia="仿宋" w:cs="仿宋"/>
          <w:sz w:val="30"/>
          <w:szCs w:val="30"/>
        </w:rPr>
        <w:t xml:space="preserve">年部门决算编制范围的单位名单见下表： </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0"/>
        <w:gridCol w:w="4470"/>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447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052"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0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4470" w:type="dxa"/>
          </w:tcPr>
          <w:p>
            <w:pPr>
              <w:widowControl w:val="0"/>
              <w:spacing w:line="220" w:lineRule="atLeast"/>
              <w:jc w:val="center"/>
              <w:rPr>
                <w:rFonts w:ascii="仿宋" w:hAnsi="仿宋" w:eastAsia="仿宋" w:cs="仿宋"/>
                <w:sz w:val="30"/>
                <w:szCs w:val="30"/>
              </w:rPr>
            </w:pPr>
            <w:r>
              <w:rPr>
                <w:rFonts w:hint="eastAsia" w:ascii="仿宋" w:hAnsi="仿宋" w:eastAsia="仿宋" w:cs="仿宋"/>
                <w:color w:val="333333"/>
                <w:sz w:val="30"/>
                <w:szCs w:val="30"/>
              </w:rPr>
              <w:t>玛纳斯镇</w:t>
            </w:r>
            <w:bookmarkStart w:id="0" w:name="_GoBack"/>
            <w:bookmarkEnd w:id="0"/>
            <w:r>
              <w:rPr>
                <w:rFonts w:hint="eastAsia" w:ascii="仿宋" w:hAnsi="仿宋" w:eastAsia="仿宋" w:cs="仿宋"/>
                <w:color w:val="333333"/>
                <w:sz w:val="30"/>
                <w:szCs w:val="30"/>
              </w:rPr>
              <w:t>幼儿</w:t>
            </w:r>
            <w:r>
              <w:rPr>
                <w:rFonts w:hint="eastAsia" w:ascii="仿宋" w:hAnsi="仿宋" w:eastAsia="仿宋" w:cs="仿宋"/>
                <w:sz w:val="30"/>
                <w:szCs w:val="30"/>
              </w:rPr>
              <w:t>单位本级</w:t>
            </w:r>
          </w:p>
        </w:tc>
        <w:tc>
          <w:tcPr>
            <w:tcW w:w="2052" w:type="dxa"/>
          </w:tcPr>
          <w:p>
            <w:pPr>
              <w:widowControl w:val="0"/>
              <w:spacing w:line="220" w:lineRule="atLeast"/>
              <w:jc w:val="center"/>
              <w:rPr>
                <w:rFonts w:ascii="仿宋" w:hAnsi="仿宋" w:eastAsia="仿宋" w:cs="仿宋"/>
                <w:sz w:val="30"/>
                <w:szCs w:val="30"/>
              </w:rPr>
            </w:pPr>
          </w:p>
        </w:tc>
      </w:tr>
    </w:tbl>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p>
    <w:p>
      <w:pPr>
        <w:spacing w:after="0" w:line="520" w:lineRule="exact"/>
        <w:jc w:val="both"/>
        <w:rPr>
          <w:rFonts w:ascii="仿宋" w:hAnsi="仿宋" w:eastAsia="仿宋" w:cs="仿宋"/>
          <w:b/>
          <w:bCs/>
          <w:sz w:val="30"/>
          <w:szCs w:val="30"/>
        </w:rPr>
      </w:pPr>
    </w:p>
    <w:p>
      <w:pPr>
        <w:spacing w:after="0" w:line="520" w:lineRule="exact"/>
        <w:jc w:val="both"/>
        <w:rPr>
          <w:rFonts w:hint="eastAsia" w:ascii="仿宋" w:hAnsi="仿宋" w:eastAsia="仿宋" w:cs="仿宋"/>
          <w:b/>
          <w:bCs/>
          <w:sz w:val="30"/>
          <w:szCs w:val="30"/>
          <w:lang w:val="en-US" w:eastAsia="zh-CN"/>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2017年度决算收入585.12万元,与上年相比，增加63.85万元，增长12.24%，支出565.71万元,与上年相比，增加44.44万元，增长（降低）8.52%，结余19.41万元，与上年相比，增加19.41万元，增长100%。增减变化主要原因是：收入支出增加变化原因为人员增加导致拨款及人员开支相应增加，结余增加为结转下年支付已经发生的费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2017年度决算收入585.12万元（含其他收入），预算收入387.70万元，相差197.42万元，决算支出565.71万元，预算支出387.70万元，相差197.42万元，决算收入和支出大于预算原因为：幼儿园人员经费增加。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 本年收入合计585.12万元，其中：财政拨款收入555.05万元，占94.87%；其他收入30.06万元，占5.13%。增减变化的主要原因是：由于幼儿园人员增加导致相应财政拨款增加。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2017年预算收入为387.70万元，2017年度决算收入585.12万元，决算比预算收入增加197.42万元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hint="eastAsia" w:ascii="仿宋" w:hAnsi="仿宋" w:eastAsia="仿宋" w:cs="仿宋"/>
          <w:color w:val="FF0000"/>
          <w:sz w:val="30"/>
          <w:szCs w:val="30"/>
        </w:rPr>
      </w:pPr>
      <w:r>
        <w:rPr>
          <w:rFonts w:hint="eastAsia" w:ascii="仿宋" w:hAnsi="仿宋" w:eastAsia="仿宋" w:cs="仿宋"/>
          <w:sz w:val="30"/>
          <w:szCs w:val="30"/>
        </w:rPr>
        <w:t>本年支出合计565.71万元，其中：基本支出445.44万元，占78.74%；项目支出120.26万元，占21.26%  。增减变化的主要原因是：由于幼儿园人员增加，增加教学设备，导致相应各项支出增加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决算支出565.71万元，预算支出387.70万元，相差178.01万元，决算收入和支出大于预算原因为：幼儿园人员增加，经费增加。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hint="eastAsia" w:ascii="仿宋" w:hAnsi="仿宋" w:eastAsia="仿宋" w:cs="仿宋"/>
          <w:color w:val="FF0000"/>
          <w:sz w:val="30"/>
          <w:szCs w:val="30"/>
        </w:rPr>
      </w:pPr>
      <w:r>
        <w:rPr>
          <w:rFonts w:hint="eastAsia" w:ascii="仿宋" w:hAnsi="仿宋" w:eastAsia="仿宋" w:cs="仿宋"/>
          <w:sz w:val="30"/>
          <w:szCs w:val="30"/>
        </w:rPr>
        <w:t xml:space="preserve">2017年度财政拨款收入555.05万元，与上年521.23万元相比，增加33.82万元，增长6.48%。增减变化的主要原因是：由于人员增加导致相应支出增加 。财政拨款支出565.71万元，与上年521.27万元相比，增加44.44万元，增长8.52%。其中：基本支出445.44万元，项目支出120.26万元。增减变化的主要原因是：幼儿园人员增加，经费增加。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2017年决算财政拨款收入555.05万元，2017年预算收入为338.80万元，相差216.25万元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一般公共预算财政拨款支出555.05万元。与上年数521.23万元相比，增加33.82万元，增长6.48%。增减变化的主要原因是：各项费用均有增加，主要为人员增加导致人员经费增加。其中：按功能分类科目，教育支出520.12万元，社会保障和就业支出34.93万元。按经济分类科目，工资福利支出412.20万元，商品和服务支出52.82万元。对个人和家庭的补助90.03万元，其他资本性支出0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 2017年度一般公共预算财政拨款支出521.23万元，与年初预算387.70万元相差133.53万元，超支34.44%，其中基本支出中工资福利支出占主要超支。</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。其中：按功能分类科目，教育支出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万元，社会保障和就业支出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万元。按经济分类科目，工资福利支出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万元，商品和服务支出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万元。对个人和家庭的补助</w:t>
      </w:r>
      <w:r>
        <w:rPr>
          <w:rFonts w:hint="eastAsia" w:ascii="仿宋" w:hAnsi="仿宋" w:eastAsia="仿宋" w:cs="仿宋"/>
          <w:sz w:val="30"/>
          <w:szCs w:val="30"/>
          <w:lang w:val="en-US" w:eastAsia="zh-CN"/>
        </w:rPr>
        <w:t>0</w:t>
      </w:r>
      <w:r>
        <w:rPr>
          <w:rFonts w:hint="eastAsia" w:ascii="仿宋" w:hAnsi="仿宋" w:eastAsia="仿宋" w:cs="仿宋"/>
          <w:sz w:val="30"/>
          <w:szCs w:val="30"/>
        </w:rPr>
        <w:t>万元，其他资本性支出0万元。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年末基本收支结余19.41万元，全部结转入事业基金。年末结转结余0万元。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人次。开支内容包括：</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万元。主要用于</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等。</w:t>
      </w:r>
      <w:r>
        <w:rPr>
          <w:rFonts w:hint="eastAsia" w:ascii="仿宋" w:hAnsi="仿宋" w:eastAsia="仿宋" w:cs="仿宋"/>
          <w:sz w:val="30"/>
          <w:szCs w:val="30"/>
          <w:lang w:eastAsia="zh-CN"/>
        </w:rPr>
        <w:t>2017年</w:t>
      </w:r>
      <w:r>
        <w:rPr>
          <w:rFonts w:hint="eastAsia" w:ascii="仿宋" w:hAnsi="仿宋" w:eastAsia="仿宋" w:cs="仿宋"/>
          <w:sz w:val="30"/>
          <w:szCs w:val="30"/>
        </w:rPr>
        <w:t>，单位一般公共财政拨款安排的公务用车购置量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万元，主要是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等。单位国内公务接待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w:t>
      </w:r>
      <w:r>
        <w:rPr>
          <w:rFonts w:hint="eastAsia" w:ascii="仿宋" w:hAnsi="仿宋" w:eastAsia="仿宋" w:cs="仿宋"/>
          <w:sz w:val="30"/>
          <w:szCs w:val="30"/>
          <w:lang w:val="en-US" w:eastAsia="zh-CN"/>
        </w:rPr>
        <w:t>年初</w:t>
      </w:r>
      <w:r>
        <w:rPr>
          <w:rFonts w:hint="eastAsia" w:ascii="仿宋" w:hAnsi="仿宋" w:eastAsia="仿宋" w:cs="仿宋"/>
          <w:sz w:val="30"/>
          <w:szCs w:val="30"/>
        </w:rPr>
        <w:t>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2017</w:t>
      </w:r>
      <w:r>
        <w:rPr>
          <w:rFonts w:hint="eastAsia" w:ascii="仿宋" w:hAnsi="仿宋" w:eastAsia="仿宋" w:cs="仿宋"/>
          <w:color w:val="auto"/>
          <w:sz w:val="30"/>
          <w:szCs w:val="30"/>
        </w:rPr>
        <w:t>年度单位机关运行经费支出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万元，比上年增加</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万元，增长</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%，主要原因是</w:t>
      </w:r>
      <w:r>
        <w:rPr>
          <w:rFonts w:hint="eastAsia" w:ascii="仿宋" w:hAnsi="仿宋" w:eastAsia="仿宋" w:cs="仿宋"/>
          <w:color w:val="auto"/>
          <w:sz w:val="30"/>
          <w:szCs w:val="30"/>
          <w:lang w:val="en-US" w:eastAsia="zh-CN"/>
        </w:rPr>
        <w:t>本单位为事业单位，事业运行经费52.82万元</w:t>
      </w:r>
      <w:r>
        <w:rPr>
          <w:rFonts w:hint="eastAsia" w:ascii="仿宋" w:hAnsi="仿宋" w:eastAsia="仿宋" w:cs="仿宋"/>
          <w:color w:val="auto"/>
          <w:sz w:val="30"/>
          <w:szCs w:val="30"/>
        </w:rPr>
        <w:t>。</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万元；实际采购</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截至2017年12月31日，</w:t>
      </w:r>
      <w:r>
        <w:rPr>
          <w:rFonts w:hint="eastAsia" w:ascii="仿宋" w:hAnsi="仿宋" w:eastAsia="仿宋" w:cs="仿宋"/>
          <w:color w:val="000000" w:themeColor="text1"/>
          <w:sz w:val="30"/>
          <w:szCs w:val="30"/>
        </w:rPr>
        <w:t>资产总计205.49万元，其中：流动资产81.26万元，固定资产124.23万元，其中：房屋0（平方米），价值0万元，共有车辆0辆，价值0万元，其中：部级领导干部用车0辆、一般公务用车0辆、一般执法执勤用车0辆、特种专业技术用车0辆、其他用车0辆；单位价值50万元以上通用设备0台（套）、单位价值100万元以上专用设备0台（套），其他固定资产价值124.23万元。（F01表，资产情况表</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1050" w:firstLineChars="350"/>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w:t>
      </w:r>
      <w:r>
        <w:rPr>
          <w:rFonts w:hint="eastAsia" w:ascii="仿宋" w:hAnsi="仿宋" w:eastAsia="仿宋" w:cs="仿宋"/>
          <w:sz w:val="30"/>
          <w:szCs w:val="30"/>
          <w:lang w:eastAsia="zh-CN"/>
        </w:rPr>
        <w:t>玛纳斯镇双语幼儿园</w:t>
      </w:r>
      <w:r>
        <w:rPr>
          <w:rFonts w:hint="eastAsia" w:ascii="仿宋" w:hAnsi="仿宋" w:eastAsia="仿宋" w:cs="仿宋"/>
          <w:sz w:val="30"/>
          <w:szCs w:val="30"/>
        </w:rPr>
        <w:t>单位资产有偿使用收入合计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万元，资产处置收入合计</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万元。其中：已缴国库</w:t>
      </w:r>
      <w:r>
        <w:rPr>
          <w:rFonts w:hint="eastAsia" w:ascii="仿宋" w:hAnsi="仿宋" w:eastAsia="仿宋" w:cs="仿宋"/>
          <w:sz w:val="30"/>
          <w:szCs w:val="30"/>
          <w:lang w:val="en-US" w:eastAsia="zh-CN"/>
        </w:rPr>
        <w:t>0</w:t>
      </w:r>
      <w:r>
        <w:rPr>
          <w:rFonts w:hint="eastAsia" w:ascii="仿宋" w:hAnsi="仿宋" w:eastAsia="仿宋" w:cs="仿宋"/>
          <w:sz w:val="30"/>
          <w:szCs w:val="30"/>
        </w:rPr>
        <w:t>万元， 已缴财政专户</w:t>
      </w:r>
      <w:r>
        <w:rPr>
          <w:rFonts w:hint="eastAsia" w:ascii="仿宋" w:hAnsi="仿宋" w:eastAsia="仿宋" w:cs="仿宋"/>
          <w:sz w:val="30"/>
          <w:szCs w:val="30"/>
          <w:lang w:val="en-US" w:eastAsia="zh-CN"/>
        </w:rPr>
        <w:t>0</w:t>
      </w:r>
      <w:r>
        <w:rPr>
          <w:rFonts w:hint="eastAsia" w:ascii="仿宋" w:hAnsi="仿宋" w:eastAsia="仿宋" w:cs="仿宋"/>
          <w:sz w:val="30"/>
          <w:szCs w:val="30"/>
        </w:rPr>
        <w:t>万元，应缴未缴</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万元，单位留用</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1050" w:firstLineChars="350"/>
        <w:rPr>
          <w:rFonts w:hint="eastAsia"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年度，本部门单位实行绩效管理的项目</w:t>
      </w:r>
      <w:r>
        <w:rPr>
          <w:rFonts w:hint="eastAsia" w:ascii="仿宋" w:hAnsi="仿宋" w:eastAsia="仿宋" w:cs="仿宋"/>
          <w:sz w:val="30"/>
          <w:szCs w:val="30"/>
          <w:lang w:val="en-US" w:eastAsia="zh-CN"/>
        </w:rPr>
        <w:t>0</w:t>
      </w:r>
      <w:r>
        <w:rPr>
          <w:rFonts w:hint="eastAsia" w:ascii="仿宋" w:hAnsi="仿宋" w:eastAsia="仿宋" w:cs="仿宋"/>
          <w:sz w:val="30"/>
          <w:szCs w:val="30"/>
        </w:rPr>
        <w:t>个，涉及预算</w:t>
      </w:r>
      <w:r>
        <w:rPr>
          <w:rFonts w:hint="eastAsia" w:ascii="仿宋" w:hAnsi="仿宋" w:eastAsia="仿宋" w:cs="仿宋"/>
          <w:sz w:val="30"/>
          <w:szCs w:val="30"/>
          <w:lang w:val="en-US" w:eastAsia="zh-CN"/>
        </w:rPr>
        <w:t>0</w:t>
      </w:r>
      <w:r>
        <w:rPr>
          <w:rFonts w:hint="eastAsia" w:ascii="仿宋" w:hAnsi="仿宋" w:eastAsia="仿宋" w:cs="仿宋"/>
          <w:sz w:val="30"/>
          <w:szCs w:val="30"/>
        </w:rPr>
        <w:t>万元，项目支出决算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p>
    <w:p>
      <w:pPr>
        <w:spacing w:line="220" w:lineRule="atLeast"/>
        <w:ind w:firstLine="602" w:firstLineChars="200"/>
        <w:jc w:val="center"/>
        <w:rPr>
          <w:rFonts w:hint="eastAsia" w:ascii="仿宋" w:hAnsi="仿宋" w:eastAsia="仿宋" w:cs="仿宋"/>
          <w:b/>
          <w:bCs/>
          <w:sz w:val="30"/>
          <w:szCs w:val="30"/>
        </w:rPr>
      </w:pPr>
    </w:p>
    <w:p>
      <w:pPr>
        <w:spacing w:line="220" w:lineRule="atLeast"/>
        <w:jc w:val="both"/>
        <w:rPr>
          <w:rFonts w:hint="eastAsia"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本单位支出功能分类说明。；2050201：指学前教育；2050299：2080505：指机关事业单位基本养老保险缴费支出。</w:t>
      </w:r>
    </w:p>
    <w:p>
      <w:pPr>
        <w:spacing w:after="0" w:line="520" w:lineRule="exact"/>
        <w:ind w:firstLine="600" w:firstLineChars="200"/>
        <w:rPr>
          <w:rFonts w:hint="eastAsia" w:ascii="仿宋" w:hAnsi="仿宋" w:eastAsia="仿宋" w:cs="仿宋"/>
          <w:sz w:val="30"/>
          <w:szCs w:val="30"/>
        </w:rPr>
      </w:pPr>
    </w:p>
    <w:p>
      <w:pPr>
        <w:spacing w:line="220" w:lineRule="atLeast"/>
        <w:ind w:firstLine="600" w:firstLineChars="200"/>
        <w:rPr>
          <w:rFonts w:hint="eastAsia" w:ascii="仿宋" w:hAnsi="仿宋" w:eastAsia="仿宋" w:cs="仿宋"/>
          <w:sz w:val="30"/>
          <w:szCs w:val="30"/>
        </w:rPr>
      </w:pPr>
    </w:p>
    <w:p>
      <w:pPr>
        <w:spacing w:line="220" w:lineRule="atLeast"/>
        <w:ind w:firstLine="602" w:firstLineChars="200"/>
        <w:jc w:val="center"/>
        <w:rPr>
          <w:rFonts w:hint="eastAsia" w:ascii="仿宋" w:hAnsi="仿宋" w:eastAsia="仿宋" w:cs="仿宋"/>
          <w:b/>
          <w:bCs/>
          <w:sz w:val="30"/>
          <w:szCs w:val="30"/>
        </w:rPr>
      </w:pPr>
    </w:p>
    <w:p>
      <w:pPr>
        <w:spacing w:line="220" w:lineRule="atLeast"/>
        <w:ind w:firstLine="602" w:firstLineChars="200"/>
        <w:jc w:val="center"/>
        <w:rPr>
          <w:rFonts w:hint="eastAsia" w:ascii="仿宋" w:hAnsi="仿宋" w:eastAsia="仿宋" w:cs="仿宋"/>
          <w:b/>
          <w:bCs/>
          <w:sz w:val="30"/>
          <w:szCs w:val="30"/>
        </w:rPr>
      </w:pPr>
    </w:p>
    <w:p>
      <w:pPr>
        <w:spacing w:line="220" w:lineRule="atLeast"/>
        <w:ind w:firstLine="602" w:firstLineChars="200"/>
        <w:jc w:val="center"/>
        <w:rPr>
          <w:rFonts w:hint="eastAsia" w:ascii="仿宋" w:hAnsi="仿宋" w:eastAsia="仿宋" w:cs="仿宋"/>
          <w:b/>
          <w:bCs/>
          <w:sz w:val="30"/>
          <w:szCs w:val="30"/>
        </w:rPr>
      </w:pPr>
    </w:p>
    <w:p>
      <w:pPr>
        <w:spacing w:line="220" w:lineRule="atLeast"/>
        <w:ind w:firstLine="602" w:firstLineChars="200"/>
        <w:jc w:val="center"/>
        <w:rPr>
          <w:rFonts w:hint="eastAsia" w:ascii="仿宋" w:hAnsi="仿宋" w:eastAsia="仿宋" w:cs="仿宋"/>
          <w:b/>
          <w:bCs/>
          <w:sz w:val="30"/>
          <w:szCs w:val="30"/>
        </w:rPr>
      </w:pPr>
    </w:p>
    <w:p>
      <w:pPr>
        <w:spacing w:line="220" w:lineRule="atLeast"/>
        <w:jc w:val="both"/>
        <w:rPr>
          <w:rFonts w:hint="eastAsia" w:ascii="仿宋" w:hAnsi="仿宋" w:eastAsia="仿宋" w:cs="仿宋"/>
          <w:b/>
          <w:bCs/>
          <w:sz w:val="30"/>
          <w:szCs w:val="30"/>
          <w:lang w:eastAsia="zh-CN"/>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cs="仿宋" w:asciiTheme="minorEastAsia" w:hAnsiTheme="minorEastAsia" w:eastAsiaTheme="minorEastAsia"/>
          <w:sz w:val="28"/>
          <w:szCs w:val="28"/>
        </w:rPr>
      </w:pPr>
      <w:r>
        <w:rPr>
          <w:rFonts w:hint="eastAsia" w:ascii="仿宋" w:hAnsi="仿宋" w:eastAsia="仿宋" w:cs="仿宋"/>
          <w:sz w:val="30"/>
          <w:szCs w:val="30"/>
        </w:rPr>
        <w:t xml:space="preserve">三十、《2017年度一般公共预算“三公”经费支出情况表》 </w:t>
      </w:r>
    </w:p>
    <w:sectPr>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0711E8"/>
    <w:rsid w:val="000828D5"/>
    <w:rsid w:val="000908BF"/>
    <w:rsid w:val="00096B56"/>
    <w:rsid w:val="000A052B"/>
    <w:rsid w:val="000C6CCB"/>
    <w:rsid w:val="000D0E5B"/>
    <w:rsid w:val="000E02FA"/>
    <w:rsid w:val="0010769C"/>
    <w:rsid w:val="0011222F"/>
    <w:rsid w:val="00120F83"/>
    <w:rsid w:val="00124956"/>
    <w:rsid w:val="001A100E"/>
    <w:rsid w:val="0023560C"/>
    <w:rsid w:val="00262593"/>
    <w:rsid w:val="002C030E"/>
    <w:rsid w:val="00386FF6"/>
    <w:rsid w:val="0038719F"/>
    <w:rsid w:val="003B6905"/>
    <w:rsid w:val="0040469C"/>
    <w:rsid w:val="00407608"/>
    <w:rsid w:val="0041757F"/>
    <w:rsid w:val="004229A0"/>
    <w:rsid w:val="0044054A"/>
    <w:rsid w:val="00442A8F"/>
    <w:rsid w:val="004635AE"/>
    <w:rsid w:val="00465E1E"/>
    <w:rsid w:val="00472A92"/>
    <w:rsid w:val="004E20FA"/>
    <w:rsid w:val="004F0E8A"/>
    <w:rsid w:val="005A6966"/>
    <w:rsid w:val="005F0E36"/>
    <w:rsid w:val="005F21F0"/>
    <w:rsid w:val="005F7240"/>
    <w:rsid w:val="006058FD"/>
    <w:rsid w:val="0060694E"/>
    <w:rsid w:val="006127BC"/>
    <w:rsid w:val="00621B2F"/>
    <w:rsid w:val="0062359F"/>
    <w:rsid w:val="0063241F"/>
    <w:rsid w:val="00646EEF"/>
    <w:rsid w:val="006659A7"/>
    <w:rsid w:val="006D7B5F"/>
    <w:rsid w:val="00732C5D"/>
    <w:rsid w:val="0073594C"/>
    <w:rsid w:val="007603E0"/>
    <w:rsid w:val="007F3271"/>
    <w:rsid w:val="00832E57"/>
    <w:rsid w:val="00844BF5"/>
    <w:rsid w:val="0088086F"/>
    <w:rsid w:val="008F657E"/>
    <w:rsid w:val="00981512"/>
    <w:rsid w:val="009B7CEF"/>
    <w:rsid w:val="009E291A"/>
    <w:rsid w:val="009F2137"/>
    <w:rsid w:val="00A06553"/>
    <w:rsid w:val="00A07488"/>
    <w:rsid w:val="00A30B9F"/>
    <w:rsid w:val="00A6240A"/>
    <w:rsid w:val="00A93702"/>
    <w:rsid w:val="00AA6BEA"/>
    <w:rsid w:val="00B12C15"/>
    <w:rsid w:val="00B4643F"/>
    <w:rsid w:val="00BC61F7"/>
    <w:rsid w:val="00BD5EAA"/>
    <w:rsid w:val="00C15994"/>
    <w:rsid w:val="00CD0CBE"/>
    <w:rsid w:val="00CD2411"/>
    <w:rsid w:val="00CE65E2"/>
    <w:rsid w:val="00D13FC1"/>
    <w:rsid w:val="00D2523E"/>
    <w:rsid w:val="00DC039A"/>
    <w:rsid w:val="00DF6DF4"/>
    <w:rsid w:val="00DF75C6"/>
    <w:rsid w:val="00E61534"/>
    <w:rsid w:val="00E80332"/>
    <w:rsid w:val="00E80DAC"/>
    <w:rsid w:val="00E85CEE"/>
    <w:rsid w:val="00EB5523"/>
    <w:rsid w:val="00F5593C"/>
    <w:rsid w:val="00F960B3"/>
    <w:rsid w:val="00FA7A0F"/>
    <w:rsid w:val="00FD7172"/>
    <w:rsid w:val="00FE1FCA"/>
    <w:rsid w:val="00FE2B8B"/>
    <w:rsid w:val="119454D2"/>
    <w:rsid w:val="1881445D"/>
    <w:rsid w:val="245413EA"/>
    <w:rsid w:val="30C91F35"/>
    <w:rsid w:val="42A47C69"/>
    <w:rsid w:val="5341262F"/>
    <w:rsid w:val="60B70D16"/>
    <w:rsid w:val="6A723E39"/>
    <w:rsid w:val="7E87507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6">
    <w:name w:val="Hyperlink"/>
    <w:basedOn w:val="5"/>
    <w:unhideWhenUsed/>
    <w:qFormat/>
    <w:uiPriority w:val="99"/>
    <w:rPr>
      <w:color w:val="136EC2"/>
      <w:u w:val="none"/>
    </w:rPr>
  </w:style>
  <w:style w:type="table" w:styleId="8">
    <w:name w:val="Table Grid"/>
    <w:basedOn w:val="7"/>
    <w:qFormat/>
    <w:uiPriority w:val="5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List Paragraph"/>
    <w:basedOn w:val="1"/>
    <w:qFormat/>
    <w:uiPriority w:val="34"/>
    <w:pPr>
      <w:ind w:firstLine="420" w:firstLineChars="200"/>
    </w:pPr>
  </w:style>
  <w:style w:type="character" w:customStyle="1" w:styleId="10">
    <w:name w:val="页眉 Char"/>
    <w:basedOn w:val="5"/>
    <w:link w:val="3"/>
    <w:semiHidden/>
    <w:qFormat/>
    <w:uiPriority w:val="99"/>
    <w:rPr>
      <w:rFonts w:ascii="Tahoma" w:hAnsi="Tahoma" w:eastAsia="微软雅黑"/>
      <w:kern w:val="0"/>
      <w:sz w:val="18"/>
      <w:szCs w:val="18"/>
    </w:rPr>
  </w:style>
  <w:style w:type="character" w:customStyle="1" w:styleId="11">
    <w:name w:val="页脚 Char"/>
    <w:basedOn w:val="5"/>
    <w:link w:val="2"/>
    <w:semiHidden/>
    <w:qFormat/>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丰华文化用品广场</Company>
  <Pages>12</Pages>
  <Words>1021</Words>
  <Characters>5824</Characters>
  <Lines>48</Lines>
  <Paragraphs>13</Paragraphs>
  <TotalTime>0</TotalTime>
  <ScaleCrop>false</ScaleCrop>
  <LinksUpToDate>false</LinksUpToDate>
  <CharactersWithSpaces>6832</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2019-05-06T06:32:24Z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