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after="0" w:line="520" w:lineRule="exact"/>
        <w:ind w:firstLine="720" w:firstLineChars="200"/>
        <w:rPr>
          <w:rFonts w:ascii="仿宋" w:hAnsi="仿宋" w:eastAsia="仿宋" w:cs="仿宋"/>
          <w:sz w:val="36"/>
          <w:szCs w:val="36"/>
        </w:rPr>
      </w:pPr>
      <w:r>
        <w:rPr>
          <w:rFonts w:hint="eastAsia" w:ascii="仿宋" w:hAnsi="仿宋" w:eastAsia="仿宋" w:cs="仿宋"/>
          <w:sz w:val="36"/>
          <w:szCs w:val="36"/>
        </w:rPr>
        <w:t xml:space="preserve">2017年度玛纳斯县第一小学部门决算公开说明 </w:t>
      </w:r>
    </w:p>
    <w:p>
      <w:pPr>
        <w:spacing w:line="220" w:lineRule="atLeast"/>
        <w:ind w:firstLine="600" w:firstLineChars="200"/>
        <w:rPr>
          <w:rFonts w:ascii="仿宋" w:hAnsi="仿宋" w:eastAsia="仿宋" w:cs="仿宋"/>
          <w:sz w:val="30"/>
          <w:szCs w:val="30"/>
        </w:rPr>
      </w:pPr>
    </w:p>
    <w:p>
      <w:pPr>
        <w:spacing w:after="0" w:line="520" w:lineRule="exact"/>
        <w:ind w:firstLine="643" w:firstLineChars="200"/>
        <w:jc w:val="center"/>
        <w:rPr>
          <w:rFonts w:ascii="仿宋" w:hAnsi="仿宋" w:eastAsia="仿宋" w:cs="仿宋"/>
          <w:b/>
          <w:sz w:val="32"/>
          <w:szCs w:val="32"/>
        </w:rPr>
      </w:pPr>
      <w:r>
        <w:rPr>
          <w:rFonts w:hint="eastAsia" w:ascii="仿宋" w:hAnsi="仿宋" w:eastAsia="仿宋" w:cs="仿宋"/>
          <w:b/>
          <w:sz w:val="32"/>
          <w:szCs w:val="32"/>
        </w:rPr>
        <w:t>目  录</w:t>
      </w:r>
    </w:p>
    <w:p>
      <w:pPr>
        <w:spacing w:line="220" w:lineRule="atLeast"/>
        <w:ind w:firstLine="600" w:firstLineChars="200"/>
        <w:rPr>
          <w:rFonts w:ascii="仿宋" w:hAnsi="仿宋" w:eastAsia="仿宋" w:cs="仿宋"/>
          <w:sz w:val="30"/>
          <w:szCs w:val="30"/>
        </w:rPr>
      </w:pP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第一部分 玛纳斯县第一小学部门单位概况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一、主要职能、机构设置及人员情况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eastAsia="zh-CN"/>
        </w:rPr>
        <w:t>一</w:t>
      </w:r>
      <w:r>
        <w:rPr>
          <w:rFonts w:hint="eastAsia" w:ascii="仿宋" w:hAnsi="仿宋" w:eastAsia="仿宋" w:cs="仿宋"/>
          <w:sz w:val="30"/>
          <w:szCs w:val="30"/>
        </w:rPr>
        <w:t xml:space="preserve">、部门决算单位构成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w:t>
      </w:r>
      <w:r>
        <w:rPr>
          <w:rFonts w:hint="eastAsia" w:ascii="仿宋" w:hAnsi="仿宋" w:eastAsia="仿宋" w:cs="仿宋"/>
          <w:b/>
          <w:bCs/>
          <w:sz w:val="30"/>
          <w:szCs w:val="30"/>
          <w:lang w:eastAsia="zh-CN"/>
        </w:rPr>
        <w:t>一</w:t>
      </w:r>
      <w:r>
        <w:rPr>
          <w:rFonts w:hint="eastAsia" w:ascii="仿宋" w:hAnsi="仿宋" w:eastAsia="仿宋" w:cs="仿宋"/>
          <w:b/>
          <w:bCs/>
          <w:sz w:val="30"/>
          <w:szCs w:val="30"/>
        </w:rPr>
        <w:t xml:space="preserve">部分 部门决算情况说明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一、部门收支总体情况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（一）部门收入支出决算总体情况说明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eastAsia="zh-CN"/>
        </w:rPr>
        <w:t>一</w:t>
      </w:r>
      <w:r>
        <w:rPr>
          <w:rFonts w:hint="eastAsia" w:ascii="仿宋" w:hAnsi="仿宋" w:eastAsia="仿宋" w:cs="仿宋"/>
          <w:sz w:val="30"/>
          <w:szCs w:val="30"/>
        </w:rPr>
        <w:t xml:space="preserve">）部门收入总体情况说明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（三）部门支出总体情况说明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eastAsia="zh-CN"/>
        </w:rPr>
        <w:t>一</w:t>
      </w:r>
      <w:r>
        <w:rPr>
          <w:rFonts w:hint="eastAsia" w:ascii="仿宋" w:hAnsi="仿宋" w:eastAsia="仿宋" w:cs="仿宋"/>
          <w:sz w:val="30"/>
          <w:szCs w:val="30"/>
        </w:rPr>
        <w:t xml:space="preserve">、部门财政拨款收支情况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（一）财政拨款收支总体情况说明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eastAsia="zh-CN"/>
        </w:rPr>
        <w:t>一</w:t>
      </w:r>
      <w:r>
        <w:rPr>
          <w:rFonts w:hint="eastAsia" w:ascii="仿宋" w:hAnsi="仿宋" w:eastAsia="仿宋" w:cs="仿宋"/>
          <w:sz w:val="30"/>
          <w:szCs w:val="30"/>
        </w:rPr>
        <w:t xml:space="preserve">）一般公共预算支出决算情况说明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（三）政府性基金预算收支决算情况说明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（四）政府性基金预算支出决算情况说明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三、部门结转结余情况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四、一般公共预算“三公”经费支出情况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五、机关运行经费支出情况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六、政府采购情况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七、其他重要事项的情况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（一）国有资产占用情况说明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eastAsia="zh-CN"/>
        </w:rPr>
        <w:t>一</w:t>
      </w:r>
      <w:r>
        <w:rPr>
          <w:rFonts w:hint="eastAsia" w:ascii="仿宋" w:hAnsi="仿宋" w:eastAsia="仿宋" w:cs="仿宋"/>
          <w:sz w:val="30"/>
          <w:szCs w:val="30"/>
        </w:rPr>
        <w:t xml:space="preserve">）国有资产收益征缴情况说明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（三）部门项目支出情况和项目绩效评价情况说明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第三部分 专业名词解释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第四部分 部门决算报表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一、报表封面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eastAsia="zh-CN"/>
        </w:rPr>
        <w:t>一</w:t>
      </w:r>
      <w:r>
        <w:rPr>
          <w:rFonts w:hint="eastAsia" w:ascii="仿宋" w:hAnsi="仿宋" w:eastAsia="仿宋" w:cs="仿宋"/>
          <w:sz w:val="30"/>
          <w:szCs w:val="30"/>
        </w:rPr>
        <w:t xml:space="preserve">、部门收支总体情况（11张）：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《行政事业类项目收入支出决算表》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《基本建设类项目收入支出决算表》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《财政专户管理资金收入支出决算表》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三、财政拨款收支情况（9张）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《财政拨款收入支出决算总表》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四、单位资产负责情况（1张）：《资产负债简表》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五、部门决算附表（5张）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《资产情况表》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《国有资产收益征缴情况表》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《基本数字表》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《机构人员情况表》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《非税收入征缴情况表》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六、填报说明附表（2张）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《部门决算相关信息统计表》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《政府采购情况表》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七、“三公”经费支出情况(1张)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《2017年度一般公共预算“三公”经费支出情况表》 </w:t>
      </w: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rPr>
          <w:rFonts w:ascii="仿宋" w:hAnsi="仿宋" w:eastAsia="仿宋" w:cs="仿宋"/>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第一部分 部门单位概况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一、部门单位基本情况。</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 我单位主要职能是实施小学义务教育、小学学历教育。</w:t>
      </w:r>
    </w:p>
    <w:p>
      <w:pPr>
        <w:spacing w:after="0" w:line="520" w:lineRule="exact"/>
        <w:ind w:firstLine="640" w:firstLineChars="200"/>
        <w:rPr>
          <w:rFonts w:hint="eastAsia" w:ascii="仿宋" w:hAnsi="仿宋" w:eastAsia="仿宋" w:cs="仿宋"/>
          <w:sz w:val="30"/>
          <w:szCs w:val="30"/>
        </w:rPr>
      </w:pPr>
      <w:r>
        <w:rPr>
          <w:rFonts w:hint="eastAsia" w:ascii="仿宋_GB2312" w:hAnsi="仿宋" w:eastAsia="仿宋_GB2312" w:cs="Times New Roman"/>
          <w:sz w:val="32"/>
          <w:szCs w:val="32"/>
          <w:lang w:val="en-US" w:eastAsia="zh-CN" w:bidi="ar"/>
        </w:rPr>
        <w:t>机构情况：</w:t>
      </w:r>
      <w:r>
        <w:rPr>
          <w:rFonts w:hint="eastAsia" w:ascii="仿宋" w:hAnsi="仿宋" w:eastAsia="仿宋" w:cs="仿宋"/>
          <w:sz w:val="30"/>
          <w:szCs w:val="30"/>
        </w:rPr>
        <w:t>我单位设置独立编制机构1个，独立核算机构1个。</w:t>
      </w:r>
    </w:p>
    <w:p>
      <w:pPr>
        <w:spacing w:after="0" w:line="520" w:lineRule="exact"/>
        <w:ind w:left="600"/>
        <w:rPr>
          <w:rFonts w:ascii="仿宋" w:hAnsi="仿宋" w:eastAsia="仿宋" w:cs="仿宋"/>
          <w:b/>
          <w:bCs/>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玛纳斯县第</w:t>
      </w:r>
      <w:r>
        <w:rPr>
          <w:rFonts w:hint="eastAsia" w:ascii="仿宋" w:hAnsi="仿宋" w:eastAsia="仿宋" w:cs="仿宋"/>
          <w:color w:val="000000" w:themeColor="text1"/>
          <w:sz w:val="30"/>
          <w:szCs w:val="30"/>
          <w:lang w:eastAsia="zh-CN"/>
          <w14:textFill>
            <w14:solidFill>
              <w14:schemeClr w14:val="tx1"/>
            </w14:solidFill>
          </w14:textFill>
        </w:rPr>
        <w:t>一</w:t>
      </w:r>
      <w:r>
        <w:rPr>
          <w:rFonts w:hint="eastAsia" w:ascii="仿宋" w:hAnsi="仿宋" w:eastAsia="仿宋" w:cs="仿宋"/>
          <w:color w:val="000000" w:themeColor="text1"/>
          <w:sz w:val="30"/>
          <w:szCs w:val="30"/>
          <w14:textFill>
            <w14:solidFill>
              <w14:schemeClr w14:val="tx1"/>
            </w14:solidFill>
          </w14:textFill>
        </w:rPr>
        <w:t>小学设置主要部门如下：校党支部、办公室、总务处</w:t>
      </w:r>
    </w:p>
    <w:p>
      <w:pPr>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1、校党支部及其主要职能是：</w:t>
      </w:r>
    </w:p>
    <w:p>
      <w:pPr>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一、认真抓好学校党的思想、组织、作风建设，加强党的教育、管理，努力提高党员的素质，充分发挥党支部的战斗堡垒和党员的先锋模范作用。</w:t>
      </w:r>
    </w:p>
    <w:p>
      <w:pPr>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eastAsia="zh-CN"/>
          <w14:textFill>
            <w14:solidFill>
              <w14:schemeClr w14:val="tx1"/>
            </w14:solidFill>
          </w14:textFill>
        </w:rPr>
        <w:t>一</w:t>
      </w:r>
      <w:r>
        <w:rPr>
          <w:rFonts w:hint="eastAsia" w:ascii="仿宋" w:hAnsi="仿宋" w:eastAsia="仿宋" w:cs="仿宋"/>
          <w:color w:val="000000" w:themeColor="text1"/>
          <w:sz w:val="30"/>
          <w:szCs w:val="30"/>
          <w14:textFill>
            <w14:solidFill>
              <w14:schemeClr w14:val="tx1"/>
            </w14:solidFill>
          </w14:textFill>
        </w:rPr>
        <w:t>、保证、监督校长正确贯彻执行党和国家的教育方针、政策、法规，保证办学的社会主义方向。</w:t>
      </w:r>
    </w:p>
    <w:p>
      <w:pPr>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三、对学校行政工作的重大问题提出意见和建议， 参与决策，支持校长充分行使职权。</w:t>
      </w:r>
    </w:p>
    <w:p>
      <w:pPr>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四、发挥党员以身作则作用； 做好全体教职员工的思想政治工作，配合校长抓好学校的德育工作。</w:t>
      </w:r>
    </w:p>
    <w:p>
      <w:pPr>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五、坚持党管干部的原则，加强对学校后备干部、中层干部的教育、培养、考察。</w:t>
      </w:r>
    </w:p>
    <w:p>
      <w:pPr>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六、根据党章规定，做好发展党员工作，做好党员的评议、鉴定工作。</w:t>
      </w:r>
    </w:p>
    <w:p>
      <w:pPr>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七、领导学校工会、共青团、等群众组织。工会的工作职能</w:t>
      </w:r>
    </w:p>
    <w:p>
      <w:pPr>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一、充分发挥工会的教育职能，努力抓好教职工队伍建设</w:t>
      </w:r>
    </w:p>
    <w:p>
      <w:pPr>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eastAsia="zh-CN"/>
          <w14:textFill>
            <w14:solidFill>
              <w14:schemeClr w14:val="tx1"/>
            </w14:solidFill>
          </w14:textFill>
        </w:rPr>
        <w:t>一</w:t>
      </w:r>
      <w:r>
        <w:rPr>
          <w:rFonts w:hint="eastAsia" w:ascii="仿宋" w:hAnsi="仿宋" w:eastAsia="仿宋" w:cs="仿宋"/>
          <w:color w:val="000000" w:themeColor="text1"/>
          <w:sz w:val="30"/>
          <w:szCs w:val="30"/>
          <w14:textFill>
            <w14:solidFill>
              <w14:schemeClr w14:val="tx1"/>
            </w14:solidFill>
          </w14:textFill>
        </w:rPr>
        <w:t>、充分发挥工会的监督职能， 积极完善校园民主政治制度建设</w:t>
      </w:r>
    </w:p>
    <w:p>
      <w:pPr>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三、充分发挥工会的维权职能， 切实维护教职工的合法利益</w:t>
      </w:r>
    </w:p>
    <w:p>
      <w:pPr>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四、充分发挥工会的协调职能，努力促进校园和谐</w:t>
      </w:r>
    </w:p>
    <w:p>
      <w:pPr>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2、办公室及其工作职能</w:t>
      </w:r>
    </w:p>
    <w:p>
      <w:pPr>
        <w:ind w:firstLine="600" w:firstLineChars="200"/>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玛纳斯第</w:t>
      </w:r>
      <w:r>
        <w:rPr>
          <w:rFonts w:hint="eastAsia" w:ascii="仿宋" w:hAnsi="仿宋" w:eastAsia="仿宋" w:cs="仿宋"/>
          <w:color w:val="000000" w:themeColor="text1"/>
          <w:sz w:val="30"/>
          <w:szCs w:val="30"/>
          <w:lang w:eastAsia="zh-CN"/>
          <w14:textFill>
            <w14:solidFill>
              <w14:schemeClr w14:val="tx1"/>
            </w14:solidFill>
          </w14:textFill>
        </w:rPr>
        <w:t>一</w:t>
      </w:r>
      <w:r>
        <w:rPr>
          <w:rFonts w:hint="eastAsia" w:ascii="仿宋" w:hAnsi="仿宋" w:eastAsia="仿宋" w:cs="仿宋"/>
          <w:color w:val="000000" w:themeColor="text1"/>
          <w:sz w:val="30"/>
          <w:szCs w:val="30"/>
          <w14:textFill>
            <w14:solidFill>
              <w14:schemeClr w14:val="tx1"/>
            </w14:solidFill>
          </w14:textFill>
        </w:rPr>
        <w:t>小学办公室是学校行政的综合办事机构。 其主要职能是围绕学校中心工作，积极发挥参谋助手作用，负责综合协调、信息枢纽、督促检查等工作。</w:t>
      </w:r>
    </w:p>
    <w:p>
      <w:pPr>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一、参谋职能：全面及时掌握全校情况和动态，做好全校日常行政管理工作，负责全校年度工作计划、总结。围绕学校重大事项和中心工作开展调查研究工作，分析、研究并提意见。</w:t>
      </w:r>
    </w:p>
    <w:p>
      <w:pPr>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eastAsia="zh-CN"/>
          <w14:textFill>
            <w14:solidFill>
              <w14:schemeClr w14:val="tx1"/>
            </w14:solidFill>
          </w14:textFill>
        </w:rPr>
        <w:t>一</w:t>
      </w:r>
      <w:r>
        <w:rPr>
          <w:rFonts w:hint="eastAsia" w:ascii="仿宋" w:hAnsi="仿宋" w:eastAsia="仿宋" w:cs="仿宋"/>
          <w:color w:val="000000" w:themeColor="text1"/>
          <w:sz w:val="30"/>
          <w:szCs w:val="30"/>
          <w14:textFill>
            <w14:solidFill>
              <w14:schemeClr w14:val="tx1"/>
            </w14:solidFill>
          </w14:textFill>
        </w:rPr>
        <w:t>、承办职能：负责上级下发的公文及校内请示、报告的处理工作，负责各种人事档案，资料的整理、归档工作，负责图书、报刊、杂志征订及资料印刷支出的审核和分发工作。计划，承办学校行政会议的组织准备工作和会议记录整理、保密工作。</w:t>
      </w:r>
    </w:p>
    <w:p>
      <w:pPr>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三、管理职能：参与全校管理事务，负责教职工聘用、工资审核等工作，做好岗位考勤统计、审核工作，配合总务处做好有关的资金核算工作。负责对中层干部的选拔聘用、考核及考核资料的搜集、 汇总和登记工作。</w:t>
      </w:r>
    </w:p>
    <w:p>
      <w:pPr>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四、协调职能：主要抓好纵向协调、横向协调和内部协调，严格执行学校的规章制度，明确各处室职权，协调各处室、教职员工等方面关系，正确有效处理有关矛盾。教务处的工作职能教务处是学校教学的直接管理部门， 负责计划、组织、实施、管理教学工作的全过程。教务处需要协助校长确定教学管理的重点，并具体负责监督执行教学计划方案， 具体负责教学检查的组织实施，落实教学计划，确保学校教学不受干扰</w:t>
      </w:r>
      <w:bookmarkStart w:id="0" w:name="_GoBack"/>
      <w:bookmarkEnd w:id="0"/>
      <w:r>
        <w:rPr>
          <w:rFonts w:hint="eastAsia" w:ascii="仿宋" w:hAnsi="仿宋" w:eastAsia="仿宋" w:cs="仿宋"/>
          <w:color w:val="000000" w:themeColor="text1"/>
          <w:sz w:val="30"/>
          <w:szCs w:val="30"/>
          <w14:textFill>
            <w14:solidFill>
              <w14:schemeClr w14:val="tx1"/>
            </w14:solidFill>
          </w14:textFill>
        </w:rPr>
        <w:t>地正常进行。对学校的教学活动达到最有效的控制， 使学校内部各种与教学有关的机制协调运行，达到教和教学目标。</w:t>
      </w:r>
    </w:p>
    <w:p>
      <w:pPr>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其主要职能是：</w:t>
      </w:r>
    </w:p>
    <w:p>
      <w:pPr>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（1）行政职能，教务处对校长负责，根据党和国家有关方针政策要求和教学大纲、教计划、教科书的要求，制定本学校的教务计划，并组织实行；</w:t>
      </w:r>
    </w:p>
    <w:p>
      <w:pPr>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（2）参谋职能，对教务方面的重大改革提出方案，进行论证；</w:t>
      </w:r>
    </w:p>
    <w:p>
      <w:pPr>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（3）研究职能，对教务工作的重要课题、突破性课题、探索性课题、疑难性课题进行研究和实验；</w:t>
      </w:r>
    </w:p>
    <w:p>
      <w:pPr>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（4）服务性职能，在教育教学方面为教师、学生服务，从教材、实验设备、图书资料、教材教法、理论研究、教育规律探讨等方面，支持第一线教师的工作；</w:t>
      </w:r>
    </w:p>
    <w:p>
      <w:pPr>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5）视导职能，为教务工作的各个方面制定质量、数量标准，对工作进展情况和工作质量进行了解、分析与评估，根据评估情况进行调整指导，推动教务工作按规律高效率地运转。政教处的工作职能政教处是校长领导全校德育工作的得力助手。 其主要职责是全面负责学校对学生的常规管理、 思想教育、日常行为规范的养成及学校有关的大型活动的组织工作， 促进学生良好行为习惯的养成及思想道德水平的提高。</w:t>
      </w:r>
    </w:p>
    <w:p>
      <w:pPr>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一、学生日常行为规范管理</w:t>
      </w:r>
    </w:p>
    <w:p>
      <w:pPr>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1、检查仪表仪态</w:t>
      </w:r>
    </w:p>
    <w:p>
      <w:pPr>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2、随时掌握学生思想、操行动态</w:t>
      </w:r>
    </w:p>
    <w:p>
      <w:pPr>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3、处理违纪现象</w:t>
      </w:r>
    </w:p>
    <w:p>
      <w:pPr>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4、开展德育课题</w:t>
      </w:r>
    </w:p>
    <w:p>
      <w:pPr>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5、加强学生政治思想教育</w:t>
      </w:r>
    </w:p>
    <w:p>
      <w:pPr>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eastAsia="zh-CN"/>
          <w14:textFill>
            <w14:solidFill>
              <w14:schemeClr w14:val="tx1"/>
            </w14:solidFill>
          </w14:textFill>
        </w:rPr>
        <w:t>一</w:t>
      </w:r>
      <w:r>
        <w:rPr>
          <w:rFonts w:hint="eastAsia" w:ascii="仿宋" w:hAnsi="仿宋" w:eastAsia="仿宋" w:cs="仿宋"/>
          <w:color w:val="000000" w:themeColor="text1"/>
          <w:sz w:val="30"/>
          <w:szCs w:val="30"/>
          <w14:textFill>
            <w14:solidFill>
              <w14:schemeClr w14:val="tx1"/>
            </w14:solidFill>
          </w14:textFill>
        </w:rPr>
        <w:t>、学生安全健康工作</w:t>
      </w:r>
    </w:p>
    <w:p>
      <w:pPr>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1</w:t>
      </w:r>
      <w:r>
        <w:rPr>
          <w:rFonts w:hint="eastAsia" w:ascii="仿宋" w:hAnsi="仿宋" w:eastAsia="仿宋" w:cs="仿宋"/>
          <w:color w:val="000000" w:themeColor="text1"/>
          <w:sz w:val="30"/>
          <w:szCs w:val="30"/>
          <w14:textFill>
            <w14:solidFill>
              <w14:schemeClr w14:val="tx1"/>
            </w14:solidFill>
          </w14:textFill>
        </w:rPr>
        <w:t>、建立健全学校、社会、家庭相结合的教育网络</w:t>
      </w:r>
    </w:p>
    <w:p>
      <w:pPr>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2</w:t>
      </w:r>
      <w:r>
        <w:rPr>
          <w:rFonts w:hint="eastAsia" w:ascii="仿宋" w:hAnsi="仿宋" w:eastAsia="仿宋" w:cs="仿宋"/>
          <w:color w:val="000000" w:themeColor="text1"/>
          <w:sz w:val="30"/>
          <w:szCs w:val="30"/>
          <w14:textFill>
            <w14:solidFill>
              <w14:schemeClr w14:val="tx1"/>
            </w14:solidFill>
          </w14:textFill>
        </w:rPr>
        <w:t>、加强学生心理教育和法制教育</w:t>
      </w:r>
    </w:p>
    <w:p>
      <w:pPr>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3</w:t>
      </w:r>
      <w:r>
        <w:rPr>
          <w:rFonts w:hint="eastAsia" w:ascii="仿宋" w:hAnsi="仿宋" w:eastAsia="仿宋" w:cs="仿宋"/>
          <w:color w:val="000000" w:themeColor="text1"/>
          <w:sz w:val="30"/>
          <w:szCs w:val="30"/>
          <w14:textFill>
            <w14:solidFill>
              <w14:schemeClr w14:val="tx1"/>
            </w14:solidFill>
          </w14:textFill>
        </w:rPr>
        <w:t>、深化导师制管理制度</w:t>
      </w:r>
    </w:p>
    <w:p>
      <w:pPr>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三、班级管理工作</w:t>
      </w:r>
    </w:p>
    <w:p>
      <w:pPr>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1、加强对班级、班主任的管理</w:t>
      </w:r>
    </w:p>
    <w:p>
      <w:pPr>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2、班级九项竞赛评比</w:t>
      </w:r>
    </w:p>
    <w:p>
      <w:pPr>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3、负责实施奖惩条例</w:t>
      </w:r>
    </w:p>
    <w:p>
      <w:pPr>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4、做好贫困生资助工作</w:t>
      </w:r>
    </w:p>
    <w:p>
      <w:pPr>
        <w:ind w:firstLine="600" w:firstLineChars="200"/>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总务处及其工作职能：</w:t>
      </w:r>
    </w:p>
    <w:p>
      <w:pPr>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总务处是在校长领导下负责校园校舍、 物资财产、生活福利等总务行政管理的职能处室。</w:t>
      </w:r>
    </w:p>
    <w:p>
      <w:pPr>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其主要职能是：</w:t>
      </w:r>
    </w:p>
    <w:p>
      <w:pPr>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1、规化职能：做好全校总务工作，编制学校总务工作计划并组织实施，配合学校教学任务的完成。</w:t>
      </w:r>
    </w:p>
    <w:p>
      <w:pPr>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2、财务职能：遵守财经纪律，执行财务管理制度。做好学校学费、培训费的收取工作，做好财务核算、费用报销及审核工作，做好有关考勤、考核等奖金、工资发放工作。合理使用经费，按期报好报表。</w:t>
      </w:r>
    </w:p>
    <w:p>
      <w:pPr>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3、管理职能：负责学校基建、卫生保健、教学物品采购工作，协调本部门与校内外有关部门工作联系。 负责全校各种设备、器具、财产的管理、保养和维修，指导有关部门和人员合理使用。</w:t>
      </w:r>
    </w:p>
    <w:p>
      <w:pPr>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4、服务职能：负责学校后勤工作，负责全校教学区、教职工生活区卫生保洁的各类设施维修、监督、管理等工作。关心师生生活，办好食堂和教职工集体福利事业。</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我单位2017年末编制101人，实有101人。</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eastAsia="zh-CN"/>
        </w:rPr>
        <w:t>一</w:t>
      </w:r>
      <w:r>
        <w:rPr>
          <w:rFonts w:hint="eastAsia" w:ascii="仿宋" w:hAnsi="仿宋" w:eastAsia="仿宋" w:cs="仿宋"/>
          <w:sz w:val="30"/>
          <w:szCs w:val="30"/>
        </w:rPr>
        <w:t xml:space="preserve">、部门决算单位构成。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从决算单位构成看，玛纳斯县第一小学部门决算包括：玛纳斯县第一小学部门本级决算。 </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1"/>
        <w:gridCol w:w="4100"/>
        <w:gridCol w:w="2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01"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序号</w:t>
            </w:r>
          </w:p>
        </w:tc>
        <w:tc>
          <w:tcPr>
            <w:tcW w:w="4100"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单位名称</w:t>
            </w:r>
          </w:p>
        </w:tc>
        <w:tc>
          <w:tcPr>
            <w:tcW w:w="2321"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01"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1</w:t>
            </w:r>
          </w:p>
        </w:tc>
        <w:tc>
          <w:tcPr>
            <w:tcW w:w="4100"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玛纳斯县第一小学本级</w:t>
            </w:r>
          </w:p>
        </w:tc>
        <w:tc>
          <w:tcPr>
            <w:tcW w:w="2321"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01"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p>
        </w:tc>
        <w:tc>
          <w:tcPr>
            <w:tcW w:w="4100"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p>
        </w:tc>
        <w:tc>
          <w:tcPr>
            <w:tcW w:w="2321"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p>
        </w:tc>
      </w:tr>
    </w:tbl>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w:t>
      </w:r>
      <w:r>
        <w:rPr>
          <w:rFonts w:hint="eastAsia" w:ascii="仿宋" w:hAnsi="仿宋" w:eastAsia="仿宋" w:cs="仿宋"/>
          <w:b/>
          <w:bCs/>
          <w:sz w:val="30"/>
          <w:szCs w:val="30"/>
          <w:lang w:eastAsia="zh-CN"/>
        </w:rPr>
        <w:t>一</w:t>
      </w:r>
      <w:r>
        <w:rPr>
          <w:rFonts w:hint="eastAsia" w:ascii="仿宋" w:hAnsi="仿宋" w:eastAsia="仿宋" w:cs="仿宋"/>
          <w:b/>
          <w:bCs/>
          <w:sz w:val="30"/>
          <w:szCs w:val="30"/>
        </w:rPr>
        <w:t>部分 部门决算情况说明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一、部门收支总体情况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（一）部门收入支出决算总体情况说明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2017年度收入1356万元,与上年相比，增加37万元，增长2.81%，支出1356万元,与上年相比，增加37万元，增长2.81%，结余0万元，与上年相比，增加0万元，增长0%。收入支出增加的主要原因是：调资及人员增加。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与预算相比，2017年收入支出较预算增加211万，增长18.43%。原因：工资调整及人员增加。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二</w:t>
      </w:r>
      <w:r>
        <w:rPr>
          <w:rFonts w:hint="eastAsia" w:ascii="仿宋" w:hAnsi="仿宋" w:eastAsia="仿宋" w:cs="仿宋"/>
          <w:sz w:val="30"/>
          <w:szCs w:val="30"/>
        </w:rPr>
        <w:t xml:space="preserve">）部门收入总体情况说明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本年收入合计1356万元，其中：财政拨款收入1351万元，占99.63%；其他收入5万元，占0.37%。事业收入0万元，占0%；经营收入0万元，占0%；附属单位缴款0万元，占0%</w:t>
      </w:r>
      <w:r>
        <w:rPr>
          <w:rFonts w:hint="eastAsia" w:ascii="仿宋" w:hAnsi="仿宋" w:eastAsia="仿宋" w:cs="仿宋"/>
          <w:sz w:val="30"/>
          <w:szCs w:val="30"/>
          <w:lang w:eastAsia="zh-CN"/>
        </w:rPr>
        <w:t>。</w:t>
      </w:r>
      <w:r>
        <w:rPr>
          <w:rFonts w:hint="eastAsia" w:ascii="仿宋" w:hAnsi="仿宋" w:eastAsia="仿宋" w:cs="仿宋"/>
          <w:sz w:val="30"/>
          <w:szCs w:val="30"/>
        </w:rPr>
        <w:t xml:space="preserve">增减变化的主要原因是：调资及人员增加。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本年度收入1356万元较预算相比增加了211万，增加18.43%。 主要原因：工资调整及人员增加。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（三）部门支出总体情况说明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本年支出合计1356万元，其中：基本支出1227万元，占90.49%；项目支出129万元，占9.51%。上缴上级支出0万元，占0%；经营支出0万元，占0%；附属单位支出0万元，占0%；支出增减变化的主要原因是：调资及人员增加。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2017年支出较预算基本支出增加81.98万，主要原因：工资调整及人员增加。 项目支出较预算增加128.91万元，主要原因： 记账科目发生变化。</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val="en-US" w:eastAsia="zh-CN"/>
        </w:rPr>
        <w:t>二</w:t>
      </w:r>
      <w:r>
        <w:rPr>
          <w:rFonts w:hint="eastAsia" w:ascii="仿宋" w:hAnsi="仿宋" w:eastAsia="仿宋" w:cs="仿宋"/>
          <w:sz w:val="30"/>
          <w:szCs w:val="30"/>
        </w:rPr>
        <w:t xml:space="preserve">、部门财政拨款收支情况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（一）财政拨款收支总体情况说明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度财政拨款收入1351万元，与上年相比，增加32万元，增长2.42%。增减变化的主要原因是：调资及人员增加。财政拨款支出1351万元，与上年相比，增加32万元，增长2.42%。其中：基本支出1222万元，较去年增加11.95万元，增长0.9%；增加的主要原因是：工资调整及人员增加。项目支出129万元，较去年增加25.1万，增长24.2%。增减变化的主要原因是：记账科目发生变化。增减变化的主要原因是：调资及人员增加。财政拨款结转结余0，与上年相比，无增减变化。</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与预算相比，2017年财政拨款收支增加206万元，增长17.99%。 主要原因：工资调整及人员增加。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二</w:t>
      </w:r>
      <w:r>
        <w:rPr>
          <w:rFonts w:hint="eastAsia" w:ascii="仿宋" w:hAnsi="仿宋" w:eastAsia="仿宋" w:cs="仿宋"/>
          <w:sz w:val="30"/>
          <w:szCs w:val="30"/>
        </w:rPr>
        <w:t xml:space="preserve">）一般公共预算支出决算情况说明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一般公共预算财政拨款支出1351万元。与上年相比，增加32万元，增长2.42%。增减变化的主要原因是：调资及人员增加。其中：按功能分类科目，教育支出1224万元，社会保障和就业支出127万。按经济分类科目，工资福利支出1089万元，商品和服务支出123万元，对个人和家庭的补助支出134万元，其他资本性支出5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与预算相比，2017年一般公共预算财政拨款支出增加206万元，增长17.99%。 其中，按功能分类科目，教育支出1229万，较预算增加211万元，主要是工资调整及人员增加造成支出增长；社会保障和就业支出127万元，较预算相比，变动不大。按经济分类科目，工资福利支出1089万元，较预算增加60万元，主要原因是工资调整及人员增加；商品和服务支出123万元，较预算减少22万元，主要原因是学生减少造成公用经费拨款减少；对个人和家庭的补助支出134万元，较预算增加33万元，主要原因是随着工资调整及人员增加公积金增加及死亡抚恤金；其他资本性支出5万元，较预算增加5万元，主要是新增采购办公设备及图书。</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（三）政府性基金预算收支决算情况说明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政府性基金预算财政拨款收入0万元，与上年相比，增加0万元，增长0%。增减变化的主要原因是：年初无预算安排。政府性基金预算财政拨款支出0元，与上年相比，增加0元，增长0%。增减变化的主要原因是：严格执行预算。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rPr>
      </w:pPr>
      <w:r>
        <w:rPr>
          <w:rFonts w:hint="eastAsia" w:ascii="仿宋" w:hAnsi="仿宋" w:eastAsia="仿宋" w:cs="仿宋"/>
          <w:sz w:val="30"/>
          <w:szCs w:val="30"/>
        </w:rPr>
        <w:t>与预算相比情况。</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2017年度政府性基金预算财政拨款收入0万元，与预算相比，增加0万元，增长0%。增减变化的主要原因是：年初无预算安排。政府性基金预算财政拨款支出0万元，与预算相比，增加0万元，增长0%。增减变化的主要原因是：年初无预算安排。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其他有关说明内容。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ascii="仿宋" w:hAnsi="仿宋" w:eastAsia="仿宋" w:cs="仿宋"/>
          <w:sz w:val="30"/>
          <w:szCs w:val="30"/>
        </w:rPr>
      </w:pPr>
      <w:r>
        <w:rPr>
          <w:rFonts w:hint="eastAsia" w:ascii="仿宋" w:hAnsi="仿宋" w:eastAsia="仿宋" w:cs="仿宋"/>
          <w:snapToGrid/>
          <w:kern w:val="0"/>
          <w:sz w:val="30"/>
          <w:szCs w:val="30"/>
          <w:lang w:val="en-US" w:eastAsia="zh-CN" w:bidi="ar"/>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（四）政府性基金预算支出决算情况说明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2017年度政府性基金预算支出0元。与上年相比，增加0万元，增长0%。增减变化的主要原因是：年初无预算安排。按功能分类科目，教育支出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万元，社会保障和就业支出</w:t>
      </w:r>
      <w:r>
        <w:rPr>
          <w:rFonts w:hint="eastAsia" w:ascii="仿宋" w:hAnsi="仿宋" w:eastAsia="仿宋" w:cs="仿宋"/>
          <w:sz w:val="30"/>
          <w:szCs w:val="30"/>
          <w:lang w:val="en-US" w:eastAsia="zh-CN"/>
        </w:rPr>
        <w:t>0</w:t>
      </w:r>
      <w:r>
        <w:rPr>
          <w:rFonts w:hint="eastAsia" w:ascii="仿宋" w:hAnsi="仿宋" w:eastAsia="仿宋" w:cs="仿宋"/>
          <w:sz w:val="30"/>
          <w:szCs w:val="30"/>
        </w:rPr>
        <w:t>万。按经济分类科目，工资福利支出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万元，商品和服务支出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万元，对个人和家庭的补助支出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万元，其他资本性支出</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万元。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rPr>
      </w:pPr>
      <w:r>
        <w:rPr>
          <w:rFonts w:hint="eastAsia" w:ascii="仿宋" w:hAnsi="仿宋" w:eastAsia="仿宋" w:cs="仿宋"/>
          <w:sz w:val="30"/>
          <w:szCs w:val="30"/>
        </w:rPr>
        <w:t>与预算相比情况。</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ascii="仿宋" w:hAnsi="仿宋" w:eastAsia="仿宋" w:cs="仿宋"/>
          <w:sz w:val="30"/>
          <w:szCs w:val="30"/>
        </w:rPr>
      </w:pPr>
      <w:r>
        <w:rPr>
          <w:rFonts w:hint="eastAsia" w:ascii="仿宋" w:hAnsi="仿宋" w:eastAsia="仿宋" w:cs="仿宋"/>
          <w:snapToGrid/>
          <w:kern w:val="0"/>
          <w:sz w:val="30"/>
          <w:szCs w:val="30"/>
          <w:lang w:val="en-US" w:eastAsia="zh-CN" w:bidi="ar"/>
        </w:rPr>
        <w:t xml:space="preserve">2017年度政府性基金预算财政拨款支出0万元，与预算相比，增加0万元，增长0%。增减变化的主要原因是：年初无预算安排。政府性基金预算财政拨款支出0万元，与预算相比，增加0万元，增长0%。增减变化的主要原因是：年初无预算安排。 </w:t>
      </w:r>
      <w:r>
        <w:rPr>
          <w:rFonts w:hint="eastAsia" w:ascii="仿宋" w:hAnsi="仿宋" w:eastAsia="仿宋" w:cs="仿宋"/>
          <w:sz w:val="30"/>
          <w:szCs w:val="30"/>
        </w:rPr>
        <w:t xml:space="preserve">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其他有关说明内容。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三、部门结转结余情况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ascii="仿宋" w:hAnsi="仿宋" w:eastAsia="仿宋" w:cs="仿宋"/>
          <w:sz w:val="30"/>
          <w:szCs w:val="30"/>
        </w:rPr>
      </w:pPr>
      <w:r>
        <w:rPr>
          <w:rFonts w:hint="eastAsia" w:ascii="仿宋" w:hAnsi="仿宋" w:eastAsia="仿宋" w:cs="仿宋"/>
          <w:sz w:val="30"/>
          <w:szCs w:val="30"/>
        </w:rPr>
        <w:t>年末基本收支结余0万元，较上年增加0万元；增长0%；年末结转结余0万元。</w:t>
      </w:r>
      <w:r>
        <w:rPr>
          <w:rFonts w:hint="eastAsia" w:ascii="仿宋" w:hAnsi="仿宋" w:eastAsia="仿宋" w:cs="仿宋"/>
          <w:snapToGrid/>
          <w:kern w:val="0"/>
          <w:sz w:val="30"/>
          <w:szCs w:val="30"/>
          <w:lang w:val="en-US" w:eastAsia="zh-CN" w:bidi="ar"/>
        </w:rPr>
        <w:t xml:space="preserve">其中财政拨款结转结余0万元。与上年相比，增加0万元，增长0%。 </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四、一般公共预算“三公”经费支出情况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2017年度一般公共预算“三公”经费支出决算0万元，比上年减少0万元，降低0%，主要原因是年初无预算安排。其中：因公出国（境）费支出0，占0%，比上年减少0万元，降低0%，主要原因是年初无预算安排； 公务用车购置及运行维护费支出0万元，占0%，比上年减少0万元，降低0%，主要原因是年初无预算安排；公务接待费支出0万元，占%，比上年减少0万元，降低0%，主要原因是年初无预算安排。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因公出国（境）费支出0。玛纳斯县四小单位全年使用一般公共预算财政拨款安排的出国（境）团组0个，累计0人次，主要原因是年初无预算安排。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公务用车购置及运行维护费0万元,其中，公务用车购置0，公务用车运行维护费0。 2017年，单位一般公共财政拨款安排的公务用车购置量0辆 ，保有量为0 辆。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公务接待费0万元，具体是：国内公务接待支出0万元，主要原因是年初无预算安排。玛纳斯县第</w:t>
      </w:r>
      <w:r>
        <w:rPr>
          <w:rFonts w:hint="eastAsia" w:ascii="仿宋" w:hAnsi="仿宋" w:eastAsia="仿宋" w:cs="仿宋"/>
          <w:sz w:val="30"/>
          <w:szCs w:val="30"/>
          <w:lang w:eastAsia="zh-CN"/>
        </w:rPr>
        <w:t>一</w:t>
      </w:r>
      <w:r>
        <w:rPr>
          <w:rFonts w:hint="eastAsia" w:ascii="仿宋" w:hAnsi="仿宋" w:eastAsia="仿宋" w:cs="仿宋"/>
          <w:sz w:val="30"/>
          <w:szCs w:val="30"/>
        </w:rPr>
        <w:t xml:space="preserve">小学单位国内公务接待0批次，0人次。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eastAsia="zh-CN"/>
        </w:rPr>
      </w:pPr>
      <w:r>
        <w:rPr>
          <w:rFonts w:hint="eastAsia" w:ascii="仿宋" w:hAnsi="仿宋" w:eastAsia="仿宋" w:cs="仿宋"/>
          <w:sz w:val="30"/>
          <w:szCs w:val="30"/>
        </w:rPr>
        <w:t>与预算相比情况</w:t>
      </w:r>
      <w:r>
        <w:rPr>
          <w:rFonts w:hint="eastAsia" w:ascii="仿宋" w:hAnsi="仿宋" w:eastAsia="仿宋" w:cs="仿宋"/>
          <w:sz w:val="30"/>
          <w:szCs w:val="30"/>
          <w:lang w:eastAsia="zh-CN"/>
        </w:rPr>
        <w:t>。</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2017年度年初一般公共预算“三公”经费支出决算0万元，决算比预算增加0万元，增长0%，增加原因是年初无预算安排。其中，因公出国（境）费支出0万元，占0%，决算比预算增加0万元，增长0%，增加原因是年初无预算安排；公务用车购置及运行维护费支出0万元，占0%，决算比预算增加0万元，增长0%，增加原因是年初无预算安排；公务接待费支出0万元，占0%，决算比预算增加0万元，增长0%，增加原因是年初无预算安排。</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其他有关说明内容。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五、机关运行经费支出情况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2017年度单位机关运行经费支出0万元，比上年增加0万元，增长0%，主要原因是本单位为事业单位，有事业运行经费，无机关运行经费。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其他有关说明内容。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本单位为事业单位，</w:t>
      </w:r>
      <w:r>
        <w:rPr>
          <w:rFonts w:hint="eastAsia" w:ascii="仿宋" w:hAnsi="仿宋" w:eastAsia="仿宋" w:cs="仿宋"/>
          <w:sz w:val="30"/>
          <w:szCs w:val="30"/>
          <w:lang w:eastAsia="zh-CN"/>
        </w:rPr>
        <w:t>日常公用</w:t>
      </w:r>
      <w:r>
        <w:rPr>
          <w:rFonts w:hint="eastAsia" w:ascii="仿宋" w:hAnsi="仿宋" w:eastAsia="仿宋" w:cs="仿宋"/>
          <w:sz w:val="30"/>
          <w:szCs w:val="30"/>
        </w:rPr>
        <w:t>经费为</w:t>
      </w:r>
      <w:r>
        <w:rPr>
          <w:rFonts w:hint="eastAsia" w:ascii="仿宋" w:hAnsi="仿宋" w:eastAsia="仿宋" w:cs="仿宋"/>
          <w:sz w:val="30"/>
          <w:szCs w:val="30"/>
          <w:lang w:val="en-US" w:eastAsia="zh-CN"/>
        </w:rPr>
        <w:t>12.39</w:t>
      </w:r>
      <w:r>
        <w:rPr>
          <w:rFonts w:hint="eastAsia" w:ascii="仿宋" w:hAnsi="仿宋" w:eastAsia="仿宋" w:cs="仿宋"/>
          <w:sz w:val="30"/>
          <w:szCs w:val="30"/>
        </w:rPr>
        <w:t>万元.比上年增加9.5</w:t>
      </w:r>
      <w:r>
        <w:rPr>
          <w:rFonts w:hint="eastAsia" w:ascii="仿宋" w:hAnsi="仿宋" w:eastAsia="仿宋" w:cs="仿宋"/>
          <w:sz w:val="30"/>
          <w:szCs w:val="30"/>
          <w:lang w:val="en-US" w:eastAsia="zh-CN"/>
        </w:rPr>
        <w:t>9</w:t>
      </w:r>
      <w:r>
        <w:rPr>
          <w:rFonts w:hint="eastAsia" w:ascii="仿宋" w:hAnsi="仿宋" w:eastAsia="仿宋" w:cs="仿宋"/>
          <w:sz w:val="30"/>
          <w:szCs w:val="30"/>
        </w:rPr>
        <w:t>万元，增长</w:t>
      </w:r>
      <w:r>
        <w:rPr>
          <w:rFonts w:hint="eastAsia" w:ascii="仿宋" w:hAnsi="仿宋" w:eastAsia="仿宋" w:cs="仿宋"/>
          <w:sz w:val="30"/>
          <w:szCs w:val="30"/>
          <w:lang w:val="en-US" w:eastAsia="zh-CN"/>
        </w:rPr>
        <w:t>342.5</w:t>
      </w:r>
      <w:r>
        <w:rPr>
          <w:rFonts w:hint="eastAsia" w:ascii="仿宋" w:hAnsi="仿宋" w:eastAsia="仿宋" w:cs="仿宋"/>
          <w:sz w:val="30"/>
          <w:szCs w:val="30"/>
        </w:rPr>
        <w:t>%；主要原因是本年度</w:t>
      </w:r>
      <w:r>
        <w:rPr>
          <w:rFonts w:hint="eastAsia" w:ascii="仿宋" w:hAnsi="仿宋" w:eastAsia="仿宋" w:cs="仿宋"/>
          <w:sz w:val="30"/>
          <w:szCs w:val="30"/>
          <w:lang w:eastAsia="zh-CN"/>
        </w:rPr>
        <w:t>人员新增</w:t>
      </w:r>
      <w:r>
        <w:rPr>
          <w:rFonts w:hint="eastAsia" w:ascii="仿宋" w:hAnsi="仿宋" w:eastAsia="仿宋" w:cs="仿宋"/>
          <w:sz w:val="30"/>
          <w:szCs w:val="30"/>
        </w:rPr>
        <w:t>。</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六、政府采购情况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我单位政府采购计划6.9万元，其中：政府采购货物支出6.9万元、政府采购工程支出0万元、政府采购服务支出0万元；实际采购6.75万元，其中：政府采购货物支出6.75万元、政府采购工程支出0万元、政府采购服务支出0万元。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其他有关说明内容。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七、其他重要事项的情况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（一）国有资产占用情况说明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截至2017年12月31日，资产总计1210.27万元，其中：流动资产27.17万元，固定资产1183.10万元，其中：房屋9327.55（平方米），价值840.85万元，共有车辆0辆，价值0万元，其中：部级领导干部用车0辆、一般公务用车0辆、一般执法执勤用车0辆、特种专业技术用车0辆、其他用车0辆（其他用车主要是：</w:t>
      </w:r>
      <w:r>
        <w:rPr>
          <w:rFonts w:hint="eastAsia" w:ascii="仿宋" w:hAnsi="仿宋" w:eastAsia="仿宋" w:cs="仿宋"/>
          <w:sz w:val="30"/>
          <w:szCs w:val="30"/>
          <w:lang w:eastAsia="zh-CN"/>
        </w:rPr>
        <w:t>无</w:t>
      </w:r>
      <w:r>
        <w:rPr>
          <w:rFonts w:hint="eastAsia" w:ascii="仿宋" w:hAnsi="仿宋" w:eastAsia="仿宋" w:cs="仿宋"/>
          <w:sz w:val="30"/>
          <w:szCs w:val="30"/>
        </w:rPr>
        <w:t xml:space="preserve">）；单位价值50万元以上通用设备1台（套）、单位价值100万元以上专用设备0台（套），其他固定资产价值263.45万元。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二</w:t>
      </w:r>
      <w:r>
        <w:rPr>
          <w:rFonts w:hint="eastAsia" w:ascii="仿宋" w:hAnsi="仿宋" w:eastAsia="仿宋" w:cs="仿宋"/>
          <w:sz w:val="30"/>
          <w:szCs w:val="30"/>
        </w:rPr>
        <w:t xml:space="preserve">）国有资产收益征缴情况说明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截至2017年12月31日，我单位资产有偿使用收入合计0万元，资产处置收入合计0万元。其中：已缴国库0万元， 已缴财政专户0万元，应缴未缴0万元，单位留用0万元。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其他有关说明内容。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（三）部门项目支出情况和项目绩效评价情况说明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2017年度，本部门单位实行绩效管理的项目 0  个，涉及预算0万元，项目支出决算129万元。年末本部门单位无民生项目和重点支出项目。 </w:t>
      </w: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rPr>
          <w:rFonts w:ascii="仿宋" w:hAnsi="仿宋" w:eastAsia="仿宋" w:cs="仿宋"/>
          <w:sz w:val="30"/>
          <w:szCs w:val="30"/>
        </w:rPr>
      </w:pPr>
    </w:p>
    <w:p>
      <w:pPr>
        <w:spacing w:after="0" w:line="520" w:lineRule="exact"/>
        <w:rPr>
          <w:rFonts w:ascii="仿宋" w:hAnsi="仿宋" w:eastAsia="仿宋" w:cs="仿宋"/>
          <w:sz w:val="30"/>
          <w:szCs w:val="30"/>
        </w:rPr>
      </w:pPr>
    </w:p>
    <w:p>
      <w:pPr>
        <w:spacing w:line="220" w:lineRule="atLeast"/>
        <w:jc w:val="both"/>
        <w:rPr>
          <w:rFonts w:ascii="仿宋" w:hAnsi="仿宋" w:eastAsia="仿宋" w:cs="仿宋"/>
          <w:b/>
          <w:bCs/>
          <w:sz w:val="30"/>
          <w:szCs w:val="30"/>
        </w:rPr>
      </w:pPr>
    </w:p>
    <w:p>
      <w:pPr>
        <w:spacing w:line="220" w:lineRule="atLeast"/>
        <w:jc w:val="center"/>
        <w:rPr>
          <w:rFonts w:ascii="仿宋" w:hAnsi="仿宋" w:eastAsia="仿宋" w:cs="仿宋"/>
          <w:b/>
          <w:bCs/>
          <w:sz w:val="30"/>
          <w:szCs w:val="30"/>
        </w:rPr>
      </w:pPr>
      <w:r>
        <w:rPr>
          <w:rFonts w:hint="eastAsia" w:ascii="仿宋" w:hAnsi="仿宋" w:eastAsia="仿宋" w:cs="仿宋"/>
          <w:b/>
          <w:bCs/>
          <w:sz w:val="30"/>
          <w:szCs w:val="30"/>
        </w:rPr>
        <w:t>第三部分 专业名词解释</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财政拨款收入：指同级财政当年拨付的资金。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上级补助收入：指事业单位从主管部门和上级单位取得的非财政补助收入。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事业收入：指事业单位开展专业业务活动及其辅助活动所取得的收入。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经营收入：指事业单位在专业业务活动及其辅助活动之外开展非独立核算经营活动取得的收入。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附属单位缴款：指事业单位附属的独立核算单位按有关规定上缴的收入。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其他收入：指除上述“财政拨款收入”、“事业收入”、“经营收入”、“附属单位缴款”等之外取得的收入。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用事业基金弥补收支差额：指事业单位在当年的“财政拨款 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上年结转和结余：指以前年度支出预算因客观条件变化未执行完毕、结转到本年度按有关规定继续使用的资金，既包括财政拨款结转和结余，也包括事业收入、经营收入、其他收入的结转和结余。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结余分配：反映单位当年结余的分配情况。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年末结转和结余：指本年度或以前年度预算安排、因客观条件发生变化无法按原计划实施，需要延迟到以后年度按有关规定继续使用的资金，既包括财政拨款结转和结余，也包括事业收入、经营收入、其他收入的结转和结余。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基本支出：指为保障机构正常运转、完成日常工作任务而发生的人员支出和公用支出。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项目支出：指在基本支出之外为完成特定行政任务和事业发展目标所发生的支出。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经营支出：指事业单位在专业业务活动及其辅助活动之外开展非独立核算经营活动发生的支出。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对附属单位补助支出：指事业单位发生的用非财政预算资金对附属单位的补助支出。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“三公”经费：指用一般公共预算财政拨款安排的因公出国（境）费、公务用车购置及运行费和公务接待费。其中，因公出国（境）费反映单位公务出国（境）的住宿费、旅费、伙食补助 费、杂费、培训费等支出；公务用车购置及运行费反映单位公务用车购置费及租用费、燃料费、维修费、过路过桥费、保险费、安全奖励费用等支出；公务接待费反映单位按规定开支的各类公务接待（含外宾接待）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本单位支出功能分类说明。2050202：指小学教育；2050201：指学前教育；2050299：指其他普通教育支出；2080505：指机关事业单位基本养老保险缴费支出。</w:t>
      </w: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第四部分 部门决算报表（见附表）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一、报表封面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eastAsia="zh-CN"/>
        </w:rPr>
        <w:t>一</w:t>
      </w:r>
      <w:r>
        <w:rPr>
          <w:rFonts w:hint="eastAsia" w:ascii="仿宋" w:hAnsi="仿宋" w:eastAsia="仿宋" w:cs="仿宋"/>
          <w:sz w:val="30"/>
          <w:szCs w:val="30"/>
        </w:rPr>
        <w:t xml:space="preserve">、《收入支出决算总表》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三、《收入决算表》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七、《行政事业类项目收入支出决算表》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八、《基本建设类项目收入支出决算表》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九、《支出决算明细表》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十一、《项目支出决算明细表》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w:t>
      </w:r>
      <w:r>
        <w:rPr>
          <w:rFonts w:hint="eastAsia" w:ascii="仿宋" w:hAnsi="仿宋" w:eastAsia="仿宋" w:cs="仿宋"/>
          <w:sz w:val="30"/>
          <w:szCs w:val="30"/>
          <w:lang w:eastAsia="zh-CN"/>
        </w:rPr>
        <w:t>一</w:t>
      </w:r>
      <w:r>
        <w:rPr>
          <w:rFonts w:hint="eastAsia" w:ascii="仿宋" w:hAnsi="仿宋" w:eastAsia="仿宋" w:cs="仿宋"/>
          <w:sz w:val="30"/>
          <w:szCs w:val="30"/>
        </w:rPr>
        <w:t xml:space="preserve">、《财政专户管理资金收入支出决算表》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十三、《财政拨款收入支出决算总表》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十四、《一般公共预算财政拨款收入支出决算表》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十五、《一般公共预算财政拨款支出决算明细表》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十六、《一般公共预算财政拨款基本支出决算明细表》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十七、《一般公共预算财政拨款项目支出决算明细表》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十八、《政府性基金预算财政拨款收入支出决算表》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十九、《政府性基金预算财政拨款支出决算明细表》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eastAsia="zh-CN"/>
        </w:rPr>
        <w:t>一</w:t>
      </w:r>
      <w:r>
        <w:rPr>
          <w:rFonts w:hint="eastAsia" w:ascii="仿宋" w:hAnsi="仿宋" w:eastAsia="仿宋" w:cs="仿宋"/>
          <w:sz w:val="30"/>
          <w:szCs w:val="30"/>
        </w:rPr>
        <w:t xml:space="preserve">十、《政府性基金预算财政拨款基本支出决算明细表》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eastAsia="zh-CN"/>
        </w:rPr>
        <w:t>一</w:t>
      </w:r>
      <w:r>
        <w:rPr>
          <w:rFonts w:hint="eastAsia" w:ascii="仿宋" w:hAnsi="仿宋" w:eastAsia="仿宋" w:cs="仿宋"/>
          <w:sz w:val="30"/>
          <w:szCs w:val="30"/>
        </w:rPr>
        <w:t xml:space="preserve">十一、《政府性基金预算财政拨款项目支出决算明细表》。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eastAsia="zh-CN"/>
        </w:rPr>
        <w:t>一</w:t>
      </w:r>
      <w:r>
        <w:rPr>
          <w:rFonts w:hint="eastAsia" w:ascii="仿宋" w:hAnsi="仿宋" w:eastAsia="仿宋" w:cs="仿宋"/>
          <w:sz w:val="30"/>
          <w:szCs w:val="30"/>
        </w:rPr>
        <w:t>十</w:t>
      </w:r>
      <w:r>
        <w:rPr>
          <w:rFonts w:hint="eastAsia" w:ascii="仿宋" w:hAnsi="仿宋" w:eastAsia="仿宋" w:cs="仿宋"/>
          <w:sz w:val="30"/>
          <w:szCs w:val="30"/>
          <w:lang w:eastAsia="zh-CN"/>
        </w:rPr>
        <w:t>一</w:t>
      </w:r>
      <w:r>
        <w:rPr>
          <w:rFonts w:hint="eastAsia" w:ascii="仿宋" w:hAnsi="仿宋" w:eastAsia="仿宋" w:cs="仿宋"/>
          <w:sz w:val="30"/>
          <w:szCs w:val="30"/>
        </w:rPr>
        <w:t xml:space="preserve">、《资产负债简表》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eastAsia="zh-CN"/>
        </w:rPr>
        <w:t>一</w:t>
      </w:r>
      <w:r>
        <w:rPr>
          <w:rFonts w:hint="eastAsia" w:ascii="仿宋" w:hAnsi="仿宋" w:eastAsia="仿宋" w:cs="仿宋"/>
          <w:sz w:val="30"/>
          <w:szCs w:val="30"/>
        </w:rPr>
        <w:t xml:space="preserve">十三、《资产情况表》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eastAsia="zh-CN"/>
        </w:rPr>
        <w:t>一</w:t>
      </w:r>
      <w:r>
        <w:rPr>
          <w:rFonts w:hint="eastAsia" w:ascii="仿宋" w:hAnsi="仿宋" w:eastAsia="仿宋" w:cs="仿宋"/>
          <w:sz w:val="30"/>
          <w:szCs w:val="30"/>
        </w:rPr>
        <w:t xml:space="preserve">十四、《国有资产收益征缴情况表》、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eastAsia="zh-CN"/>
        </w:rPr>
        <w:t>一</w:t>
      </w:r>
      <w:r>
        <w:rPr>
          <w:rFonts w:hint="eastAsia" w:ascii="仿宋" w:hAnsi="仿宋" w:eastAsia="仿宋" w:cs="仿宋"/>
          <w:sz w:val="30"/>
          <w:szCs w:val="30"/>
        </w:rPr>
        <w:t xml:space="preserve">十五、《基本数字表》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eastAsia="zh-CN"/>
        </w:rPr>
        <w:t>一</w:t>
      </w:r>
      <w:r>
        <w:rPr>
          <w:rFonts w:hint="eastAsia" w:ascii="仿宋" w:hAnsi="仿宋" w:eastAsia="仿宋" w:cs="仿宋"/>
          <w:sz w:val="30"/>
          <w:szCs w:val="30"/>
        </w:rPr>
        <w:t xml:space="preserve">十六、《机构人员情况表》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eastAsia="zh-CN"/>
        </w:rPr>
        <w:t>一</w:t>
      </w:r>
      <w:r>
        <w:rPr>
          <w:rFonts w:hint="eastAsia" w:ascii="仿宋" w:hAnsi="仿宋" w:eastAsia="仿宋" w:cs="仿宋"/>
          <w:sz w:val="30"/>
          <w:szCs w:val="30"/>
        </w:rPr>
        <w:t xml:space="preserve">十七、《非税收入征缴情况表》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eastAsia="zh-CN"/>
        </w:rPr>
        <w:t>一</w:t>
      </w:r>
      <w:r>
        <w:rPr>
          <w:rFonts w:hint="eastAsia" w:ascii="仿宋" w:hAnsi="仿宋" w:eastAsia="仿宋" w:cs="仿宋"/>
          <w:sz w:val="30"/>
          <w:szCs w:val="30"/>
        </w:rPr>
        <w:t xml:space="preserve">十八、《部门决算相关信息统计表》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eastAsia="zh-CN"/>
        </w:rPr>
        <w:t>一</w:t>
      </w:r>
      <w:r>
        <w:rPr>
          <w:rFonts w:hint="eastAsia" w:ascii="仿宋" w:hAnsi="仿宋" w:eastAsia="仿宋" w:cs="仿宋"/>
          <w:sz w:val="30"/>
          <w:szCs w:val="30"/>
        </w:rPr>
        <w:t xml:space="preserve">十九、《政府采购情况表》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三十、《2017年度一般公共预算“三公”经费支出情况表》 </w:t>
      </w: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240"/>
    <w:rsid w:val="000203F2"/>
    <w:rsid w:val="000312CC"/>
    <w:rsid w:val="000E67CE"/>
    <w:rsid w:val="0013176C"/>
    <w:rsid w:val="00147220"/>
    <w:rsid w:val="0023560C"/>
    <w:rsid w:val="00237D29"/>
    <w:rsid w:val="002F2632"/>
    <w:rsid w:val="00326BF7"/>
    <w:rsid w:val="00351600"/>
    <w:rsid w:val="003737CC"/>
    <w:rsid w:val="00377917"/>
    <w:rsid w:val="00394C82"/>
    <w:rsid w:val="003F1D18"/>
    <w:rsid w:val="00406AA3"/>
    <w:rsid w:val="00465159"/>
    <w:rsid w:val="00472A92"/>
    <w:rsid w:val="00490D73"/>
    <w:rsid w:val="004D0405"/>
    <w:rsid w:val="004F39B7"/>
    <w:rsid w:val="005C1CEC"/>
    <w:rsid w:val="005D49E2"/>
    <w:rsid w:val="005F7240"/>
    <w:rsid w:val="00641F40"/>
    <w:rsid w:val="00707796"/>
    <w:rsid w:val="00725536"/>
    <w:rsid w:val="007603E0"/>
    <w:rsid w:val="00776B09"/>
    <w:rsid w:val="007A6846"/>
    <w:rsid w:val="008363E3"/>
    <w:rsid w:val="008768D9"/>
    <w:rsid w:val="008969EF"/>
    <w:rsid w:val="008D570C"/>
    <w:rsid w:val="00905BEE"/>
    <w:rsid w:val="0096599A"/>
    <w:rsid w:val="00967E0D"/>
    <w:rsid w:val="009C68F3"/>
    <w:rsid w:val="00A21ADD"/>
    <w:rsid w:val="00A41FCF"/>
    <w:rsid w:val="00A438F2"/>
    <w:rsid w:val="00A61464"/>
    <w:rsid w:val="00A6787C"/>
    <w:rsid w:val="00AE2781"/>
    <w:rsid w:val="00B310BE"/>
    <w:rsid w:val="00B3137F"/>
    <w:rsid w:val="00B6477F"/>
    <w:rsid w:val="00B87C1D"/>
    <w:rsid w:val="00BE6793"/>
    <w:rsid w:val="00D03E0E"/>
    <w:rsid w:val="00D26244"/>
    <w:rsid w:val="00D7059E"/>
    <w:rsid w:val="00D81945"/>
    <w:rsid w:val="00DD705E"/>
    <w:rsid w:val="00EA054A"/>
    <w:rsid w:val="00EA66F5"/>
    <w:rsid w:val="00F833DC"/>
    <w:rsid w:val="00F90B75"/>
    <w:rsid w:val="00F949B7"/>
    <w:rsid w:val="00F960B3"/>
    <w:rsid w:val="172C7BDA"/>
    <w:rsid w:val="21400FF8"/>
    <w:rsid w:val="40A30F9E"/>
    <w:rsid w:val="44533F59"/>
    <w:rsid w:val="54CA4773"/>
    <w:rsid w:val="65255518"/>
    <w:rsid w:val="7074609E"/>
    <w:rsid w:val="76C7690D"/>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6">
    <w:name w:val="Default Paragraph Font"/>
    <w:unhideWhenUsed/>
    <w:uiPriority w:val="1"/>
  </w:style>
  <w:style w:type="table" w:default="1" w:styleId="8">
    <w:name w:val="Normal Table"/>
    <w:unhideWhenUsed/>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Layout w:type="fixed"/>
      <w:tblCellMar>
        <w:top w:w="0" w:type="dxa"/>
        <w:left w:w="108" w:type="dxa"/>
        <w:bottom w:w="0" w:type="dxa"/>
        <w:right w:w="108" w:type="dxa"/>
      </w:tblCellMar>
    </w:tblPr>
  </w:style>
  <w:style w:type="paragraph" w:styleId="2">
    <w:name w:val="annotation text"/>
    <w:basedOn w:val="1"/>
    <w:unhideWhenUsed/>
    <w:qFormat/>
    <w:uiPriority w:val="99"/>
  </w:style>
  <w:style w:type="paragraph" w:styleId="3">
    <w:name w:val="Balloon Text"/>
    <w:basedOn w:val="1"/>
    <w:link w:val="13"/>
    <w:unhideWhenUsed/>
    <w:qFormat/>
    <w:uiPriority w:val="99"/>
    <w:pPr>
      <w:spacing w:after="0"/>
    </w:pPr>
    <w:rPr>
      <w:sz w:val="18"/>
      <w:szCs w:val="18"/>
    </w:rPr>
  </w:style>
  <w:style w:type="paragraph" w:styleId="4">
    <w:name w:val="footer"/>
    <w:basedOn w:val="1"/>
    <w:link w:val="11"/>
    <w:unhideWhenUsed/>
    <w:qFormat/>
    <w:uiPriority w:val="99"/>
    <w:pPr>
      <w:tabs>
        <w:tab w:val="center" w:pos="4153"/>
        <w:tab w:val="right" w:pos="8306"/>
      </w:tabs>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jc w:val="center"/>
    </w:pPr>
    <w:rPr>
      <w:sz w:val="18"/>
      <w:szCs w:val="18"/>
    </w:rPr>
  </w:style>
  <w:style w:type="character" w:styleId="7">
    <w:name w:val="annotation reference"/>
    <w:basedOn w:val="6"/>
    <w:unhideWhenUsed/>
    <w:qFormat/>
    <w:uiPriority w:val="99"/>
    <w:rPr>
      <w:sz w:val="21"/>
      <w:szCs w:val="21"/>
    </w:rPr>
  </w:style>
  <w:style w:type="table" w:styleId="9">
    <w:name w:val="Table Grid"/>
    <w:basedOn w:val="8"/>
    <w:qFormat/>
    <w:uiPriority w:val="59"/>
    <w:pPr>
      <w:widowControl w:val="0"/>
      <w:jc w:val="both"/>
    </w:pPr>
    <w:rPr>
      <w:rFonts w:eastAsia="微软雅黑"/>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页眉 Char"/>
    <w:basedOn w:val="6"/>
    <w:link w:val="5"/>
    <w:qFormat/>
    <w:uiPriority w:val="99"/>
    <w:rPr>
      <w:rFonts w:ascii="Tahoma" w:hAnsi="Tahoma" w:eastAsia="微软雅黑"/>
      <w:kern w:val="0"/>
      <w:sz w:val="18"/>
      <w:szCs w:val="18"/>
    </w:rPr>
  </w:style>
  <w:style w:type="character" w:customStyle="1" w:styleId="11">
    <w:name w:val="页脚 Char"/>
    <w:basedOn w:val="6"/>
    <w:link w:val="4"/>
    <w:qFormat/>
    <w:uiPriority w:val="99"/>
    <w:rPr>
      <w:rFonts w:ascii="Tahoma" w:hAnsi="Tahoma" w:eastAsia="微软雅黑"/>
      <w:kern w:val="0"/>
      <w:sz w:val="18"/>
      <w:szCs w:val="18"/>
    </w:rPr>
  </w:style>
  <w:style w:type="paragraph" w:customStyle="1" w:styleId="12">
    <w:name w:val="列出段落1"/>
    <w:basedOn w:val="1"/>
    <w:qFormat/>
    <w:uiPriority w:val="34"/>
    <w:pPr>
      <w:ind w:firstLine="420" w:firstLineChars="200"/>
    </w:pPr>
  </w:style>
  <w:style w:type="character" w:customStyle="1" w:styleId="13">
    <w:name w:val="批注框文本 Char"/>
    <w:basedOn w:val="6"/>
    <w:link w:val="3"/>
    <w:semiHidden/>
    <w:qFormat/>
    <w:uiPriority w:val="99"/>
    <w:rPr>
      <w:rFonts w:ascii="Tahoma" w:hAnsi="Tahoma" w:eastAsia="微软雅黑"/>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丰华文化用品广场</Company>
  <Pages>14</Pages>
  <Words>872</Words>
  <Characters>4975</Characters>
  <Lines>41</Lines>
  <Paragraphs>11</Paragraphs>
  <TotalTime>0</TotalTime>
  <ScaleCrop>false</ScaleCrop>
  <LinksUpToDate>false</LinksUpToDate>
  <CharactersWithSpaces>5836</CharactersWithSpaces>
  <Application>WPS Office_10.1.0.5554_F1E327BC-269C-435d-A152-05C5408002CA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2018-07-20T11:47:00Z</dcterms:created>
  <dc:creator>丰华网络</dc:creator>
  <cp:lastModifiedBy>Administrator</cp:lastModifiedBy>
  <dcterms:modified xsi:type="dcterms:W3CDTF">2019-05-06T04:44:30Z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