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after="0" w:line="520" w:lineRule="exact"/>
        <w:jc w:val="center"/>
        <w:rPr>
          <w:rFonts w:ascii="仿宋" w:hAnsi="仿宋" w:eastAsia="仿宋" w:cs="仿宋"/>
          <w:color w:val="000000" w:themeColor="text1"/>
          <w:sz w:val="36"/>
          <w:szCs w:val="36"/>
        </w:rPr>
      </w:pPr>
      <w:r>
        <w:rPr>
          <w:rFonts w:hint="eastAsia" w:ascii="仿宋" w:hAnsi="仿宋" w:eastAsia="仿宋" w:cs="仿宋"/>
          <w:color w:val="000000" w:themeColor="text1"/>
          <w:sz w:val="36"/>
          <w:szCs w:val="36"/>
        </w:rPr>
        <w:t>2017年度玛纳斯县第五小学部门决算公开说明</w:t>
      </w:r>
    </w:p>
    <w:p>
      <w:pPr>
        <w:spacing w:after="0" w:line="520" w:lineRule="exact"/>
        <w:ind w:firstLine="643" w:firstLineChars="200"/>
        <w:jc w:val="center"/>
        <w:rPr>
          <w:rFonts w:ascii="仿宋" w:hAnsi="仿宋" w:eastAsia="仿宋" w:cs="仿宋"/>
          <w:b/>
          <w:color w:val="000000" w:themeColor="text1"/>
          <w:sz w:val="32"/>
          <w:szCs w:val="32"/>
        </w:rPr>
      </w:pPr>
    </w:p>
    <w:p>
      <w:pPr>
        <w:spacing w:after="0" w:line="520" w:lineRule="exact"/>
        <w:ind w:firstLine="643" w:firstLineChars="200"/>
        <w:jc w:val="center"/>
        <w:rPr>
          <w:rFonts w:ascii="仿宋" w:hAnsi="仿宋" w:eastAsia="仿宋" w:cs="仿宋"/>
          <w:b/>
          <w:color w:val="000000" w:themeColor="text1"/>
          <w:sz w:val="32"/>
          <w:szCs w:val="32"/>
        </w:rPr>
      </w:pPr>
      <w:r>
        <w:rPr>
          <w:rFonts w:hint="eastAsia" w:ascii="仿宋" w:hAnsi="仿宋" w:eastAsia="仿宋" w:cs="仿宋"/>
          <w:b/>
          <w:color w:val="000000" w:themeColor="text1"/>
          <w:sz w:val="32"/>
          <w:szCs w:val="32"/>
        </w:rPr>
        <w:t>目  录</w:t>
      </w:r>
    </w:p>
    <w:p>
      <w:pPr>
        <w:spacing w:after="0" w:line="520" w:lineRule="exact"/>
        <w:ind w:firstLine="643" w:firstLineChars="200"/>
        <w:jc w:val="center"/>
        <w:rPr>
          <w:rFonts w:ascii="仿宋" w:hAnsi="仿宋" w:eastAsia="仿宋" w:cs="仿宋"/>
          <w:b/>
          <w:color w:val="000000" w:themeColor="text1"/>
          <w:sz w:val="32"/>
          <w:szCs w:val="32"/>
        </w:rPr>
      </w:pPr>
    </w:p>
    <w:p>
      <w:pPr>
        <w:spacing w:after="0" w:line="520" w:lineRule="exact"/>
        <w:ind w:firstLine="602" w:firstLineChars="200"/>
        <w:rPr>
          <w:rFonts w:ascii="仿宋" w:hAnsi="仿宋" w:eastAsia="仿宋" w:cs="仿宋"/>
          <w:b/>
          <w:bCs/>
          <w:color w:val="000000" w:themeColor="text1"/>
          <w:sz w:val="30"/>
          <w:szCs w:val="30"/>
        </w:rPr>
      </w:pPr>
      <w:r>
        <w:rPr>
          <w:rFonts w:hint="eastAsia" w:ascii="仿宋" w:hAnsi="仿宋" w:eastAsia="仿宋" w:cs="仿宋"/>
          <w:b/>
          <w:bCs/>
          <w:color w:val="000000" w:themeColor="text1"/>
          <w:sz w:val="30"/>
          <w:szCs w:val="30"/>
        </w:rPr>
        <w:t xml:space="preserve">第一部分玛纳斯县第五小学概况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themeColor="text1"/>
          <w:sz w:val="30"/>
          <w:szCs w:val="30"/>
        </w:rPr>
        <w:t>一、主要职能、机构设置及人员</w:t>
      </w:r>
      <w:r>
        <w:rPr>
          <w:rFonts w:hint="eastAsia" w:ascii="仿宋" w:hAnsi="仿宋" w:eastAsia="仿宋" w:cs="仿宋"/>
          <w:sz w:val="30"/>
          <w:szCs w:val="30"/>
        </w:rPr>
        <w:t xml:space="preserve">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二、部门决算单位构成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第二部分 部门决算情况说明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一、部门收支总体情况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（一）部门收入支出决算总体情况说明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（二）部门收入总体情况说明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（二）一般公共预算支出决算情况说明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第三部分 专业名词解释 </w:t>
      </w:r>
    </w:p>
    <w:p>
      <w:pPr>
        <w:spacing w:after="0" w:line="520" w:lineRule="exact"/>
        <w:ind w:firstLine="602" w:firstLineChars="200"/>
        <w:rPr>
          <w:rFonts w:ascii="仿宋" w:hAnsi="仿宋" w:eastAsia="仿宋" w:cs="仿宋"/>
          <w:b/>
          <w:bCs/>
          <w:sz w:val="30"/>
          <w:szCs w:val="30"/>
        </w:rPr>
      </w:pPr>
      <w:r>
        <w:rPr>
          <w:rFonts w:hint="eastAsia" w:ascii="仿宋" w:hAnsi="仿宋" w:eastAsia="仿宋" w:cs="仿宋"/>
          <w:b/>
          <w:bCs/>
          <w:sz w:val="30"/>
          <w:szCs w:val="30"/>
        </w:rPr>
        <w:t xml:space="preserve">第四部分 部门决算报表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二、部门收支总体情况（11张）：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三、财政拨款收支情况（9张）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四、单位资产负责情况（1张）：《资产负债简表》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五、部门决算附表（5张）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六、填报说明附表（2张）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《政府采购情况表》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七、“三公”经费支出情况(1张)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《2017年度一般公共预算“三公”经费支出情况表》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line="220" w:lineRule="atLeast"/>
        <w:rPr>
          <w:rFonts w:ascii="仿宋" w:hAnsi="仿宋" w:eastAsia="仿宋" w:cs="仿宋"/>
          <w:sz w:val="30"/>
          <w:szCs w:val="30"/>
        </w:rPr>
      </w:pPr>
    </w:p>
    <w:p>
      <w:pPr>
        <w:spacing w:after="0" w:line="520" w:lineRule="exact"/>
        <w:jc w:val="center"/>
        <w:rPr>
          <w:rFonts w:ascii="仿宋" w:hAnsi="仿宋" w:eastAsia="仿宋" w:cs="仿宋"/>
          <w:b/>
          <w:bCs/>
          <w:sz w:val="30"/>
          <w:szCs w:val="30"/>
        </w:rPr>
      </w:pPr>
      <w:r>
        <w:rPr>
          <w:rFonts w:hint="eastAsia" w:ascii="仿宋" w:hAnsi="仿宋" w:eastAsia="仿宋" w:cs="仿宋"/>
          <w:b/>
          <w:bCs/>
          <w:sz w:val="30"/>
          <w:szCs w:val="30"/>
        </w:rPr>
        <w:t>第一部分 部门单位概况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一、部门单位基本情况：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学校占地面积42270平方米，校舍建筑总面积6239平方米。学校共有编制教职工44名，年末实有人数55人，学校共有776名学生。</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玛纳斯县第五小学设置主要部门如下：校党支部、办公室、总务处</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1、校党支部及其主要职能是：</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一、认真抓好学校党的思想、组织、作风建设，加强党的教育、管理，努力提高党员的素质，充分发挥党支部的战斗堡垒和党员的先锋模范作用。</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二、保证、监督校长正确贯彻执行党和国家的教育方针、政策、法规，保证办学的社会主义方向。</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三、对学校行政工作的重大问题提出意见和建议， 参与决策，支持校长充分行使职权。</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四、发挥党员以身作则作用； 做好全体教职员工的思想政治工作，配合校长抓好学校的德育工作。</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五、坚持党管干部的原则，加强对学校后备干部、中层干部的教育、培养、考察。</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六、根据党章规定，做好发展党员工作，做好党员的评议、鉴定工作。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七、领导学校工会、共青团、等群众组织。工会的工作职能</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一、充分发挥工会的教育职能，努力抓好教职工队伍建设</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二、充分发挥工会的监督职能， 积极完善校园民主政治制度建设</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三、充分发挥工会的维权职能， 切实维护教职工的合法利益</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四、充分发挥工会的协调职能，努力促进校园和谐</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2、办公室及其工作职能</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玛纳斯县第五小学办公室是学校行政的综合办事机构。 其主要职能是围绕学校中心工作，积极发挥参谋助手作用，负责综合协调、信息枢纽、督促检查等工作。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一、参谋职能：全面及时掌握全校情况和动态，做好全校日常行政管理工作，负责全校年度工作计划、总结。围绕学校重大事项和中心工作开展调查研究工作，分析、研究并提意见。</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二、承办职能：负责上级下发的公文及校内请示、报告的处理工作，负责各种人事档案，资料的整理、归档工作，负责图书、报刊、杂志征订及资料印刷支出的审核和分发工作。计划，承办学校行政会议的组织准备工作和会议记录整理、保密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三、管理职能：参与全校管理事务，负责教职工聘用、工资审核等工作，做好岗位考勤统计、审核工作，配合总务处做好有关的资金核算工作。负责对中层干部的选拔聘用、考核及考核资料的搜集、 汇总和登记工作。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四、协调职能：主要抓好纵向协调、横向协调和内部协调，严格执行学校的规章制度，明确各处室职权，协调各处室、教职员工等方面关系，正确有效处理有关矛盾。教务处的工作职能教务处是学校教学的直接管理部门， 负责计划、组织、实施、管理教学工作的全过程。教务处需要协助校长确定教学管理的重点，并具体负责监督执行教学计划方案， 具体负责教学检查的组织实施，落实教学计划，确保学校教学不受干扰地正常进行。对学校的教学活动达到最有效的控制， 使学校内部各种与教学有关的机制协调运行，达到教和教学目标。</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其主要职能是：</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（1）行政职能，教务处对校长负责，根据党和国家有关方针政策要求和教学大纲、教计划、教科书的要求，制定本学校的教务计划，并组织实行；</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（2）参谋职能，对教务方面的重大改革提出方案，进行论证；</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（3）研究职能，对教务工作的重要课题、突破性课题、探索性课题、疑难性课题进行研究和实验；</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（4）服务性职能，在教育教学方面为教师、学生服务，从教材、实验设备、图书资料、教材教法、理论研究、教育规律探讨等方面，支持第一线教师的工作；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5）视导职能，为教务工作的各个方面制定质量、数量标准，对工作进展情况和工作质量进行了解、分析与评估，根据评估情况进行调整指导，推动教务工作按规律高效率地运转。政教处的工作职能政教处是校长领导全校德育工作的得力助手。 其主要职责是全面负责学校对学生的常规管理、 思想教育、日常行为规范的养成及学校有关的大型活动的组织工作， 促进学生良好行为习惯的养成及思想道德水平的提高。</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一、学生日常行为规范管理</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1、检查仪表仪态</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2、随时掌握学生思想、操行动态</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3、处理</w:t>
      </w:r>
      <w:r>
        <w:rPr>
          <w:rFonts w:hint="eastAsia" w:ascii="仿宋" w:hAnsi="仿宋" w:eastAsia="仿宋" w:cs="仿宋"/>
          <w:color w:val="000000" w:themeColor="text1"/>
          <w:sz w:val="30"/>
          <w:szCs w:val="30"/>
          <w:lang w:val="en-US" w:eastAsia="zh-CN"/>
        </w:rPr>
        <w:t>学生</w:t>
      </w:r>
      <w:r>
        <w:rPr>
          <w:rFonts w:hint="eastAsia" w:ascii="仿宋" w:hAnsi="仿宋" w:eastAsia="仿宋" w:cs="仿宋"/>
          <w:color w:val="000000" w:themeColor="text1"/>
          <w:sz w:val="30"/>
          <w:szCs w:val="30"/>
        </w:rPr>
        <w:t>违纪现象</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4、开展德育课题</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5、加强学生政治思想教育</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二、学生安全健康工作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lang w:val="en-US" w:eastAsia="zh-CN"/>
        </w:rPr>
        <w:t>1</w:t>
      </w:r>
      <w:r>
        <w:rPr>
          <w:rFonts w:hint="eastAsia" w:ascii="仿宋" w:hAnsi="仿宋" w:eastAsia="仿宋" w:cs="仿宋"/>
          <w:color w:val="000000" w:themeColor="text1"/>
          <w:sz w:val="30"/>
          <w:szCs w:val="30"/>
        </w:rPr>
        <w:t>、建立健全学校、社会、家庭相结合的教育网络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lang w:val="en-US" w:eastAsia="zh-CN"/>
        </w:rPr>
        <w:t>2</w:t>
      </w:r>
      <w:r>
        <w:rPr>
          <w:rFonts w:hint="eastAsia" w:ascii="仿宋" w:hAnsi="仿宋" w:eastAsia="仿宋" w:cs="仿宋"/>
          <w:color w:val="000000" w:themeColor="text1"/>
          <w:sz w:val="30"/>
          <w:szCs w:val="30"/>
        </w:rPr>
        <w:t>、加强学生心理教育和法制教育</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lang w:val="en-US" w:eastAsia="zh-CN"/>
        </w:rPr>
        <w:t>3</w:t>
      </w:r>
      <w:r>
        <w:rPr>
          <w:rFonts w:hint="eastAsia" w:ascii="仿宋" w:hAnsi="仿宋" w:eastAsia="仿宋" w:cs="仿宋"/>
          <w:color w:val="000000" w:themeColor="text1"/>
          <w:sz w:val="30"/>
          <w:szCs w:val="30"/>
        </w:rPr>
        <w:t>、深化导师制管理制度</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三、班级管理工作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1、加强对班级、班主任的管理</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2、班级九项竞赛评比</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3、负责实施奖惩条例</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4、做好贫困生资助工作</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总务处及其工作职能：</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总务处是在校长领导下负责校园校舍、 物资财产、生活福利等总务行政管理的职能处室。</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其主要职能是：</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1、规化职能：做好全校总务工作，编制学校总务工作计划并组织实施，配合学校教学任务的完成。</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2、财务职能：遵守财经纪律，执行财务管理制度。做好学校学费、培训费的收取工作，做好财务核算、费用报销及审核工作，做好有关考勤、考核等奖金、工资发放工作。合理使用经费，按期报好报表。</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3、管理职能：负责学校基建、卫生保健、教学物品采购工作，协调本部门与校内外有关部门工作联系。 负责全校各种设备、器具、财产的管理、保养和维修，指导有关部门和人员合理使用。</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4、服务职能：负责学校后勤工作，负责全校教学区、教职工生活区卫生保洁的各类设施维修、监督、管理等工作。关心师生生活，办好食堂和教职工集体福利事业。</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编制人数44人，实有人61人。其中：财政补助人员61人。</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二、部门决算单位构成。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从决算单位构成看，</w:t>
      </w:r>
      <w:r>
        <w:rPr>
          <w:rFonts w:hint="eastAsia" w:ascii="仿宋" w:hAnsi="仿宋" w:eastAsia="仿宋" w:cs="仿宋"/>
          <w:color w:val="000000" w:themeColor="text1"/>
          <w:sz w:val="30"/>
          <w:szCs w:val="30"/>
        </w:rPr>
        <w:t>玛纳斯县第五小学</w:t>
      </w:r>
      <w:r>
        <w:rPr>
          <w:rFonts w:hint="eastAsia" w:ascii="仿宋" w:hAnsi="仿宋" w:eastAsia="仿宋" w:cs="仿宋"/>
          <w:sz w:val="30"/>
          <w:szCs w:val="30"/>
        </w:rPr>
        <w:t>部门决算包括</w:t>
      </w:r>
      <w:r>
        <w:rPr>
          <w:rFonts w:hint="eastAsia" w:ascii="仿宋" w:hAnsi="仿宋" w:eastAsia="仿宋" w:cs="仿宋"/>
          <w:color w:val="000000" w:themeColor="text1"/>
          <w:sz w:val="30"/>
          <w:szCs w:val="30"/>
        </w:rPr>
        <w:t>玛纳斯县第五小学</w:t>
      </w:r>
      <w:r>
        <w:rPr>
          <w:rFonts w:hint="eastAsia" w:ascii="仿宋" w:hAnsi="仿宋" w:eastAsia="仿宋" w:cs="仿宋"/>
          <w:sz w:val="30"/>
          <w:szCs w:val="30"/>
        </w:rPr>
        <w:t xml:space="preserve">部门本级决算、所属单位决算等。 </w:t>
      </w:r>
    </w:p>
    <w:p>
      <w:pPr>
        <w:spacing w:line="220" w:lineRule="atLeast"/>
        <w:ind w:firstLine="600" w:firstLineChars="200"/>
        <w:rPr>
          <w:rFonts w:ascii="仿宋" w:hAnsi="仿宋" w:eastAsia="仿宋" w:cs="仿宋"/>
          <w:sz w:val="30"/>
          <w:szCs w:val="30"/>
        </w:rPr>
      </w:pPr>
      <w:r>
        <w:rPr>
          <w:rFonts w:hint="eastAsia" w:ascii="仿宋" w:hAnsi="仿宋" w:eastAsia="仿宋" w:cs="仿宋"/>
          <w:sz w:val="30"/>
          <w:szCs w:val="30"/>
        </w:rPr>
        <w:t>纳入</w:t>
      </w:r>
      <w:r>
        <w:rPr>
          <w:rFonts w:hint="eastAsia" w:ascii="仿宋" w:hAnsi="仿宋" w:eastAsia="仿宋" w:cs="仿宋"/>
          <w:color w:val="000000" w:themeColor="text1"/>
          <w:sz w:val="30"/>
          <w:szCs w:val="30"/>
        </w:rPr>
        <w:t>玛纳斯县第五小学</w:t>
      </w:r>
      <w:r>
        <w:rPr>
          <w:rFonts w:hint="eastAsia" w:ascii="仿宋" w:hAnsi="仿宋" w:eastAsia="仿宋" w:cs="仿宋"/>
          <w:sz w:val="30"/>
          <w:szCs w:val="30"/>
        </w:rPr>
        <w:t xml:space="preserve">20017年部门决算编制范围的单位名单见下表：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5"/>
        <w:gridCol w:w="4160"/>
        <w:gridCol w:w="20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8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序号</w:t>
            </w:r>
          </w:p>
        </w:tc>
        <w:tc>
          <w:tcPr>
            <w:tcW w:w="416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单位名称</w:t>
            </w:r>
          </w:p>
        </w:tc>
        <w:tc>
          <w:tcPr>
            <w:tcW w:w="2077"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8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sz w:val="30"/>
                <w:szCs w:val="30"/>
              </w:rPr>
              <w:t>1</w:t>
            </w:r>
          </w:p>
        </w:tc>
        <w:tc>
          <w:tcPr>
            <w:tcW w:w="416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r>
              <w:rPr>
                <w:rFonts w:hint="eastAsia" w:ascii="仿宋" w:hAnsi="仿宋" w:eastAsia="仿宋" w:cs="仿宋"/>
                <w:color w:val="000000" w:themeColor="text1"/>
                <w:sz w:val="30"/>
                <w:szCs w:val="30"/>
              </w:rPr>
              <w:t>玛纳斯县第五小学</w:t>
            </w:r>
            <w:r>
              <w:rPr>
                <w:rFonts w:hint="eastAsia" w:ascii="仿宋" w:hAnsi="仿宋" w:eastAsia="仿宋" w:cs="仿宋"/>
                <w:sz w:val="30"/>
                <w:szCs w:val="30"/>
              </w:rPr>
              <w:t>单位本级</w:t>
            </w:r>
          </w:p>
        </w:tc>
        <w:tc>
          <w:tcPr>
            <w:tcW w:w="2077"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8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416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077"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85"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4160"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c>
          <w:tcPr>
            <w:tcW w:w="2077" w:type="dxa"/>
          </w:tcPr>
          <w:p>
            <w:pPr>
              <w:keepNext w:val="0"/>
              <w:keepLines w:val="0"/>
              <w:widowControl w:val="0"/>
              <w:suppressLineNumbers w:val="0"/>
              <w:spacing w:before="0" w:beforeAutospacing="0" w:afterAutospacing="0" w:line="220" w:lineRule="atLeast"/>
              <w:ind w:left="0" w:right="0"/>
              <w:jc w:val="center"/>
              <w:rPr>
                <w:rFonts w:hint="default" w:ascii="仿宋" w:hAnsi="仿宋" w:eastAsia="仿宋" w:cs="仿宋"/>
                <w:sz w:val="30"/>
                <w:szCs w:val="30"/>
              </w:rPr>
            </w:pPr>
          </w:p>
        </w:tc>
      </w:tr>
    </w:tbl>
    <w:p>
      <w:pPr>
        <w:spacing w:after="0" w:line="520" w:lineRule="exact"/>
        <w:jc w:val="both"/>
        <w:rPr>
          <w:rFonts w:ascii="仿宋" w:hAnsi="仿宋" w:eastAsia="仿宋" w:cs="仿宋"/>
          <w:b/>
          <w:bCs/>
          <w:color w:val="000000" w:themeColor="text1"/>
          <w:sz w:val="30"/>
          <w:szCs w:val="30"/>
        </w:rPr>
      </w:pPr>
    </w:p>
    <w:p>
      <w:pPr>
        <w:spacing w:after="0" w:line="520" w:lineRule="exact"/>
        <w:jc w:val="both"/>
        <w:rPr>
          <w:rFonts w:ascii="仿宋" w:hAnsi="仿宋" w:eastAsia="仿宋" w:cs="仿宋"/>
          <w:b/>
          <w:bCs/>
          <w:color w:val="000000" w:themeColor="text1"/>
          <w:sz w:val="30"/>
          <w:szCs w:val="30"/>
        </w:rPr>
      </w:pPr>
    </w:p>
    <w:p>
      <w:pPr>
        <w:spacing w:after="0" w:line="520" w:lineRule="exact"/>
        <w:jc w:val="both"/>
        <w:rPr>
          <w:rFonts w:ascii="仿宋" w:hAnsi="仿宋" w:eastAsia="仿宋" w:cs="仿宋"/>
          <w:b/>
          <w:bCs/>
          <w:color w:val="000000" w:themeColor="text1"/>
          <w:sz w:val="30"/>
          <w:szCs w:val="30"/>
        </w:rPr>
      </w:pPr>
    </w:p>
    <w:p>
      <w:pPr>
        <w:spacing w:after="0" w:line="520" w:lineRule="exact"/>
        <w:jc w:val="both"/>
        <w:rPr>
          <w:rFonts w:ascii="仿宋" w:hAnsi="仿宋" w:eastAsia="仿宋" w:cs="仿宋"/>
          <w:b/>
          <w:bCs/>
          <w:color w:val="000000" w:themeColor="text1"/>
          <w:sz w:val="30"/>
          <w:szCs w:val="30"/>
        </w:rPr>
      </w:pPr>
    </w:p>
    <w:p>
      <w:pPr>
        <w:spacing w:after="0" w:line="520" w:lineRule="exact"/>
        <w:jc w:val="center"/>
        <w:rPr>
          <w:rFonts w:cs="仿宋" w:asciiTheme="minorEastAsia" w:hAnsiTheme="minorEastAsia" w:eastAsiaTheme="minorEastAsia"/>
          <w:b/>
          <w:bCs/>
          <w:color w:val="000000" w:themeColor="text1"/>
          <w:sz w:val="28"/>
          <w:szCs w:val="28"/>
        </w:rPr>
      </w:pPr>
      <w:r>
        <w:rPr>
          <w:rFonts w:hint="eastAsia" w:cs="仿宋" w:asciiTheme="minorEastAsia" w:hAnsiTheme="minorEastAsia" w:eastAsiaTheme="minorEastAsia"/>
          <w:b/>
          <w:bCs/>
          <w:color w:val="000000" w:themeColor="text1"/>
          <w:sz w:val="28"/>
          <w:szCs w:val="28"/>
        </w:rPr>
        <w:t>第二部分 部门决算情况说明</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一、部门收支总体情况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（一）部门收入支出决算总体情况说明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2017年度决算收入795.85万元,与上年相比，增加129.57万元，增长19.44%，支出795.85万元,与上年相比，增加129.57万元，增长19.44%。结余0万元，增加0万元，增长0%，增减变化主要原因是：收入支出增加变化原因为人员增加导致拨款及人员开支相应增加。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决算收入795.85万元（含其他收入），预算收入697.83万元，与预算相比增加98.02万元，增长14.04%；决算支出795.85万元，与预算支出697.83万元相比增加了98.02万元，增长14.04；决算收入和支出大于预算原因为：人员经费增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（二）部门收入总体情况说明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本年收入合计795.85万元，其中：财政拨款收入775.84万元，占97.48%；上级补助收入0万元，占0%，事业收入0万元，占0%，经营收入0万元，占0%，附属单位缴款0万元，占0%。其他收入20.01万元，占2.52%。增减变化的主要原因是：由于人员增加导致相应财政拨款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themeColor="text1"/>
          <w:sz w:val="30"/>
          <w:szCs w:val="30"/>
        </w:rPr>
        <w:t>与预算相比情况</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2017年预算收入为697.83万元，2017年度决算收入795.85万元，决算比预算收入增加98.02万元, 增长14.04%；主要原因为：人员经费增加。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（三）部门支出总体情况说明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本年支出合计795.85万元，其中：基本支出747.39万元，占93.91%；项目支出48.46万元，占6.09% 。上缴上级支出0万元，占0%；经营支出0万元，占0%；附属单位支出0万元，占0%；增减变化的主要原因是：由于人员增加导致相应支出增加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themeColor="text1"/>
          <w:sz w:val="30"/>
          <w:szCs w:val="30"/>
        </w:rPr>
        <w:t>决算支出795.85万元，预算支出697.83万元，与预算支出相比较增加98.02万元，增长14.05%；决算收入和支出大于预算原因为：人员经费增加</w:t>
      </w:r>
      <w:r>
        <w:rPr>
          <w:rFonts w:hint="eastAsia" w:ascii="仿宋" w:hAnsi="仿宋" w:eastAsia="仿宋" w:cs="仿宋"/>
          <w:sz w:val="30"/>
          <w:szCs w:val="30"/>
        </w:rPr>
        <w:t>。</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二、部门财政拨款收支情况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（一）财政拨款收支总体情况说明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ascii="仿宋" w:hAnsi="仿宋" w:eastAsia="仿宋" w:cs="仿宋"/>
          <w:color w:val="FF0000"/>
          <w:sz w:val="30"/>
          <w:szCs w:val="30"/>
        </w:rPr>
      </w:pPr>
      <w:r>
        <w:rPr>
          <w:rFonts w:hint="eastAsia" w:ascii="仿宋" w:hAnsi="仿宋" w:eastAsia="仿宋" w:cs="仿宋"/>
          <w:color w:val="000000" w:themeColor="text1"/>
          <w:sz w:val="30"/>
          <w:szCs w:val="30"/>
        </w:rPr>
        <w:t>2017年度财政拨款收入775.84万元，与上年651.96万元相比，增加123.88万元，增长19%。增减变化的主要原因是：由于人员增加导致相应支出增加 。财政拨款支出795.85万元，与上年666.28相比，增加129.57万元，增长19.45%。</w:t>
      </w:r>
      <w:r>
        <w:rPr>
          <w:rFonts w:hint="eastAsia" w:ascii="仿宋" w:hAnsi="仿宋" w:eastAsia="仿宋" w:cs="仿宋"/>
          <w:sz w:val="30"/>
          <w:szCs w:val="30"/>
        </w:rPr>
        <w:t>其中：基本支出</w:t>
      </w:r>
      <w:r>
        <w:rPr>
          <w:rFonts w:hint="eastAsia" w:ascii="仿宋" w:hAnsi="仿宋" w:eastAsia="仿宋" w:cs="仿宋"/>
          <w:color w:val="000000" w:themeColor="text1"/>
          <w:sz w:val="30"/>
          <w:szCs w:val="30"/>
        </w:rPr>
        <w:t>747.39</w:t>
      </w:r>
      <w:r>
        <w:rPr>
          <w:rFonts w:hint="eastAsia" w:ascii="仿宋" w:hAnsi="仿宋" w:eastAsia="仿宋" w:cs="仿宋"/>
          <w:sz w:val="30"/>
          <w:szCs w:val="30"/>
        </w:rPr>
        <w:t>万元，项目支出</w:t>
      </w:r>
      <w:r>
        <w:rPr>
          <w:rFonts w:hint="eastAsia" w:ascii="仿宋" w:hAnsi="仿宋" w:eastAsia="仿宋" w:cs="仿宋"/>
          <w:color w:val="000000" w:themeColor="text1"/>
          <w:sz w:val="30"/>
          <w:szCs w:val="30"/>
        </w:rPr>
        <w:t>48.46</w:t>
      </w:r>
      <w:r>
        <w:rPr>
          <w:rFonts w:hint="eastAsia" w:ascii="仿宋" w:hAnsi="仿宋" w:eastAsia="仿宋" w:cs="仿宋"/>
          <w:sz w:val="30"/>
          <w:szCs w:val="30"/>
        </w:rPr>
        <w:t>万元。增减变化的主要原因是：人员经费增加。</w:t>
      </w:r>
      <w:r>
        <w:rPr>
          <w:rFonts w:hint="eastAsia" w:ascii="仿宋" w:hAnsi="仿宋" w:eastAsia="仿宋" w:cs="仿宋"/>
          <w:snapToGrid/>
          <w:kern w:val="0"/>
          <w:sz w:val="30"/>
          <w:szCs w:val="30"/>
          <w:lang w:val="en-US" w:eastAsia="zh-CN" w:bidi="ar"/>
        </w:rPr>
        <w:t xml:space="preserve">财政拨款结转结余0万元，与上年相比，增加0万元，增长0%。增减变化的主要原因是：与上年持平。 </w:t>
      </w:r>
      <w:r>
        <w:rPr>
          <w:rFonts w:hint="eastAsia" w:ascii="仿宋" w:hAnsi="仿宋" w:eastAsia="仿宋" w:cs="仿宋"/>
          <w:sz w:val="30"/>
          <w:szCs w:val="30"/>
        </w:rPr>
        <w:t xml:space="preserve">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2017年决算财政拨款收入775.84万元，2017年预算收入为697.83万元，相差78.01万元，</w:t>
      </w:r>
      <w:r>
        <w:rPr>
          <w:rFonts w:hint="eastAsia" w:ascii="仿宋" w:hAnsi="仿宋" w:eastAsia="仿宋" w:cs="仿宋"/>
          <w:sz w:val="30"/>
          <w:szCs w:val="30"/>
        </w:rPr>
        <w:t>增减变化的主要原因是：人员经费增加。</w:t>
      </w:r>
    </w:p>
    <w:p>
      <w:pPr>
        <w:spacing w:after="0" w:line="520" w:lineRule="exact"/>
        <w:ind w:firstLine="450" w:firstLineChars="15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（二）一般公共预算支出决算情况说明 </w:t>
      </w:r>
    </w:p>
    <w:p>
      <w:pPr>
        <w:spacing w:after="0" w:line="520" w:lineRule="exact"/>
        <w:ind w:firstLine="600" w:firstLineChars="200"/>
        <w:rPr>
          <w:rFonts w:hint="eastAsia" w:ascii="仿宋" w:hAnsi="仿宋" w:eastAsia="仿宋" w:cs="仿宋"/>
          <w:color w:val="000000" w:themeColor="text1"/>
          <w:sz w:val="30"/>
          <w:szCs w:val="30"/>
        </w:rPr>
      </w:pPr>
      <w:r>
        <w:rPr>
          <w:rFonts w:hint="eastAsia" w:ascii="仿宋" w:hAnsi="仿宋" w:eastAsia="仿宋" w:cs="仿宋"/>
          <w:color w:val="000000" w:themeColor="text1"/>
          <w:sz w:val="30"/>
          <w:szCs w:val="30"/>
        </w:rPr>
        <w:t>2017年度一般公共预算财政拨款支出795.85万元。与上年数666.28万元相比，增加129.57万元，增长19.45%。增减变化的主要原因是：各项费用均有增加，主要为人员经费的增加。</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其中：按功能分类科目，教育支出714.95万元，社会保障和就业支出80.9万元。按经济分类科目，工资福利支出661.87万元，商品和服务支出72.54万元，对个人和家庭的补助61.24万元，其他资本性支出0.2万元。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与预算相比情况。</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sz w:val="30"/>
          <w:szCs w:val="30"/>
        </w:rPr>
        <w:t xml:space="preserve"> 2</w:t>
      </w:r>
      <w:r>
        <w:rPr>
          <w:rFonts w:hint="eastAsia" w:ascii="仿宋" w:hAnsi="仿宋" w:eastAsia="仿宋" w:cs="仿宋"/>
          <w:color w:val="000000" w:themeColor="text1"/>
          <w:sz w:val="30"/>
          <w:szCs w:val="30"/>
        </w:rPr>
        <w:t>017年度一般公共预算财政拨款支出795.85万元，与年初预算697.83万元相比增加了98.02万元，增长14.05%，主要原因为社会保障和就业支出及工资福利支出增加。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（三）政府性基金预算收支决算情况说明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2017年度政府性基金预算财政拨款收入0万元，与上年相比，增加0万元，增长0%。增减变化的主要原因是：年初无预算安排。政府性基金预算财政拨款支出0元，与上年相比，增加0元，增长0%。增减变化的主要原因是：严格执行预算。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（四）政府性基金预算支出决算情况说明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2017年度政府性基金预算支出0元。与上年相比，增加0万元，增长0%。增减变化的主要原因是：年初无预算安排。</w:t>
      </w:r>
      <w:r>
        <w:rPr>
          <w:rFonts w:hint="eastAsia" w:ascii="仿宋" w:hAnsi="仿宋" w:eastAsia="仿宋" w:cs="仿宋"/>
          <w:color w:val="000000" w:themeColor="text1"/>
          <w:sz w:val="30"/>
          <w:szCs w:val="30"/>
        </w:rPr>
        <w:t>按功能分类科目，教育支出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万元，社会保障和就业支出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万元。按经济分类科目，工资福利支出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万元，商品和服务支出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万元，对个人和家庭的补助</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万元，其他资本性支出</w:t>
      </w:r>
      <w:r>
        <w:rPr>
          <w:rFonts w:hint="eastAsia" w:ascii="仿宋" w:hAnsi="仿宋" w:eastAsia="仿宋" w:cs="仿宋"/>
          <w:color w:val="000000" w:themeColor="text1"/>
          <w:sz w:val="30"/>
          <w:szCs w:val="30"/>
          <w:lang w:val="en-US" w:eastAsia="zh-CN"/>
        </w:rPr>
        <w:t>0</w:t>
      </w:r>
      <w:r>
        <w:rPr>
          <w:rFonts w:hint="eastAsia" w:ascii="仿宋" w:hAnsi="仿宋" w:eastAsia="仿宋" w:cs="仿宋"/>
          <w:color w:val="000000" w:themeColor="text1"/>
          <w:sz w:val="30"/>
          <w:szCs w:val="30"/>
        </w:rPr>
        <w:t xml:space="preserve">万元。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与预算相比情况。</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政府性基金预算财政拨款收入0万元，与预算相比，增加0万元，增长0%。增减变化的主要原因是：年初无预算安排。政府性基金预算财政拨款支出0万元，与预算相比，增加0万元，增长0%。增减变化的主要原因是：年初无预算安排。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其他有关说明内容。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三、部门结转结余情况 </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年末</w:t>
      </w:r>
      <w:r>
        <w:rPr>
          <w:rFonts w:hint="eastAsia" w:ascii="仿宋" w:hAnsi="仿宋" w:eastAsia="仿宋" w:cs="仿宋"/>
          <w:sz w:val="30"/>
          <w:szCs w:val="30"/>
          <w:lang w:eastAsia="zh-CN"/>
        </w:rPr>
        <w:t>结转</w:t>
      </w:r>
      <w:r>
        <w:rPr>
          <w:rFonts w:hint="eastAsia" w:ascii="仿宋" w:hAnsi="仿宋" w:eastAsia="仿宋" w:cs="仿宋"/>
          <w:sz w:val="30"/>
          <w:szCs w:val="30"/>
        </w:rPr>
        <w:t>结余0万元，较上年增加0万元；增长0%；</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lang w:val="en-US" w:eastAsia="zh-CN" w:bidi="ar"/>
        </w:rPr>
        <w:t>其中财政拨款结转结余0万元。与上年相比，增加0万元，增长0%。</w:t>
      </w:r>
    </w:p>
    <w:p>
      <w:pPr>
        <w:spacing w:after="0" w:line="52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四、一般公共预算“三公”经费支出情况 </w:t>
      </w:r>
    </w:p>
    <w:p>
      <w:pPr>
        <w:spacing w:after="0" w:line="520" w:lineRule="exact"/>
        <w:ind w:firstLine="600" w:firstLineChars="200"/>
        <w:rPr>
          <w:rFonts w:hint="eastAsia" w:ascii="仿宋" w:hAnsi="仿宋" w:eastAsia="仿宋" w:cs="仿宋"/>
          <w:sz w:val="30"/>
          <w:szCs w:val="30"/>
          <w:lang w:eastAsia="zh-CN"/>
        </w:rPr>
      </w:pPr>
      <w:r>
        <w:rPr>
          <w:rFonts w:hint="eastAsia" w:ascii="仿宋" w:hAnsi="仿宋" w:eastAsia="仿宋" w:cs="仿宋"/>
          <w:sz w:val="30"/>
          <w:szCs w:val="30"/>
        </w:rPr>
        <w:t>2017年度一般公共预算“三公”经费支出决算0万元，比上年减少0万元，降低0%，主要原因是年初无预算安排。其中：因公出国（境）费支出0，占0%，比上年减少0万元，降低0%，主要原因是年初无预算安排； 公务用车购置及运行维护费支出0万元，占0%，比上年减少0万元，降低0%，主要原因是年初无预算安排；公务接待费支出0万元，占%，比上年减少0万元，降低0%，主要原因是年初无预算安排。</w:t>
      </w:r>
      <w:r>
        <w:rPr>
          <w:rFonts w:hint="eastAsia" w:ascii="仿宋" w:hAnsi="仿宋" w:eastAsia="仿宋" w:cs="仿宋"/>
          <w:sz w:val="30"/>
          <w:szCs w:val="30"/>
          <w:lang w:eastAsia="zh-CN"/>
        </w:rPr>
        <w:t>具体情况如下：</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因公出国（境）费支出0。玛纳斯县四小单位全年使用一般公共预算财政拨款安排的出国（境）团组0个，累计0人次，主要原因是年初无预算安排。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公务用车购置及运行维护费0万元,其中，公务用车购置0，公务用车运行维护费0。 2017年，单位一般公共财政拨款安排的公务用车购置量0辆 ，保有量为0 辆。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公务接待费0万元，具体是：国内公务接待支出0万元，主要原因是年初无预算安排。玛纳斯县第二小学单位国内公务接待0批次，0人次。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与预算相比情况：2017年度一般公共预算“三公”经费支出决算0万元，比预算减少0万元，降低0%，主要原因是年初无预算安排。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其他有关说明内容。无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五、机关运行经费支出情况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 xml:space="preserve">2017年度单位机关运行经费支出0万元，比上年增加0万元，增长0%，主要原因是本单位为事业单位，有事业运行经费，无机关运行经费。 </w:t>
      </w:r>
    </w:p>
    <w:p>
      <w:pPr>
        <w:keepNext w:val="0"/>
        <w:keepLines w:val="0"/>
        <w:widowControl/>
        <w:suppressLineNumbers w:val="0"/>
        <w:adjustRightInd w:val="0"/>
        <w:snapToGrid w:val="0"/>
        <w:spacing w:before="0" w:beforeAutospacing="0" w:after="0" w:afterAutospacing="0" w:line="52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snapToGrid/>
          <w:kern w:val="0"/>
          <w:sz w:val="30"/>
          <w:szCs w:val="30"/>
          <w:lang w:val="en-US" w:eastAsia="zh-CN" w:bidi="ar"/>
        </w:rPr>
        <w:t>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themeColor="text1"/>
          <w:sz w:val="30"/>
          <w:szCs w:val="30"/>
        </w:rPr>
        <w:t>本单位为事业单位，</w:t>
      </w:r>
      <w:r>
        <w:rPr>
          <w:rFonts w:hint="eastAsia" w:ascii="仿宋" w:hAnsi="仿宋" w:eastAsia="仿宋" w:cs="仿宋"/>
          <w:color w:val="000000" w:themeColor="text1"/>
          <w:sz w:val="30"/>
          <w:szCs w:val="30"/>
          <w:lang w:eastAsia="zh-CN"/>
        </w:rPr>
        <w:t>日常公用</w:t>
      </w:r>
      <w:r>
        <w:rPr>
          <w:rFonts w:hint="eastAsia" w:ascii="仿宋" w:hAnsi="仿宋" w:eastAsia="仿宋" w:cs="仿宋"/>
          <w:color w:val="000000" w:themeColor="text1"/>
          <w:sz w:val="30"/>
          <w:szCs w:val="30"/>
        </w:rPr>
        <w:t>经费为</w:t>
      </w:r>
      <w:r>
        <w:rPr>
          <w:rFonts w:hint="eastAsia" w:ascii="仿宋" w:hAnsi="仿宋" w:eastAsia="仿宋" w:cs="仿宋"/>
          <w:color w:val="000000" w:themeColor="text1"/>
          <w:sz w:val="30"/>
          <w:szCs w:val="30"/>
          <w:lang w:val="en-US" w:eastAsia="zh-CN"/>
        </w:rPr>
        <w:t>4.26</w:t>
      </w:r>
      <w:r>
        <w:rPr>
          <w:rFonts w:hint="eastAsia" w:ascii="仿宋" w:hAnsi="仿宋" w:eastAsia="仿宋" w:cs="仿宋"/>
          <w:color w:val="000000" w:themeColor="text1"/>
          <w:sz w:val="30"/>
          <w:szCs w:val="30"/>
        </w:rPr>
        <w:t>万元。与上年相比增加了</w:t>
      </w:r>
      <w:r>
        <w:rPr>
          <w:rFonts w:hint="eastAsia" w:ascii="仿宋" w:hAnsi="仿宋" w:eastAsia="仿宋" w:cs="仿宋"/>
          <w:color w:val="000000" w:themeColor="text1"/>
          <w:sz w:val="30"/>
          <w:szCs w:val="30"/>
          <w:lang w:val="en-US" w:eastAsia="zh-CN"/>
        </w:rPr>
        <w:t>1.65</w:t>
      </w:r>
      <w:r>
        <w:rPr>
          <w:rFonts w:hint="eastAsia" w:ascii="仿宋" w:hAnsi="仿宋" w:eastAsia="仿宋" w:cs="仿宋"/>
          <w:color w:val="000000" w:themeColor="text1"/>
          <w:sz w:val="30"/>
          <w:szCs w:val="30"/>
        </w:rPr>
        <w:t>万元，增长了</w:t>
      </w:r>
      <w:r>
        <w:rPr>
          <w:rFonts w:hint="eastAsia" w:ascii="仿宋" w:hAnsi="仿宋" w:eastAsia="仿宋" w:cs="仿宋"/>
          <w:color w:val="000000" w:themeColor="text1"/>
          <w:sz w:val="30"/>
          <w:szCs w:val="30"/>
          <w:lang w:val="en-US" w:eastAsia="zh-CN"/>
        </w:rPr>
        <w:t>63.22</w:t>
      </w:r>
      <w:r>
        <w:rPr>
          <w:rFonts w:hint="eastAsia" w:ascii="仿宋" w:hAnsi="仿宋" w:eastAsia="仿宋" w:cs="仿宋"/>
          <w:color w:val="000000" w:themeColor="text1"/>
          <w:sz w:val="30"/>
          <w:szCs w:val="30"/>
        </w:rPr>
        <w:t>%，主要原因</w:t>
      </w:r>
      <w:r>
        <w:rPr>
          <w:rFonts w:hint="eastAsia" w:ascii="仿宋" w:hAnsi="仿宋" w:eastAsia="仿宋" w:cs="仿宋"/>
          <w:color w:val="000000" w:themeColor="text1"/>
          <w:sz w:val="30"/>
          <w:szCs w:val="30"/>
          <w:lang w:eastAsia="zh-CN"/>
        </w:rPr>
        <w:t>人员</w:t>
      </w:r>
      <w:r>
        <w:rPr>
          <w:rFonts w:hint="eastAsia" w:ascii="仿宋" w:hAnsi="仿宋" w:eastAsia="仿宋" w:cs="仿宋"/>
          <w:color w:val="000000" w:themeColor="text1"/>
          <w:sz w:val="30"/>
          <w:szCs w:val="30"/>
        </w:rPr>
        <w:t>增加。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六、政府采购情况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单位政府采购计划0万元，其中：政府采购货物支出0万元、政府采购工程支出0万元、政府采购服务支出0万元；实际采购0万元，其中：政府采购货物支出0万元、政府采购工程支出0万元、政府采购服务支出0万元其他有关说明内容。</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七、其他重要事项的情况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（一）国有资产占用情况说明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color w:val="000000" w:themeColor="text1"/>
          <w:sz w:val="30"/>
          <w:szCs w:val="30"/>
        </w:rPr>
        <w:t>截至2017年12月31日，资产总计</w:t>
      </w:r>
      <w:r>
        <w:rPr>
          <w:rFonts w:hint="eastAsia" w:ascii="仿宋" w:hAnsi="仿宋" w:eastAsia="仿宋" w:cs="仿宋"/>
          <w:color w:val="000000" w:themeColor="text1"/>
          <w:sz w:val="30"/>
          <w:szCs w:val="30"/>
          <w:lang w:val="en-US" w:eastAsia="zh-CN"/>
        </w:rPr>
        <w:t>231</w:t>
      </w:r>
      <w:r>
        <w:rPr>
          <w:rFonts w:hint="eastAsia" w:ascii="仿宋" w:hAnsi="仿宋" w:eastAsia="仿宋" w:cs="仿宋"/>
          <w:color w:val="000000" w:themeColor="text1"/>
          <w:sz w:val="30"/>
          <w:szCs w:val="30"/>
        </w:rPr>
        <w:t>.88万元，其中：流动资产16.37万元，固定资产215.51万元，其中：房屋0（平方米），价值0万元，共有车辆0辆，价值0万元，其中：部级领导干部用车0辆、一般公务用车0辆、一般执法执勤用车0辆、特种专业技术用车0辆、其他用车0辆（</w:t>
      </w:r>
      <w:r>
        <w:rPr>
          <w:rFonts w:hint="eastAsia" w:ascii="仿宋" w:hAnsi="仿宋" w:eastAsia="仿宋" w:cs="仿宋"/>
          <w:sz w:val="30"/>
          <w:szCs w:val="30"/>
        </w:rPr>
        <w:t>单位价值50万元以上通用设备0台（套）、单位价值100万元以上专用设备0台（套），其他</w:t>
      </w:r>
      <w:r>
        <w:rPr>
          <w:rFonts w:hint="eastAsia" w:ascii="仿宋" w:hAnsi="仿宋" w:eastAsia="仿宋" w:cs="仿宋"/>
          <w:color w:val="000000" w:themeColor="text1"/>
          <w:sz w:val="30"/>
          <w:szCs w:val="30"/>
        </w:rPr>
        <w:t xml:space="preserve">固定资产价值215.51万元。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其他有关说明内容。无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（二）国有资产收益征缴情况说明 </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截至2017年12月31日，单位资产有偿使用收入合计0万元，资产处置收入合计0万元。其中：已缴国库0万元， 已缴财政专户0万元，应缴未缴0万元，单位留用0万元。</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其他有关说明内容。</w:t>
      </w:r>
    </w:p>
    <w:p>
      <w:pPr>
        <w:spacing w:after="0" w:line="520" w:lineRule="exact"/>
        <w:ind w:firstLine="600" w:firstLineChars="200"/>
        <w:rPr>
          <w:rFonts w:ascii="仿宋" w:hAnsi="仿宋" w:eastAsia="仿宋" w:cs="仿宋"/>
          <w:color w:val="000000" w:themeColor="text1"/>
          <w:sz w:val="30"/>
          <w:szCs w:val="30"/>
        </w:rPr>
      </w:pPr>
      <w:r>
        <w:rPr>
          <w:rFonts w:hint="eastAsia" w:ascii="仿宋" w:hAnsi="仿宋" w:eastAsia="仿宋" w:cs="仿宋"/>
          <w:color w:val="000000" w:themeColor="text1"/>
          <w:sz w:val="30"/>
          <w:szCs w:val="30"/>
        </w:rPr>
        <w:t xml:space="preserve"> 无</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（三）部门项目支出情况和项目绩效评价情况说明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2017年度，本部门单位实行绩效管理的项目0个，涉及预算0万元，项目支出决算</w:t>
      </w:r>
      <w:r>
        <w:rPr>
          <w:rFonts w:hint="eastAsia" w:ascii="仿宋" w:hAnsi="仿宋" w:eastAsia="仿宋" w:cs="仿宋"/>
          <w:color w:val="000000" w:themeColor="text1"/>
          <w:sz w:val="30"/>
          <w:szCs w:val="30"/>
        </w:rPr>
        <w:t>48.46</w:t>
      </w:r>
      <w:r>
        <w:rPr>
          <w:rFonts w:hint="eastAsia" w:ascii="仿宋" w:hAnsi="仿宋" w:eastAsia="仿宋" w:cs="仿宋"/>
          <w:sz w:val="30"/>
          <w:szCs w:val="30"/>
        </w:rPr>
        <w:t>万元。年末本部门单位民生项目和重点支出项目的绩效评价开展情况及结果：</w:t>
      </w:r>
      <w:r>
        <w:rPr>
          <w:rFonts w:hint="eastAsia" w:ascii="仿宋" w:hAnsi="仿宋" w:eastAsia="仿宋" w:cs="仿宋"/>
          <w:sz w:val="30"/>
          <w:szCs w:val="30"/>
          <w:lang w:eastAsia="zh-CN"/>
        </w:rPr>
        <w:t>无项目</w:t>
      </w: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600" w:firstLineChars="200"/>
        <w:rPr>
          <w:rFonts w:ascii="仿宋" w:hAnsi="仿宋" w:eastAsia="仿宋" w:cs="仿宋"/>
          <w:sz w:val="30"/>
          <w:szCs w:val="30"/>
        </w:rPr>
      </w:pPr>
    </w:p>
    <w:p>
      <w:pPr>
        <w:spacing w:after="0" w:line="520" w:lineRule="exact"/>
        <w:ind w:firstLine="560" w:firstLineChars="200"/>
        <w:rPr>
          <w:rFonts w:cs="仿宋" w:asciiTheme="minorEastAsia" w:hAnsiTheme="minorEastAsia" w:eastAsiaTheme="minorEastAsia"/>
          <w:sz w:val="28"/>
          <w:szCs w:val="28"/>
        </w:rPr>
      </w:pPr>
    </w:p>
    <w:p>
      <w:pPr>
        <w:spacing w:after="0" w:line="520" w:lineRule="exact"/>
        <w:ind w:firstLine="560" w:firstLineChars="200"/>
        <w:rPr>
          <w:rFonts w:cs="仿宋" w:asciiTheme="minorEastAsia" w:hAnsiTheme="minorEastAsia" w:eastAsiaTheme="minorEastAsia"/>
          <w:sz w:val="28"/>
          <w:szCs w:val="28"/>
        </w:rPr>
      </w:pPr>
    </w:p>
    <w:p>
      <w:pPr>
        <w:spacing w:after="0" w:line="520" w:lineRule="exact"/>
        <w:ind w:firstLine="560" w:firstLineChars="200"/>
        <w:rPr>
          <w:rFonts w:cs="仿宋" w:asciiTheme="minorEastAsia" w:hAnsiTheme="minorEastAsia" w:eastAsiaTheme="minorEastAsia"/>
          <w:sz w:val="28"/>
          <w:szCs w:val="28"/>
        </w:rPr>
      </w:pPr>
    </w:p>
    <w:p>
      <w:pPr>
        <w:spacing w:after="0" w:line="520" w:lineRule="exact"/>
        <w:ind w:firstLine="560" w:firstLineChars="200"/>
        <w:rPr>
          <w:rFonts w:cs="仿宋" w:asciiTheme="minorEastAsia" w:hAnsiTheme="minorEastAsia" w:eastAsiaTheme="minorEastAsia"/>
          <w:sz w:val="28"/>
          <w:szCs w:val="28"/>
        </w:rPr>
      </w:pPr>
    </w:p>
    <w:p>
      <w:pPr>
        <w:spacing w:after="0" w:line="520" w:lineRule="exact"/>
        <w:ind w:firstLine="560" w:firstLineChars="200"/>
        <w:rPr>
          <w:rFonts w:cs="仿宋" w:asciiTheme="minorEastAsia" w:hAnsiTheme="minorEastAsia" w:eastAsiaTheme="minorEastAsia"/>
          <w:sz w:val="28"/>
          <w:szCs w:val="28"/>
        </w:rPr>
      </w:pPr>
    </w:p>
    <w:p>
      <w:pPr>
        <w:spacing w:after="0" w:line="520" w:lineRule="exact"/>
        <w:ind w:firstLine="560" w:firstLineChars="200"/>
        <w:rPr>
          <w:rFonts w:cs="仿宋" w:asciiTheme="minorEastAsia" w:hAnsiTheme="minorEastAsia" w:eastAsiaTheme="minorEastAsia"/>
          <w:sz w:val="28"/>
          <w:szCs w:val="28"/>
        </w:rPr>
      </w:pPr>
    </w:p>
    <w:p>
      <w:pPr>
        <w:spacing w:after="0" w:line="520" w:lineRule="exact"/>
        <w:rPr>
          <w:rFonts w:cs="仿宋" w:asciiTheme="minorEastAsia" w:hAnsiTheme="minorEastAsia" w:eastAsiaTheme="minorEastAsia"/>
          <w:sz w:val="28"/>
          <w:szCs w:val="28"/>
        </w:rPr>
      </w:pPr>
    </w:p>
    <w:p>
      <w:pPr>
        <w:spacing w:after="0" w:line="520" w:lineRule="exact"/>
        <w:rPr>
          <w:rFonts w:cs="仿宋" w:asciiTheme="minorEastAsia" w:hAnsiTheme="minorEastAsia" w:eastAsiaTheme="minorEastAsia"/>
          <w:sz w:val="28"/>
          <w:szCs w:val="28"/>
        </w:rPr>
      </w:pPr>
    </w:p>
    <w:p>
      <w:pPr>
        <w:spacing w:after="0" w:line="520" w:lineRule="exact"/>
        <w:rPr>
          <w:rFonts w:cs="仿宋" w:asciiTheme="minorEastAsia" w:hAnsiTheme="minorEastAsia" w:eastAsiaTheme="minorEastAsia"/>
          <w:sz w:val="28"/>
          <w:szCs w:val="28"/>
        </w:rPr>
      </w:pPr>
    </w:p>
    <w:p>
      <w:pPr>
        <w:spacing w:after="0" w:line="520" w:lineRule="exact"/>
        <w:rPr>
          <w:rFonts w:cs="仿宋" w:asciiTheme="minorEastAsia" w:hAnsiTheme="minorEastAsia" w:eastAsiaTheme="minorEastAsia"/>
          <w:sz w:val="28"/>
          <w:szCs w:val="28"/>
        </w:rPr>
      </w:pPr>
      <w:bookmarkStart w:id="0" w:name="_GoBack"/>
      <w:bookmarkEnd w:id="0"/>
    </w:p>
    <w:p>
      <w:pPr>
        <w:spacing w:after="0" w:line="520" w:lineRule="exact"/>
        <w:ind w:firstLine="560" w:firstLineChars="200"/>
        <w:rPr>
          <w:rFonts w:cs="仿宋" w:asciiTheme="minorEastAsia" w:hAnsiTheme="minorEastAsia" w:eastAsiaTheme="minorEastAsia"/>
          <w:sz w:val="28"/>
          <w:szCs w:val="28"/>
        </w:rPr>
      </w:pPr>
      <w:r>
        <w:rPr>
          <w:rFonts w:hint="eastAsia" w:cs="仿宋" w:asciiTheme="minorEastAsia" w:hAnsiTheme="minorEastAsia" w:eastAsiaTheme="minorEastAsia"/>
          <w:sz w:val="28"/>
          <w:szCs w:val="28"/>
        </w:rPr>
        <w:t xml:space="preserve"> </w:t>
      </w: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第三部分 专业名词解释</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财政拨款收入：指同级财政当年拨付的资金。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上级补助收入：指事业单位从主管部门和上级单位取得的非财政补助收入。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事业收入：指事业单位开展专业业务活动及其辅助活动所取得的收入。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经营收入：指事业单位在专业业务活动及其辅助活动之外开展非独立核算经营活动取得的收入。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附属单位缴款：指事业单位附属的独立核算单位按有关规定上缴的收入。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其他收入：指除上述“财政拨款收入”、“事业收入”、“经营收入”、“附属单位缴款”等之外取得的收入。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用事业基金弥补收支差额：指事业单位在当年的“财政拨款 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上年结转和结余：指以前年度支出预算因客观条件变化未执行完毕、结转到本年度按有关规定继续使用的资金，既包括财政拨款结转和结余，也包括事业收入、经营收入、其他收入的结转和结余。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结余分配：反映单位当年结余的分配情况。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年末结转和结余：指本年度或以前年度预算安排、因客观条件发生变化无法按原计划实施，需要延迟到以后年度按有关规定继续使用的资金，既包括财政拨款结转和结余，也包括事业收入、经营收入、其他收入的结转和结余。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基本支出：指为保障机构正常运转、完成日常工作任务而发生的人员支出和公用支出。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项目支出：指在基本支出之外为完成特定行政任务和事业发展目标所发生的支出。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经营支出：指事业单位在专业业务活动及其辅助活动之外开展非独立核算经营活动发生的支出。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对附属单位补助支出：指事业单位发生的用非财政预算资金对附属单位的补助支出。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“三公”经费：指用一般公共预算财政拨款安排的因公出国（境）费、公务用车购置及运行费和公务接待费。其中，因公出国（境）费反映单位公务出国（境）的住宿费、旅费、伙食补助 费、杂费、培训费等支出；公务用车购置及运行费反映单位公务用车购置费及租用费、燃料费、维修费、过路过桥费、保险费、安全奖励费用等支出；公务接待费反映单位按规定开支的各类公务接待（含外宾接待）支出。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本单位支出功能分类说明。205（类）20502（款）2050202（项）：指小学教育。208（类）20805（款）2080505（项）：指机关事业单位基本养老保险支出。 </w:t>
      </w:r>
    </w:p>
    <w:p>
      <w:pPr>
        <w:spacing w:line="220" w:lineRule="atLeast"/>
        <w:ind w:firstLine="600" w:firstLineChars="200"/>
        <w:rPr>
          <w:rFonts w:ascii="仿宋" w:hAnsi="仿宋" w:eastAsia="仿宋" w:cs="仿宋"/>
          <w:sz w:val="30"/>
          <w:szCs w:val="30"/>
        </w:rPr>
      </w:pPr>
    </w:p>
    <w:p>
      <w:pPr>
        <w:spacing w:line="220" w:lineRule="atLeast"/>
        <w:ind w:firstLine="600" w:firstLineChars="200"/>
        <w:rPr>
          <w:rFonts w:ascii="仿宋" w:hAnsi="仿宋" w:eastAsia="仿宋" w:cs="仿宋"/>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p>
    <w:p>
      <w:pPr>
        <w:spacing w:line="220" w:lineRule="atLeast"/>
        <w:rPr>
          <w:rFonts w:ascii="仿宋" w:hAnsi="仿宋" w:eastAsia="仿宋" w:cs="仿宋"/>
          <w:b/>
          <w:bCs/>
          <w:sz w:val="30"/>
          <w:szCs w:val="30"/>
        </w:rPr>
      </w:pPr>
    </w:p>
    <w:p>
      <w:pPr>
        <w:spacing w:line="220" w:lineRule="atLeast"/>
        <w:ind w:firstLine="602" w:firstLineChars="200"/>
        <w:jc w:val="center"/>
        <w:rPr>
          <w:rFonts w:ascii="仿宋" w:hAnsi="仿宋" w:eastAsia="仿宋" w:cs="仿宋"/>
          <w:b/>
          <w:bCs/>
          <w:sz w:val="30"/>
          <w:szCs w:val="30"/>
        </w:rPr>
      </w:pPr>
      <w:r>
        <w:rPr>
          <w:rFonts w:hint="eastAsia" w:ascii="仿宋" w:hAnsi="仿宋" w:eastAsia="仿宋" w:cs="仿宋"/>
          <w:b/>
          <w:bCs/>
          <w:sz w:val="30"/>
          <w:szCs w:val="30"/>
        </w:rPr>
        <w:t>第四部分 部门决算报表（见附表）</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一、报表封面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三、《收入决算表》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四、《支出决算表》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五、《收入支出决算表》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六、《项目收入支出决算表》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七、《行政事业类项目收入支出决算表》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八、《基本建设类项目收入支出决算表》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九、《支出决算明细表》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十一、《项目支出决算明细表》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十二、《财政专户管理资金收入支出决算表》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十三、《财政拨款收入支出决算总表》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十四、《一般公共预算财政拨款收入支出决算表》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十五、《一般公共预算财政拨款支出决算明细表》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十六、《一般公共预算财政拨款基本支出决算明细表》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十七、《一般公共预算财政拨款项目支出决算明细表》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十八、《政府性基金预算财政拨款收入支出决算表》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十九、《政府性基金预算财政拨款支出决算明细表》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二十、《政府性基金预算财政拨款基本支出决算明细表》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二十一、《政府性基金预算财政拨款项目支出决算明细表》。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二十二、《资产负债简表》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二十三、《资产情况表》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二十四、《国有资产收益征缴情况表》、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二十五、《基本数字表》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二十六、《机构人员情况表》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二十七、《非税收入征缴情况表》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二十八、《部门决算相关信息统计表》 </w:t>
      </w:r>
    </w:p>
    <w:p>
      <w:pPr>
        <w:spacing w:after="0" w:line="520" w:lineRule="exact"/>
        <w:ind w:firstLine="600" w:firstLineChars="200"/>
        <w:rPr>
          <w:rFonts w:ascii="仿宋" w:hAnsi="仿宋" w:eastAsia="仿宋" w:cs="仿宋"/>
          <w:sz w:val="30"/>
          <w:szCs w:val="30"/>
        </w:rPr>
      </w:pPr>
      <w:r>
        <w:rPr>
          <w:rFonts w:hint="eastAsia" w:ascii="仿宋" w:hAnsi="仿宋" w:eastAsia="仿宋" w:cs="仿宋"/>
          <w:sz w:val="30"/>
          <w:szCs w:val="30"/>
        </w:rPr>
        <w:t xml:space="preserve">二十九、《政府采购情况表》 </w:t>
      </w:r>
    </w:p>
    <w:p>
      <w:pPr>
        <w:spacing w:after="0" w:line="520" w:lineRule="exact"/>
        <w:ind w:firstLine="600" w:firstLineChars="200"/>
        <w:rPr>
          <w:rFonts w:cs="仿宋" w:asciiTheme="minorEastAsia" w:hAnsiTheme="minorEastAsia" w:eastAsiaTheme="minorEastAsia"/>
          <w:sz w:val="28"/>
          <w:szCs w:val="28"/>
        </w:rPr>
      </w:pPr>
      <w:r>
        <w:rPr>
          <w:rFonts w:hint="eastAsia" w:ascii="仿宋" w:hAnsi="仿宋" w:eastAsia="仿宋" w:cs="仿宋"/>
          <w:sz w:val="30"/>
          <w:szCs w:val="30"/>
        </w:rPr>
        <w:t xml:space="preserve">三十、《2017年度一般公共预算“三公”经费支出情况表》 </w:t>
      </w:r>
    </w:p>
    <w:sectPr>
      <w:pgSz w:w="11906" w:h="16838"/>
      <w:pgMar w:top="1440" w:right="991" w:bottom="1135" w:left="1276"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5F7240"/>
    <w:rsid w:val="000828D5"/>
    <w:rsid w:val="000908BF"/>
    <w:rsid w:val="000A052B"/>
    <w:rsid w:val="000C6CCB"/>
    <w:rsid w:val="000D0E5B"/>
    <w:rsid w:val="000E02FA"/>
    <w:rsid w:val="000E6EB9"/>
    <w:rsid w:val="0010769C"/>
    <w:rsid w:val="0011222F"/>
    <w:rsid w:val="001209D8"/>
    <w:rsid w:val="00120F83"/>
    <w:rsid w:val="00124956"/>
    <w:rsid w:val="00143C15"/>
    <w:rsid w:val="001830EC"/>
    <w:rsid w:val="001A100E"/>
    <w:rsid w:val="00201816"/>
    <w:rsid w:val="0023560C"/>
    <w:rsid w:val="002548AE"/>
    <w:rsid w:val="00262593"/>
    <w:rsid w:val="002C030E"/>
    <w:rsid w:val="002C3439"/>
    <w:rsid w:val="003B6905"/>
    <w:rsid w:val="0040469C"/>
    <w:rsid w:val="00407608"/>
    <w:rsid w:val="0041757F"/>
    <w:rsid w:val="004229A0"/>
    <w:rsid w:val="0044054A"/>
    <w:rsid w:val="00442A8F"/>
    <w:rsid w:val="00465E1E"/>
    <w:rsid w:val="00472A92"/>
    <w:rsid w:val="0049690A"/>
    <w:rsid w:val="004E6A4D"/>
    <w:rsid w:val="004F0E8A"/>
    <w:rsid w:val="00501668"/>
    <w:rsid w:val="00585825"/>
    <w:rsid w:val="005A6966"/>
    <w:rsid w:val="005E158B"/>
    <w:rsid w:val="005F0E36"/>
    <w:rsid w:val="005F21F0"/>
    <w:rsid w:val="005F7240"/>
    <w:rsid w:val="006058FD"/>
    <w:rsid w:val="00611F58"/>
    <w:rsid w:val="006127BC"/>
    <w:rsid w:val="00621B2F"/>
    <w:rsid w:val="0062359F"/>
    <w:rsid w:val="0063241F"/>
    <w:rsid w:val="00646EEF"/>
    <w:rsid w:val="006578D9"/>
    <w:rsid w:val="006659A7"/>
    <w:rsid w:val="006B0786"/>
    <w:rsid w:val="006D7B5F"/>
    <w:rsid w:val="00732C5D"/>
    <w:rsid w:val="0073594C"/>
    <w:rsid w:val="007603E0"/>
    <w:rsid w:val="007C0CB8"/>
    <w:rsid w:val="007D5059"/>
    <w:rsid w:val="00811704"/>
    <w:rsid w:val="00844BF5"/>
    <w:rsid w:val="0088086F"/>
    <w:rsid w:val="008A3B6E"/>
    <w:rsid w:val="008B0565"/>
    <w:rsid w:val="008F657E"/>
    <w:rsid w:val="00957465"/>
    <w:rsid w:val="009B7CEF"/>
    <w:rsid w:val="009F2137"/>
    <w:rsid w:val="00A06553"/>
    <w:rsid w:val="00A07488"/>
    <w:rsid w:val="00A71F5B"/>
    <w:rsid w:val="00A93702"/>
    <w:rsid w:val="00AA6BEA"/>
    <w:rsid w:val="00B4643F"/>
    <w:rsid w:val="00BC61F7"/>
    <w:rsid w:val="00C11481"/>
    <w:rsid w:val="00C15994"/>
    <w:rsid w:val="00C47199"/>
    <w:rsid w:val="00CD2411"/>
    <w:rsid w:val="00CD6B51"/>
    <w:rsid w:val="00D13FC1"/>
    <w:rsid w:val="00D2523E"/>
    <w:rsid w:val="00D574D4"/>
    <w:rsid w:val="00D921E1"/>
    <w:rsid w:val="00DF6DF4"/>
    <w:rsid w:val="00DF75C6"/>
    <w:rsid w:val="00E61534"/>
    <w:rsid w:val="00E80332"/>
    <w:rsid w:val="00E80DAC"/>
    <w:rsid w:val="00E85CEE"/>
    <w:rsid w:val="00EB5523"/>
    <w:rsid w:val="00F06E72"/>
    <w:rsid w:val="00F5593C"/>
    <w:rsid w:val="00F960B3"/>
    <w:rsid w:val="00FD7172"/>
    <w:rsid w:val="00FE1FCA"/>
    <w:rsid w:val="00FE2B8B"/>
    <w:rsid w:val="00FF0F08"/>
    <w:rsid w:val="05304CE4"/>
    <w:rsid w:val="15667A43"/>
    <w:rsid w:val="45BB633B"/>
    <w:rsid w:val="45CE0A41"/>
    <w:rsid w:val="478C6AAE"/>
    <w:rsid w:val="4A074B9D"/>
    <w:rsid w:val="57E05C43"/>
    <w:rsid w:val="6EC7214E"/>
    <w:rsid w:val="7407250D"/>
    <w:rsid w:val="74DA6B72"/>
    <w:rsid w:val="7ECC3D1C"/>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Layout w:type="fixed"/>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pPr>
    <w:rPr>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6">
    <w:name w:val="Hyperlink"/>
    <w:basedOn w:val="5"/>
    <w:unhideWhenUsed/>
    <w:qFormat/>
    <w:uiPriority w:val="99"/>
    <w:rPr>
      <w:color w:val="136EC2"/>
      <w:u w:val="none"/>
    </w:rPr>
  </w:style>
  <w:style w:type="table" w:styleId="8">
    <w:name w:val="Table Grid"/>
    <w:basedOn w:val="7"/>
    <w:qFormat/>
    <w:uiPriority w:val="59"/>
    <w:pPr>
      <w:widowControl w:val="0"/>
      <w:jc w:val="both"/>
    </w:pPr>
    <w:rPr>
      <w:rFonts w:eastAsia="微软雅黑"/>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列出段落1"/>
    <w:basedOn w:val="1"/>
    <w:qFormat/>
    <w:uiPriority w:val="34"/>
    <w:pPr>
      <w:ind w:firstLine="420" w:firstLineChars="200"/>
    </w:pPr>
  </w:style>
  <w:style w:type="character" w:customStyle="1" w:styleId="10">
    <w:name w:val="页眉 Char"/>
    <w:basedOn w:val="5"/>
    <w:link w:val="3"/>
    <w:semiHidden/>
    <w:qFormat/>
    <w:uiPriority w:val="99"/>
    <w:rPr>
      <w:rFonts w:ascii="Tahoma" w:hAnsi="Tahoma" w:eastAsia="微软雅黑"/>
      <w:kern w:val="0"/>
      <w:sz w:val="18"/>
      <w:szCs w:val="18"/>
    </w:rPr>
  </w:style>
  <w:style w:type="character" w:customStyle="1" w:styleId="11">
    <w:name w:val="页脚 Char"/>
    <w:basedOn w:val="5"/>
    <w:link w:val="2"/>
    <w:semiHidden/>
    <w:qFormat/>
    <w:uiPriority w:val="99"/>
    <w:rPr>
      <w:rFonts w:ascii="Tahoma" w:hAnsi="Tahoma" w:eastAsia="微软雅黑"/>
      <w:kern w:val="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丰华文化用品广场</Company>
  <Pages>16</Pages>
  <Words>1193</Words>
  <Characters>6802</Characters>
  <Lines>56</Lines>
  <Paragraphs>15</Paragraphs>
  <TotalTime>0</TotalTime>
  <ScaleCrop>false</ScaleCrop>
  <LinksUpToDate>false</LinksUpToDate>
  <CharactersWithSpaces>7980</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2018-07-10T10:05:00Z</dcterms:created>
  <dc:creator>丰华网络</dc:creator>
  <cp:lastModifiedBy>Administrator</cp:lastModifiedBy>
  <cp:lastPrinted>2018-08-20T03:03:00Z</cp:lastPrinted>
  <dcterms:modified xsi:type="dcterms:W3CDTF">2019-05-06T04:36:58Z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