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after="0" w:line="520" w:lineRule="exact"/>
        <w:ind w:firstLine="720" w:firstLineChars="200"/>
        <w:jc w:val="center"/>
        <w:rPr>
          <w:rFonts w:ascii="仿宋" w:hAnsi="仿宋" w:eastAsia="仿宋" w:cs="仿宋"/>
          <w:sz w:val="36"/>
          <w:szCs w:val="36"/>
        </w:rPr>
      </w:pPr>
      <w:r>
        <w:rPr>
          <w:rFonts w:hint="eastAsia" w:ascii="仿宋" w:hAnsi="仿宋" w:eastAsia="仿宋" w:cs="仿宋"/>
          <w:sz w:val="36"/>
          <w:szCs w:val="36"/>
        </w:rPr>
        <w:t>2017年度玛纳斯县史志办决算公开说明</w:t>
      </w:r>
    </w:p>
    <w:p>
      <w:pPr>
        <w:spacing w:line="220" w:lineRule="atLeast"/>
        <w:ind w:firstLine="600" w:firstLineChars="200"/>
        <w:rPr>
          <w:rFonts w:ascii="仿宋" w:hAnsi="仿宋" w:eastAsia="仿宋" w:cs="仿宋"/>
          <w:sz w:val="30"/>
          <w:szCs w:val="30"/>
        </w:rPr>
      </w:pPr>
    </w:p>
    <w:p>
      <w:pPr>
        <w:spacing w:after="0" w:line="520" w:lineRule="exact"/>
        <w:ind w:firstLine="643" w:firstLineChars="200"/>
        <w:jc w:val="center"/>
        <w:rPr>
          <w:rFonts w:ascii="仿宋" w:hAnsi="仿宋" w:eastAsia="仿宋" w:cs="仿宋"/>
          <w:b/>
          <w:sz w:val="32"/>
          <w:szCs w:val="32"/>
        </w:rPr>
      </w:pPr>
      <w:r>
        <w:rPr>
          <w:rFonts w:hint="eastAsia" w:ascii="仿宋" w:hAnsi="仿宋" w:eastAsia="仿宋" w:cs="仿宋"/>
          <w:b/>
          <w:sz w:val="32"/>
          <w:szCs w:val="32"/>
        </w:rPr>
        <w:t>目  录</w:t>
      </w:r>
    </w:p>
    <w:p>
      <w:pPr>
        <w:spacing w:line="220" w:lineRule="atLeast"/>
        <w:ind w:firstLine="600" w:firstLineChars="200"/>
        <w:rPr>
          <w:rFonts w:ascii="仿宋" w:hAnsi="仿宋" w:eastAsia="仿宋" w:cs="仿宋"/>
          <w:sz w:val="30"/>
          <w:szCs w:val="30"/>
        </w:rPr>
      </w:pP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第一部分 玛纳斯县史志办单位概况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一、主要职能、机构设置及人员情况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二、部门决算单位构成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第二部分 部门决算情况说明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（二）一般公共预算支出决算情况说明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五、机关运行经费支出情况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（二）国有资产收益征缴情况说明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第三部分 专业名词解释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第四部分 部门决算报表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二、部门收支总体情况（11张）：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三、财政拨款收支情况（9张）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四、单位资产负责情况（1张）：《资产负债简表》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五、部门决算附表（5张）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六、填报说明附表（2张）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《政府采购情况表》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七、“三公”经费支出情况(1张)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《2017年度一般公共预算“三公”经费支出情况表》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rPr>
          <w:rFonts w:ascii="仿宋" w:hAnsi="仿宋" w:eastAsia="仿宋" w:cs="仿宋"/>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第一部分 部门单位概况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一、主要职能</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详细介绍本部门单位工作职能。</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主要职能：主要负责玛纳斯县党史、玛纳斯县地方志的资料征集和编攥出版工作，县志续修、党史规划与修志志定、党史工作的宣传。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二、机构设置及人员情况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玛纳斯县史志办单位编制数 3 人，实有人数3人，其中：在职3 人，增加0 人； 退休3人，增加0 人；离休 0人，增加 0 人。</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二、部门决算单位构成。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本级预算单位一个，无下属预算单位。</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从决算单位构成看，玛纳斯县史志办部门决算包括：玛纳斯县史志办部门本级决算、所属单位决算等。 </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 xml:space="preserve">纳玛纳斯县史志办2017年部门决算编制范围的单位名单见下表： </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序号</w:t>
            </w:r>
          </w:p>
        </w:tc>
        <w:tc>
          <w:tcPr>
            <w:tcW w:w="284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单位名称</w:t>
            </w:r>
          </w:p>
        </w:tc>
        <w:tc>
          <w:tcPr>
            <w:tcW w:w="284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1</w:t>
            </w:r>
          </w:p>
        </w:tc>
        <w:tc>
          <w:tcPr>
            <w:tcW w:w="284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玛纳斯县史志办</w:t>
            </w:r>
          </w:p>
        </w:tc>
        <w:tc>
          <w:tcPr>
            <w:tcW w:w="284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p>
        </w:tc>
        <w:tc>
          <w:tcPr>
            <w:tcW w:w="284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p>
        </w:tc>
        <w:tc>
          <w:tcPr>
            <w:tcW w:w="284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p>
        </w:tc>
      </w:tr>
    </w:tbl>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rPr>
          <w:rFonts w:ascii="仿宋" w:hAnsi="仿宋" w:eastAsia="仿宋" w:cs="仿宋"/>
          <w:sz w:val="30"/>
          <w:szCs w:val="30"/>
        </w:rPr>
      </w:pPr>
    </w:p>
    <w:p>
      <w:pPr>
        <w:spacing w:after="0" w:line="520" w:lineRule="exact"/>
        <w:rPr>
          <w:rFonts w:ascii="仿宋" w:hAnsi="仿宋" w:eastAsia="仿宋" w:cs="仿宋"/>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第二部分 部门决算情况说明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2017年度收入78.6141万元,与上年相比，增加14.7622万元，增长18%，支出78.6141万元,与上年相比，增加14.7622万元，增长18%。</w:t>
      </w:r>
      <w:r>
        <w:rPr>
          <w:rFonts w:hint="eastAsia" w:ascii="仿宋" w:hAnsi="仿宋" w:eastAsia="仿宋" w:cs="仿宋"/>
          <w:sz w:val="30"/>
          <w:szCs w:val="30"/>
          <w:lang w:val="en-US" w:eastAsia="zh-CN" w:bidi="ar"/>
        </w:rPr>
        <w:t>，结余0万元，与上年相比，增加0万元，增长0%。</w:t>
      </w:r>
      <w:r>
        <w:rPr>
          <w:rFonts w:hint="eastAsia" w:ascii="仿宋" w:hAnsi="仿宋" w:eastAsia="仿宋" w:cs="仿宋"/>
          <w:sz w:val="30"/>
          <w:szCs w:val="30"/>
        </w:rPr>
        <w:t>增减变化主要原因是：2017年增加1人,2017年出版《玛纳斯年鉴》。</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2017年决算收入78.6141万元，2017年预算收入78.6141万元，相差40.8211万元，决算支出78.6141万元，预算支出37.7930万元，相差40.8211万元，决算收入和支出大于预算原因为：本年度增加1人，2017年出版《玛纳斯史鉴》。</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2017年收入合计78.6141万元，其中：财政拨款收入78.6141万元，占100%，与上年相比，增加14.7622万元，增长18%。上级补助收入0万元，占0%；事业收入0万元，占0%；经营收入0万元，占0%；附属单位缴款0万元，占0%；其他收入0万元，占0%。增减变化的主要原因是：2017年出版《玛纳斯年鉴》。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2017年预算收入为37.79万元，2017年度决算收入78.6141万元，决算比预算收入增加40.8241万元。原因是2017年增加1人,2017年出版《玛纳斯年鉴》，追加预算指标。</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本年支出合计78.6141万元，其中：基本支出</w:t>
      </w:r>
      <w:r>
        <w:rPr>
          <w:rFonts w:hint="eastAsia" w:ascii="仿宋" w:hAnsi="仿宋" w:eastAsia="仿宋" w:cs="仿宋"/>
          <w:sz w:val="30"/>
          <w:szCs w:val="30"/>
          <w:lang w:val="en-US" w:eastAsia="zh-CN"/>
        </w:rPr>
        <w:t>78.6141</w:t>
      </w:r>
      <w:r>
        <w:rPr>
          <w:rFonts w:hint="eastAsia" w:ascii="仿宋" w:hAnsi="仿宋" w:eastAsia="仿宋" w:cs="仿宋"/>
          <w:sz w:val="30"/>
          <w:szCs w:val="30"/>
        </w:rPr>
        <w:t>万元，占</w:t>
      </w:r>
      <w:r>
        <w:rPr>
          <w:rFonts w:hint="eastAsia" w:ascii="仿宋" w:hAnsi="仿宋" w:eastAsia="仿宋" w:cs="仿宋"/>
          <w:sz w:val="30"/>
          <w:szCs w:val="30"/>
          <w:lang w:val="en-US" w:eastAsia="zh-CN"/>
        </w:rPr>
        <w:t>100</w:t>
      </w:r>
      <w:r>
        <w:rPr>
          <w:rFonts w:hint="eastAsia" w:ascii="仿宋" w:hAnsi="仿宋" w:eastAsia="仿宋" w:cs="仿宋"/>
          <w:sz w:val="30"/>
          <w:szCs w:val="30"/>
        </w:rPr>
        <w:t>%；项目支出0元，占0%；上缴上级支出0万元，占0%；经营支出0万元，占0%；对附属单位补助支出0万元，占0%。增减变化的主要原因是：本年度增加1人，2017年出版《玛纳斯史鉴》。</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支出78.6161万元,与上年相比，增加14.7622万元，增长18%。其中预算基本支出为37.7930万元，增减变化主要原因是：2017年增加1人,2017年出版《玛纳斯年鉴》，追加预算指标。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财政拨款收入78.6141万元，与上年相比，增加14.7622万元，增长18%。增减变化的主要原因是：本年度增加1人，2017年出版《玛纳斯史鉴》。财政拨款支出78.6141万元，与上年相比，增加14.7622万元，增长18%。其中：基本支出78.6141万元，</w:t>
      </w:r>
      <w:r>
        <w:rPr>
          <w:rFonts w:hint="eastAsia" w:ascii="仿宋" w:hAnsi="仿宋" w:eastAsia="仿宋" w:cs="仿宋"/>
          <w:sz w:val="30"/>
          <w:szCs w:val="30"/>
          <w:lang w:val="en-US" w:eastAsia="zh-CN"/>
        </w:rPr>
        <w:t>项目</w:t>
      </w:r>
      <w:r>
        <w:rPr>
          <w:rFonts w:hint="eastAsia" w:ascii="仿宋" w:hAnsi="仿宋" w:eastAsia="仿宋" w:cs="仿宋"/>
          <w:sz w:val="30"/>
          <w:szCs w:val="30"/>
        </w:rPr>
        <w:t>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万元。财政拨款结转结余0万元，与上年相比，增加0万元，增长0%。增减变化的主要原因是：本年度增加1人，2017年出版《玛纳斯史鉴》。</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与预算相比情况。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2017年决算财政拨款收入78.6141万元，2017年预算收入为37.7930万元，相差40.8211万元。本年度增加1人，2017年出版《玛纳斯史鉴》。</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（二）一般公共预算支出决算情况说明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2017年度一般公共预算财政拨款支出78.6141万元。与上年相比，增加14.7622万元，增长18%。增减变化的主要原因是：本年度增加1人，2017年出版《玛纳斯史鉴》。</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其中：按功能分类科目，一般公共服务支出76</w:t>
      </w:r>
      <w:r>
        <w:rPr>
          <w:rFonts w:hint="eastAsia" w:ascii="仿宋" w:hAnsi="仿宋" w:eastAsia="仿宋" w:cs="仿宋"/>
          <w:sz w:val="30"/>
          <w:szCs w:val="30"/>
          <w:lang w:val="en-US" w:eastAsia="zh-CN"/>
        </w:rPr>
        <w:t>.</w:t>
      </w:r>
      <w:r>
        <w:rPr>
          <w:rFonts w:hint="eastAsia" w:ascii="仿宋" w:hAnsi="仿宋" w:eastAsia="仿宋" w:cs="仿宋"/>
          <w:sz w:val="30"/>
          <w:szCs w:val="30"/>
        </w:rPr>
        <w:t>2027万元，社会保障和就业支出2</w:t>
      </w:r>
      <w:r>
        <w:rPr>
          <w:rFonts w:hint="eastAsia" w:ascii="仿宋" w:hAnsi="仿宋" w:eastAsia="仿宋" w:cs="仿宋"/>
          <w:sz w:val="30"/>
          <w:szCs w:val="30"/>
          <w:lang w:val="en-US" w:eastAsia="zh-CN"/>
        </w:rPr>
        <w:t>.</w:t>
      </w:r>
      <w:r>
        <w:rPr>
          <w:rFonts w:hint="eastAsia" w:ascii="仿宋" w:hAnsi="仿宋" w:eastAsia="仿宋" w:cs="仿宋"/>
          <w:sz w:val="30"/>
          <w:szCs w:val="30"/>
        </w:rPr>
        <w:t>4114万元</w:t>
      </w:r>
      <w:r>
        <w:rPr>
          <w:rFonts w:hint="eastAsia" w:ascii="仿宋" w:hAnsi="仿宋" w:eastAsia="仿宋" w:cs="仿宋"/>
          <w:sz w:val="30"/>
          <w:szCs w:val="30"/>
          <w:lang w:eastAsia="zh-CN"/>
        </w:rPr>
        <w:t>。</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按经济分类：工资福利支出40.16万元，商品和服务支出34.1万元对个人和家庭的补助4.3万元。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2017年度一般公共预算财政拨款支出78.6141万元，与年初预算37.7930万元相差40.8211万元，增减变化的主要原因是：本年度增加1人，2017年出版《玛纳斯史鉴》。政府性基金预算财政拨款支出0万元，与预算相比，增加0万元，增长0%。增减变化的主要原因是：年初无预算安排。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政府性基金预算财政拨款收入0万元，与上年相比，增加0万元，增长0%。增减变化的主要原因是：年初无预算安排。政府性基金预算财政拨款支出0万元，与上年相比，增加0万元，增长0%。增减变化的主要原因是：年初无预算安排。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与预算相比情况。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政府性基金预算财政拨款收入0万元，与预算相比，增加0万元，增长0%。增减变化的主要原因是：年初无预算安排。政府性基金预算财政拨款支出0万元，与预算相比，增加0万元，增长0%。增减变化的主要原因是：年初无预算安排。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2017年度政府性基金预算支出0万元。与上年相比，增加0万元，增长0%。增减变化的主要原因是：年初无预算安排。</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按功能分类科目，一般公共服务支出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万元，社会保障和就业支出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eastAsia="zh-CN"/>
        </w:rPr>
        <w:t>。</w:t>
      </w:r>
      <w:r>
        <w:rPr>
          <w:rFonts w:hint="eastAsia" w:ascii="仿宋" w:hAnsi="仿宋" w:eastAsia="仿宋" w:cs="仿宋"/>
          <w:sz w:val="30"/>
          <w:szCs w:val="30"/>
        </w:rPr>
        <w:t>按经济分类：工资福利支出0元，商品和服务支出0元,对个人和家庭的补助0元。</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与预算相比情况。</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2017年度政府性基金预算财政拨款收入0万元，与预算相比，增加0万元，增长0%。增减变化的主要原因是：年初无预算安排。政府性基金预算财政拨款支出0万元，与预算相比，增加0万元，增长0%。增减变化的主要原因是：年初无预算安排。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其他有关说明内容。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年末结转结余0万元。与上年相比，增加0万元，增长0%。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其中财政拨款结转结余0万元。与上年相比，增加0元，增长0%。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一般公共预算“三公”经费支出决算0万元，比上年增加0万元，增长0%，增加原因是年初无预算安排。其中，因公出国（境）费支出0万元，占0%，比上年增加（0万元，增长0%，增加原因是年初无预算安排；公务用车购置及运行维护费支出0万元，占0%，比上年增加0万元，增长0%，增加原因是年初无预算安排；公务接待费支出0万元，占0%，比上年增加0万元，增长0%，增加原因是年初无预算安排。具体情况如下：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因公出国（境）费支出0万元。单位全年使用一般公共预算财政拨款安排的出国（境）团组0个，累计0人次。开支内容包括：年初无预算安排。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公务用车购置及运行维护费0万元,其中，公务用车购置0万元，公务用车运行维护费0万元。主要用于年初无预算安排等。2017年，单位一般公共财政拨款安排的公务用车购置量0辆，保有量为0辆。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公务接待费0万元。具体是：国内公务接待支出0万元，主要是年初无预算安排等。单位国内公务接待0批次，0人次。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与预算相比情况。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年初一般公共预算“三公”经费支出决算0万元，决算比预算增加0万元，增长0%，增加原因是年初无预算安排。其中，因公出国（境）费支出0万元，占0%，决算比预算增加0万元，增长0%，增加原因是年初无预算安排；公务用车购置及运行维护费支出0万元，占0%，决算比预算增加0万元，增长0%，增加原因是年初无预算安排；公务接待费支出0万元，占0%，决算比预算增加0万元，增长0%，增加原因是年初无预算安排。</w:t>
      </w:r>
    </w:p>
    <w:p>
      <w:pPr>
        <w:spacing w:after="0" w:line="520" w:lineRule="exact"/>
        <w:ind w:firstLine="600" w:firstLineChars="200"/>
        <w:rPr>
          <w:rFonts w:ascii="仿宋" w:hAnsi="仿宋" w:eastAsia="仿宋" w:cs="仿宋"/>
          <w:color w:val="auto"/>
          <w:sz w:val="30"/>
          <w:szCs w:val="30"/>
        </w:rPr>
      </w:pPr>
      <w:r>
        <w:rPr>
          <w:rFonts w:hint="eastAsia" w:ascii="仿宋" w:hAnsi="仿宋" w:eastAsia="仿宋" w:cs="仿宋"/>
          <w:color w:val="auto"/>
          <w:sz w:val="30"/>
          <w:szCs w:val="30"/>
        </w:rPr>
        <w:t xml:space="preserve">五、机关运行经费支出情况 </w:t>
      </w:r>
    </w:p>
    <w:p>
      <w:pPr>
        <w:ind w:firstLine="600" w:firstLineChars="200"/>
        <w:rPr>
          <w:rFonts w:ascii="仿宋" w:hAnsi="仿宋" w:eastAsia="仿宋" w:cs="仿宋"/>
          <w:color w:val="auto"/>
          <w:sz w:val="30"/>
          <w:szCs w:val="30"/>
        </w:rPr>
      </w:pPr>
      <w:r>
        <w:rPr>
          <w:rFonts w:hint="eastAsia" w:ascii="仿宋" w:hAnsi="仿宋" w:eastAsia="仿宋" w:cs="仿宋"/>
          <w:color w:val="auto"/>
          <w:sz w:val="30"/>
          <w:szCs w:val="30"/>
        </w:rPr>
        <w:t>2017年度单位机关运行经费支出</w:t>
      </w:r>
      <w:r>
        <w:rPr>
          <w:rFonts w:hint="eastAsia" w:ascii="仿宋" w:hAnsi="仿宋" w:eastAsia="仿宋" w:cs="仿宋"/>
          <w:color w:val="auto"/>
          <w:sz w:val="30"/>
          <w:szCs w:val="30"/>
          <w:lang w:val="en-US" w:eastAsia="zh-CN"/>
        </w:rPr>
        <w:t>34.10</w:t>
      </w:r>
      <w:r>
        <w:rPr>
          <w:rFonts w:hint="eastAsia" w:ascii="仿宋" w:hAnsi="仿宋" w:eastAsia="仿宋" w:cs="仿宋"/>
          <w:color w:val="auto"/>
          <w:sz w:val="30"/>
          <w:szCs w:val="30"/>
        </w:rPr>
        <w:t>万元，比上年增加</w:t>
      </w:r>
      <w:r>
        <w:rPr>
          <w:rFonts w:hint="eastAsia" w:ascii="仿宋" w:hAnsi="仿宋" w:eastAsia="仿宋" w:cs="仿宋"/>
          <w:color w:val="auto"/>
          <w:sz w:val="30"/>
          <w:szCs w:val="30"/>
          <w:lang w:val="en-US" w:eastAsia="zh-CN"/>
        </w:rPr>
        <w:t>29.69</w:t>
      </w:r>
      <w:r>
        <w:rPr>
          <w:rFonts w:hint="eastAsia" w:ascii="仿宋" w:hAnsi="仿宋" w:eastAsia="仿宋" w:cs="仿宋"/>
          <w:color w:val="auto"/>
          <w:sz w:val="30"/>
          <w:szCs w:val="30"/>
        </w:rPr>
        <w:t>万元，增长</w:t>
      </w:r>
      <w:r>
        <w:rPr>
          <w:rFonts w:hint="eastAsia" w:ascii="仿宋" w:hAnsi="仿宋" w:eastAsia="仿宋" w:cs="仿宋"/>
          <w:color w:val="auto"/>
          <w:sz w:val="30"/>
          <w:szCs w:val="30"/>
          <w:lang w:val="en-US" w:eastAsia="zh-CN"/>
        </w:rPr>
        <w:t>674.07</w:t>
      </w:r>
      <w:r>
        <w:rPr>
          <w:rFonts w:hint="eastAsia" w:ascii="仿宋" w:hAnsi="仿宋" w:eastAsia="仿宋" w:cs="仿宋"/>
          <w:color w:val="auto"/>
          <w:sz w:val="30"/>
          <w:szCs w:val="30"/>
        </w:rPr>
        <w:t xml:space="preserve">%，主要原因是增加了2016年鉴制作经费。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单位政府采购计划0万元，其中：政府采购货物支出0万元、政府采购工程支出0万元、政府采购服务支出0万元；实际采购0万元，其中：政府采购货物支出0万元、政府采购工程支出0万元、政府采购服务支出0万元。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截至2017年12月31日，资产总计</w:t>
      </w:r>
      <w:r>
        <w:rPr>
          <w:rFonts w:hint="eastAsia" w:ascii="仿宋" w:hAnsi="仿宋" w:eastAsia="仿宋" w:cs="仿宋"/>
          <w:sz w:val="30"/>
          <w:szCs w:val="30"/>
          <w:lang w:val="en-US" w:eastAsia="zh-CN"/>
        </w:rPr>
        <w:t>5.63</w:t>
      </w:r>
      <w:r>
        <w:rPr>
          <w:rFonts w:hint="eastAsia" w:ascii="仿宋" w:hAnsi="仿宋" w:eastAsia="仿宋" w:cs="仿宋"/>
          <w:sz w:val="30"/>
          <w:szCs w:val="30"/>
        </w:rPr>
        <w:t>万元，其中：流动资产</w:t>
      </w:r>
      <w:r>
        <w:rPr>
          <w:rFonts w:hint="eastAsia" w:ascii="仿宋" w:hAnsi="仿宋" w:eastAsia="仿宋" w:cs="仿宋"/>
          <w:sz w:val="30"/>
          <w:szCs w:val="30"/>
          <w:lang w:val="en-US" w:eastAsia="zh-CN"/>
        </w:rPr>
        <w:t>1.03</w:t>
      </w:r>
      <w:r>
        <w:rPr>
          <w:rFonts w:hint="eastAsia" w:ascii="仿宋" w:hAnsi="仿宋" w:eastAsia="仿宋" w:cs="仿宋"/>
          <w:sz w:val="30"/>
          <w:szCs w:val="30"/>
        </w:rPr>
        <w:t>万元，固定资产</w:t>
      </w:r>
      <w:r>
        <w:rPr>
          <w:rFonts w:hint="eastAsia" w:ascii="仿宋" w:hAnsi="仿宋" w:eastAsia="仿宋" w:cs="仿宋"/>
          <w:sz w:val="30"/>
          <w:szCs w:val="30"/>
          <w:lang w:val="en-US" w:eastAsia="zh-CN"/>
        </w:rPr>
        <w:t>4.60</w:t>
      </w:r>
      <w:r>
        <w:rPr>
          <w:rFonts w:hint="eastAsia" w:ascii="仿宋" w:hAnsi="仿宋" w:eastAsia="仿宋" w:cs="仿宋"/>
          <w:sz w:val="30"/>
          <w:szCs w:val="30"/>
        </w:rPr>
        <w:t xml:space="preserve">万元，其中：房屋0平方米，价值0万元，共有车辆0辆，价值0万元，其中：部级领导干部用车0辆、一般公务用车0辆、一般执法执勤用车0辆、特种专业技术用车0辆、其他用车0辆；单位价值50万元以上通用设备0台（套）、单位价值100万元以上专用设备0台（套），其他固定资产价值4.60万元。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（二）国有资产收益征缴情况说明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截至20017年12月31日，单位资产有偿使用收入合计0万元，资产处置收入合计0万元。其中：已缴国库0万元， 已缴财政专户0万元，应缴未缴0万元，单位留用0万元。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其他有关说明内容。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2017年度，本部门单位实行绩效管理的项目0个，涉及预算0万元，项目支出决算0万元。</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其他</w:t>
      </w:r>
      <w:bookmarkStart w:id="0" w:name="_GoBack"/>
      <w:bookmarkEnd w:id="0"/>
      <w:r>
        <w:rPr>
          <w:rFonts w:hint="eastAsia" w:ascii="仿宋" w:hAnsi="仿宋" w:eastAsia="仿宋" w:cs="仿宋"/>
          <w:snapToGrid/>
          <w:kern w:val="0"/>
          <w:sz w:val="30"/>
          <w:szCs w:val="30"/>
          <w:lang w:val="en-US" w:eastAsia="zh-CN" w:bidi="ar"/>
        </w:rPr>
        <w:t xml:space="preserve">有关说明内容。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无</w:t>
      </w: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560" w:firstLineChars="200"/>
        <w:rPr>
          <w:rFonts w:cs="仿宋" w:asciiTheme="minorEastAsia" w:hAnsiTheme="minorEastAsia" w:eastAsiaTheme="minorEastAsia"/>
          <w:sz w:val="28"/>
          <w:szCs w:val="28"/>
        </w:rPr>
      </w:pPr>
    </w:p>
    <w:p>
      <w:pPr>
        <w:spacing w:line="220" w:lineRule="atLeast"/>
        <w:jc w:val="both"/>
        <w:rPr>
          <w:rFonts w:ascii="仿宋" w:hAnsi="仿宋" w:eastAsia="仿宋" w:cs="仿宋"/>
          <w:b/>
          <w:bCs/>
          <w:sz w:val="30"/>
          <w:szCs w:val="30"/>
        </w:rPr>
      </w:pPr>
    </w:p>
    <w:p>
      <w:pPr>
        <w:spacing w:line="220" w:lineRule="atLeast"/>
        <w:jc w:val="both"/>
        <w:rPr>
          <w:rFonts w:ascii="仿宋" w:hAnsi="仿宋" w:eastAsia="仿宋" w:cs="仿宋"/>
          <w:b/>
          <w:bCs/>
          <w:sz w:val="30"/>
          <w:szCs w:val="30"/>
        </w:rPr>
      </w:pPr>
    </w:p>
    <w:p>
      <w:pPr>
        <w:spacing w:line="220" w:lineRule="atLeast"/>
        <w:jc w:val="both"/>
        <w:rPr>
          <w:rFonts w:ascii="仿宋" w:hAnsi="仿宋" w:eastAsia="仿宋" w:cs="仿宋"/>
          <w:b/>
          <w:bCs/>
          <w:sz w:val="30"/>
          <w:szCs w:val="30"/>
        </w:rPr>
      </w:pPr>
    </w:p>
    <w:p>
      <w:pPr>
        <w:spacing w:line="220" w:lineRule="atLeast"/>
        <w:jc w:val="both"/>
        <w:rPr>
          <w:rFonts w:ascii="仿宋" w:hAnsi="仿宋" w:eastAsia="仿宋" w:cs="仿宋"/>
          <w:b/>
          <w:bCs/>
          <w:sz w:val="30"/>
          <w:szCs w:val="30"/>
        </w:rPr>
      </w:pPr>
    </w:p>
    <w:p>
      <w:pPr>
        <w:spacing w:line="220" w:lineRule="atLeast"/>
        <w:jc w:val="both"/>
        <w:rPr>
          <w:rFonts w:ascii="仿宋" w:hAnsi="仿宋" w:eastAsia="仿宋" w:cs="仿宋"/>
          <w:b/>
          <w:bCs/>
          <w:sz w:val="30"/>
          <w:szCs w:val="30"/>
        </w:rPr>
      </w:pPr>
    </w:p>
    <w:p>
      <w:pPr>
        <w:spacing w:line="220" w:lineRule="atLeast"/>
        <w:jc w:val="both"/>
        <w:rPr>
          <w:rFonts w:ascii="仿宋" w:hAnsi="仿宋" w:eastAsia="仿宋" w:cs="仿宋"/>
          <w:b/>
          <w:bCs/>
          <w:sz w:val="30"/>
          <w:szCs w:val="30"/>
        </w:rPr>
      </w:pPr>
    </w:p>
    <w:p>
      <w:pPr>
        <w:spacing w:line="220" w:lineRule="atLeast"/>
        <w:jc w:val="both"/>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第三部分 专业名词解释</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财政拨款收入：指同级财政当年拨付的资金。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上级补助收入：指事业单位从主管部门和上级单位取得的非财政补助收入。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事业收入：指事业单位开展专业业务活动及其辅助活动所取得的收入。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经营收入：指事业单位在专业业务活动及其辅助活动之外开展非独立核算经营活动取得的收入。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附属单位缴款：指事业单位附属的独立核算单位按有关规定上缴的收入。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其他收入：指除上述“财政拨款收入”、“事业收入”、“经营收入”、“附属单位缴款”等之外取得的收入。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用事业基金弥补收支差额：指事业单位在当年的“财政拨款 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上年结转和结余：指以前年度支出预算因客观条件变化未执行完毕、结转到本年度按有关规定继续使用的资金，既包括财政拨款结转和结余，也包括事业收入、经营收入、其他收入的结转和结余。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结余分配：反映单位当年结余的分配情况。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年末结转和结余：指本年度或以前年度预算安排、因客观条件发生变化无法按原计划实施，需要延迟到以后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基本支出：指为保障机构正常运转、完成日常工作任务而发生的人员支出和公用支出。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项目支出：指在基本支出之外为完成特定行政任务和事业发展目标所发生的支出。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经营支出：指事业单位在专业业务活动及其辅助活动之外开展非独立核算经营活动发生的支出。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对附属单位补助支出：指事业单位发生的用非财政预算资金对附属单位的补助支出。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“三公”经费：指用一般公共预算财政拨款安排的因公出国（境）费、公务用车购置及运行费和公务接待费。其中，因公出国（境）费反映单位公务出国（境）的住宿费、旅费、伙食补助 费、杂费、培训费等支出；公务用车购置及运行费反映单位公务用车购置费及租用费、燃料费、维修费、过路过桥费、保险费、安全奖励费用等支出；公务接待费反映单位按规定开支的各类公务接待（含外宾接待）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本单位支出功能分类说明。2012901：指行政运行。2080505：指机关事业单位基本养老保险缴费支出。 </w:t>
      </w:r>
    </w:p>
    <w:p>
      <w:pPr>
        <w:spacing w:line="220" w:lineRule="atLeast"/>
        <w:jc w:val="both"/>
        <w:rPr>
          <w:rFonts w:ascii="仿宋" w:hAnsi="仿宋" w:eastAsia="仿宋" w:cs="仿宋"/>
          <w:b/>
          <w:bCs/>
          <w:sz w:val="30"/>
          <w:szCs w:val="30"/>
        </w:rPr>
      </w:pPr>
    </w:p>
    <w:p>
      <w:pPr>
        <w:spacing w:line="220" w:lineRule="atLeast"/>
        <w:jc w:val="both"/>
        <w:rPr>
          <w:rFonts w:ascii="仿宋" w:hAnsi="仿宋" w:eastAsia="仿宋" w:cs="仿宋"/>
          <w:b/>
          <w:bCs/>
          <w:sz w:val="30"/>
          <w:szCs w:val="30"/>
        </w:rPr>
      </w:pPr>
    </w:p>
    <w:p>
      <w:pPr>
        <w:spacing w:line="220" w:lineRule="atLeast"/>
        <w:jc w:val="center"/>
        <w:rPr>
          <w:rFonts w:ascii="仿宋" w:hAnsi="仿宋" w:eastAsia="仿宋" w:cs="仿宋"/>
          <w:b/>
          <w:bCs/>
          <w:sz w:val="30"/>
          <w:szCs w:val="30"/>
        </w:rPr>
      </w:pPr>
      <w:r>
        <w:rPr>
          <w:rFonts w:hint="eastAsia" w:ascii="仿宋" w:hAnsi="仿宋" w:eastAsia="仿宋" w:cs="仿宋"/>
          <w:b/>
          <w:bCs/>
          <w:sz w:val="30"/>
          <w:szCs w:val="30"/>
        </w:rPr>
        <w:t>第四部分 部门决算报表（见附表）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八、《基本建设类项目收入支出决算表》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九、《支出决算明细表》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十一、《项目支出决算明细表》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十二、《财政专户管理资金收入支出决算表》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十三、《财政拨款收入支出决算总表》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十四、《一般公共预算财政拨款收入支出决算表》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十五、《一般公共预算财政拨款支出决算明细表》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十六、《一般公共预算财政拨款基本支出决算明细表》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十七、《一般公共预算财政拨款项目支出决算明细表》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十八、《政府性基金预算财政拨款收入支出决算表》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十九、《政府性基金预算财政拨款支出决算明细表》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二十一、《政府性基金预算财政拨款项目支出决算明细表》。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二十二、《资产负债简表》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二十三、《资产情况表》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二十四、《国有资产收益征缴情况表》、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二十五、《基本数字表》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二十六、《机构人员情况表》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二十七、《非税收入征缴情况表》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二十八、《部门决算相关信息统计表》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二十九、《政府采购情况表》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三十、《2017年度一般公共预算“三公”经费支出情况表》 </w:t>
      </w: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sectPr>
      <w:footerReference r:id="rId3" w:type="default"/>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Pr>
    <w:r>
      <w:pict>
        <v:shape id="文本框 1025"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Aj&#10;0coStwEAAFcDAAAOAAAAAAAAAAEAIAAAAB4BAABkcnMvZTJvRG9jLnhtbFBLBQYAAAAABgAGAFkB&#10;AABHBQAAAAA=&#10;">
          <v:path/>
          <v:fill on="f" focussize="0,0"/>
          <v:stroke on="f" joinstyle="miter"/>
          <v:imagedata o:title=""/>
          <o:lock v:ext="edit"/>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5F7240"/>
    <w:rsid w:val="0023560C"/>
    <w:rsid w:val="004275B7"/>
    <w:rsid w:val="00472A92"/>
    <w:rsid w:val="004A6A1B"/>
    <w:rsid w:val="005F7240"/>
    <w:rsid w:val="007603E0"/>
    <w:rsid w:val="00762939"/>
    <w:rsid w:val="00871252"/>
    <w:rsid w:val="00C54984"/>
    <w:rsid w:val="00F960B3"/>
    <w:rsid w:val="018D36EE"/>
    <w:rsid w:val="03063EA1"/>
    <w:rsid w:val="03E66140"/>
    <w:rsid w:val="079C38FF"/>
    <w:rsid w:val="09B346D9"/>
    <w:rsid w:val="0E26092E"/>
    <w:rsid w:val="11E4281A"/>
    <w:rsid w:val="12A05FB6"/>
    <w:rsid w:val="162B14EF"/>
    <w:rsid w:val="19D42B42"/>
    <w:rsid w:val="1A447548"/>
    <w:rsid w:val="1B6E4C92"/>
    <w:rsid w:val="1C50642F"/>
    <w:rsid w:val="1EFC0C2E"/>
    <w:rsid w:val="21C360F5"/>
    <w:rsid w:val="2ED45639"/>
    <w:rsid w:val="2EFF2A1F"/>
    <w:rsid w:val="312163BA"/>
    <w:rsid w:val="31A85014"/>
    <w:rsid w:val="32A07E77"/>
    <w:rsid w:val="34A12E84"/>
    <w:rsid w:val="352D10A9"/>
    <w:rsid w:val="3B9E5186"/>
    <w:rsid w:val="3DF05905"/>
    <w:rsid w:val="3FC3701C"/>
    <w:rsid w:val="422E0127"/>
    <w:rsid w:val="4547749A"/>
    <w:rsid w:val="45701746"/>
    <w:rsid w:val="488B293D"/>
    <w:rsid w:val="4B8A61B9"/>
    <w:rsid w:val="4F9068CF"/>
    <w:rsid w:val="50BA32F7"/>
    <w:rsid w:val="56B87A53"/>
    <w:rsid w:val="5B5A319D"/>
    <w:rsid w:val="5B703BBF"/>
    <w:rsid w:val="5C623585"/>
    <w:rsid w:val="5CC81377"/>
    <w:rsid w:val="5E213BDA"/>
    <w:rsid w:val="61AE7BBA"/>
    <w:rsid w:val="691659C1"/>
    <w:rsid w:val="74610CD2"/>
    <w:rsid w:val="779C4615"/>
    <w:rsid w:val="77AF3C55"/>
    <w:rsid w:val="7BAA465E"/>
    <w:rsid w:val="7E7E08B2"/>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Layout w:type="fixed"/>
      <w:tblCellMar>
        <w:top w:w="0" w:type="dxa"/>
        <w:left w:w="108" w:type="dxa"/>
        <w:bottom w:w="0" w:type="dxa"/>
        <w:right w:w="108" w:type="dxa"/>
      </w:tblCellMar>
    </w:tblPr>
  </w:style>
  <w:style w:type="paragraph" w:styleId="2">
    <w:name w:val="annotation text"/>
    <w:basedOn w:val="1"/>
    <w:unhideWhenUsed/>
    <w:qFormat/>
    <w:uiPriority w:val="99"/>
  </w:style>
  <w:style w:type="paragraph" w:styleId="3">
    <w:name w:val="footer"/>
    <w:basedOn w:val="1"/>
    <w:unhideWhenUsed/>
    <w:qFormat/>
    <w:uiPriority w:val="99"/>
    <w:pPr>
      <w:tabs>
        <w:tab w:val="center" w:pos="4153"/>
        <w:tab w:val="right" w:pos="8306"/>
      </w:tabs>
    </w:pPr>
    <w:rPr>
      <w:sz w:val="18"/>
    </w:rPr>
  </w:style>
  <w:style w:type="paragraph" w:styleId="4">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table" w:styleId="7">
    <w:name w:val="Table Grid"/>
    <w:basedOn w:val="6"/>
    <w:qFormat/>
    <w:uiPriority w:val="59"/>
    <w:pPr>
      <w:widowControl w:val="0"/>
      <w:jc w:val="both"/>
    </w:pPr>
    <w:rPr>
      <w:rFonts w:eastAsia="微软雅黑"/>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丰华文化用品广场</Company>
  <Pages>14</Pages>
  <Words>952</Words>
  <Characters>5431</Characters>
  <Lines>45</Lines>
  <Paragraphs>12</Paragraphs>
  <TotalTime>0</TotalTime>
  <ScaleCrop>false</ScaleCrop>
  <LinksUpToDate>false</LinksUpToDate>
  <CharactersWithSpaces>6371</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Administrator</cp:lastModifiedBy>
  <dcterms:modified xsi:type="dcterms:W3CDTF">2019-05-06T04:11:30Z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