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520" w:lineRule="exact"/>
        <w:ind w:firstLine="900" w:firstLineChars="250"/>
        <w:jc w:val="both"/>
        <w:rPr>
          <w:rFonts w:hint="eastAsia" w:ascii="仿宋" w:hAnsi="仿宋" w:eastAsia="仿宋" w:cs="仿宋"/>
          <w:sz w:val="36"/>
          <w:szCs w:val="36"/>
        </w:rPr>
      </w:pPr>
    </w:p>
    <w:p>
      <w:pPr>
        <w:spacing w:after="0" w:line="520" w:lineRule="exact"/>
        <w:ind w:firstLine="900" w:firstLineChars="250"/>
        <w:jc w:val="both"/>
        <w:rPr>
          <w:rFonts w:hint="eastAsia" w:ascii="仿宋" w:hAnsi="仿宋" w:eastAsia="仿宋" w:cs="仿宋"/>
          <w:sz w:val="36"/>
          <w:szCs w:val="36"/>
        </w:rPr>
      </w:pPr>
      <w:r>
        <w:rPr>
          <w:rFonts w:hint="eastAsia" w:ascii="仿宋" w:hAnsi="仿宋" w:eastAsia="仿宋" w:cs="仿宋"/>
          <w:sz w:val="36"/>
          <w:szCs w:val="36"/>
        </w:rPr>
        <w:t>2017年度北五岔镇学校部门决算公开说明</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二、部门决算单位构成</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2017</w:t>
      </w:r>
      <w:r>
        <w:rPr>
          <w:rFonts w:hint="eastAsia" w:ascii="仿宋" w:hAnsi="仿宋" w:eastAsia="仿宋" w:cs="仿宋"/>
          <w:sz w:val="30"/>
          <w:szCs w:val="30"/>
        </w:rPr>
        <w:t>年度一般公共预算“三公”经费支出情况表》</w:t>
      </w: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pStyle w:val="13"/>
        <w:numPr>
          <w:ilvl w:val="0"/>
          <w:numId w:val="1"/>
        </w:numPr>
        <w:spacing w:after="0" w:line="520" w:lineRule="exact"/>
        <w:ind w:firstLineChars="0"/>
        <w:rPr>
          <w:rFonts w:ascii="仿宋" w:hAnsi="仿宋" w:eastAsia="仿宋" w:cs="仿宋"/>
          <w:sz w:val="30"/>
          <w:szCs w:val="30"/>
        </w:rPr>
      </w:pPr>
      <w:r>
        <w:rPr>
          <w:rFonts w:hint="eastAsia" w:ascii="仿宋" w:hAnsi="仿宋" w:eastAsia="仿宋" w:cs="仿宋"/>
          <w:sz w:val="30"/>
          <w:szCs w:val="30"/>
        </w:rPr>
        <w:t>部门单位基本情况</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1．主要职能：正确贯彻执行党和国家的教育方针、政策、法规。积极稳妥地推进教育改革，按</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"https://www.baidu.com/s?wd=%E6%95%99%E8%82%B2%E8%A7%84%E5%BE%8B&amp;tn=SE_PcZhidaonwhc_ngpagmjz&amp;rsv_dl=gh_pc_zhidao" \t "_blank" </w:instrText>
      </w:r>
      <w:r>
        <w:rPr>
          <w:rFonts w:hint="eastAsia" w:ascii="仿宋" w:hAnsi="仿宋" w:eastAsia="仿宋" w:cs="仿宋"/>
          <w:sz w:val="30"/>
          <w:szCs w:val="30"/>
        </w:rPr>
        <w:fldChar w:fldCharType="separate"/>
      </w:r>
      <w:r>
        <w:rPr>
          <w:rFonts w:hint="eastAsia" w:ascii="仿宋" w:hAnsi="仿宋" w:eastAsia="仿宋" w:cs="仿宋"/>
          <w:sz w:val="30"/>
          <w:szCs w:val="30"/>
        </w:rPr>
        <w:t>教育规律</w:t>
      </w:r>
      <w:r>
        <w:rPr>
          <w:rFonts w:hint="eastAsia" w:ascii="仿宋" w:hAnsi="仿宋" w:eastAsia="仿宋" w:cs="仿宋"/>
          <w:sz w:val="30"/>
          <w:szCs w:val="30"/>
        </w:rPr>
        <w:fldChar w:fldCharType="end"/>
      </w:r>
      <w:r>
        <w:rPr>
          <w:rFonts w:hint="eastAsia" w:ascii="仿宋" w:hAnsi="仿宋" w:eastAsia="仿宋" w:cs="仿宋"/>
          <w:sz w:val="30"/>
          <w:szCs w:val="30"/>
        </w:rPr>
        <w:t>办事，不断提高</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"https://www.baidu.com/s?wd=%E6%95%99%E8%82%B2%E8%B4%A8%E9%87%8F&amp;tn=SE_PcZhidaonwhc_ngpagmjz&amp;rsv_dl=gh_pc_zhidao" \t "_blank" </w:instrText>
      </w:r>
      <w:r>
        <w:rPr>
          <w:rFonts w:hint="eastAsia" w:ascii="仿宋" w:hAnsi="仿宋" w:eastAsia="仿宋" w:cs="仿宋"/>
          <w:sz w:val="30"/>
          <w:szCs w:val="30"/>
        </w:rPr>
        <w:fldChar w:fldCharType="separate"/>
      </w:r>
      <w:r>
        <w:rPr>
          <w:rFonts w:hint="eastAsia" w:ascii="仿宋" w:hAnsi="仿宋" w:eastAsia="仿宋" w:cs="仿宋"/>
          <w:sz w:val="30"/>
          <w:szCs w:val="30"/>
        </w:rPr>
        <w:t>教育质量</w:t>
      </w:r>
      <w:r>
        <w:rPr>
          <w:rFonts w:hint="eastAsia" w:ascii="仿宋" w:hAnsi="仿宋" w:eastAsia="仿宋" w:cs="仿宋"/>
          <w:sz w:val="30"/>
          <w:szCs w:val="30"/>
        </w:rPr>
        <w:fldChar w:fldCharType="end"/>
      </w:r>
      <w:r>
        <w:rPr>
          <w:rFonts w:hint="eastAsia" w:ascii="仿宋" w:hAnsi="仿宋" w:eastAsia="仿宋" w:cs="仿宋"/>
          <w:sz w:val="30"/>
          <w:szCs w:val="30"/>
        </w:rPr>
        <w:t>。坚持教书育人，服务育人，环境育人方针，加强对学生的</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"https://www.baidu.com/s?wd=%E6%80%9D%E6%83%B3%E5%93%81%E5%BE%B7&amp;tn=SE_PcZhidaonwhc_ngpagmjz&amp;rsv_dl=gh_pc_zhidao" \t "_blank" </w:instrText>
      </w:r>
      <w:r>
        <w:rPr>
          <w:rFonts w:hint="eastAsia" w:ascii="仿宋" w:hAnsi="仿宋" w:eastAsia="仿宋" w:cs="仿宋"/>
          <w:sz w:val="30"/>
          <w:szCs w:val="30"/>
        </w:rPr>
        <w:fldChar w:fldCharType="separate"/>
      </w:r>
      <w:r>
        <w:rPr>
          <w:rFonts w:hint="eastAsia" w:ascii="仿宋" w:hAnsi="仿宋" w:eastAsia="仿宋" w:cs="仿宋"/>
          <w:sz w:val="30"/>
          <w:szCs w:val="30"/>
        </w:rPr>
        <w:t>思想品德</w:t>
      </w:r>
      <w:r>
        <w:rPr>
          <w:rFonts w:hint="eastAsia" w:ascii="仿宋" w:hAnsi="仿宋" w:eastAsia="仿宋" w:cs="仿宋"/>
          <w:sz w:val="30"/>
          <w:szCs w:val="30"/>
        </w:rPr>
        <w:fldChar w:fldCharType="end"/>
      </w:r>
      <w:r>
        <w:rPr>
          <w:rFonts w:hint="eastAsia" w:ascii="仿宋" w:hAnsi="仿宋" w:eastAsia="仿宋" w:cs="仿宋"/>
          <w:sz w:val="30"/>
          <w:szCs w:val="30"/>
        </w:rPr>
        <w:t>教育，使学生的德智体全面发展。实施小学义务教育。</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2．机构情况：独立编制核算机构1个。</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3．人员情况：2017年年末有在职人员34人，退休人员28人，特岗教师8人，同工同酬1人，当年退休1人，调出3人。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line="220"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从决算单位构成看，为北五岔镇学校单位决算。</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纳入北五岔镇学校</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年部门决算编制范围的单位名单见下表： </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1</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北五岔镇学校本级</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bl>
    <w:p>
      <w:pPr>
        <w:spacing w:line="220" w:lineRule="atLeast"/>
        <w:rPr>
          <w:rFonts w:hint="eastAsia" w:ascii="仿宋" w:hAnsi="仿宋" w:eastAsia="仿宋" w:cs="仿宋"/>
          <w:sz w:val="30"/>
          <w:szCs w:val="30"/>
        </w:rPr>
      </w:pPr>
    </w:p>
    <w:p>
      <w:pPr>
        <w:spacing w:line="220" w:lineRule="atLeast"/>
        <w:rPr>
          <w:rFonts w:hint="eastAsia" w:ascii="仿宋" w:hAnsi="仿宋" w:eastAsia="仿宋" w:cs="仿宋"/>
          <w:sz w:val="30"/>
          <w:szCs w:val="30"/>
        </w:rPr>
      </w:pPr>
    </w:p>
    <w:p>
      <w:pPr>
        <w:spacing w:line="220" w:lineRule="atLeast"/>
        <w:rPr>
          <w:rFonts w:hint="eastAsia" w:ascii="仿宋" w:hAnsi="仿宋" w:eastAsia="仿宋" w:cs="仿宋"/>
          <w:sz w:val="30"/>
          <w:szCs w:val="30"/>
        </w:rPr>
      </w:pPr>
    </w:p>
    <w:p>
      <w:pPr>
        <w:spacing w:line="220" w:lineRule="atLeast"/>
        <w:rPr>
          <w:rFonts w:hint="eastAsia" w:ascii="仿宋" w:hAnsi="仿宋" w:eastAsia="仿宋" w:cs="仿宋"/>
          <w:sz w:val="30"/>
          <w:szCs w:val="30"/>
        </w:rPr>
      </w:pPr>
    </w:p>
    <w:p>
      <w:pPr>
        <w:spacing w:line="220" w:lineRule="atLeast"/>
        <w:ind w:firstLine="600" w:firstLineChars="200"/>
        <w:rPr>
          <w:rFonts w:hint="eastAsia" w:ascii="仿宋" w:hAnsi="仿宋" w:eastAsia="仿宋" w:cs="仿宋"/>
          <w:sz w:val="30"/>
          <w:szCs w:val="30"/>
        </w:rPr>
      </w:pPr>
    </w:p>
    <w:p>
      <w:pPr>
        <w:spacing w:line="220" w:lineRule="atLeast"/>
        <w:ind w:firstLine="600" w:firstLineChars="200"/>
        <w:rPr>
          <w:rFonts w:hint="eastAsia" w:ascii="仿宋" w:hAnsi="仿宋" w:eastAsia="仿宋" w:cs="仿宋"/>
          <w:sz w:val="30"/>
          <w:szCs w:val="30"/>
        </w:rPr>
      </w:pPr>
    </w:p>
    <w:p>
      <w:pPr>
        <w:spacing w:line="220" w:lineRule="atLeast"/>
        <w:rPr>
          <w:rFonts w:hint="eastAsia"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收入431.09万元,与上年相比，增加11.02万元，增长2.62%，支出431.09万元,与上年相比，增加11.02万元，增长2.62%，结余0万元，与上年相比，增加（减少）0万元，增长（降低）0%。增减变化主要原因是：主要是人员工资调整增加收入及机关事业养老保险缴费支出。 </w:t>
      </w:r>
    </w:p>
    <w:p>
      <w:pPr>
        <w:spacing w:line="600" w:lineRule="exact"/>
        <w:ind w:firstLine="600" w:firstLineChars="200"/>
        <w:rPr>
          <w:rFonts w:ascii="仿宋_GB2312" w:eastAsia="仿宋_GB2312"/>
          <w:sz w:val="32"/>
          <w:szCs w:val="32"/>
        </w:rPr>
      </w:pPr>
      <w:r>
        <w:rPr>
          <w:rFonts w:hint="eastAsia" w:ascii="仿宋" w:hAnsi="仿宋" w:eastAsia="仿宋" w:cs="仿宋"/>
          <w:sz w:val="30"/>
          <w:szCs w:val="30"/>
        </w:rPr>
        <w:t>2017年度预算收入391.23万元，2017年度收入431.09万元,与预算相比，增加39.86万元，增长10.18%。主要是人员工资调整增加收入及机关事业养老保险缴费支出。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line="600" w:lineRule="exact"/>
        <w:ind w:firstLine="600" w:firstLineChars="200"/>
        <w:rPr>
          <w:rFonts w:hint="eastAsia" w:ascii="仿宋" w:hAnsi="仿宋" w:eastAsia="仿宋" w:cs="仿宋"/>
          <w:sz w:val="30"/>
          <w:szCs w:val="30"/>
          <w:lang w:val="en-US" w:eastAsia="zh-CN" w:bidi="ar"/>
        </w:rPr>
      </w:pPr>
      <w:r>
        <w:rPr>
          <w:rFonts w:hint="eastAsia" w:ascii="仿宋" w:hAnsi="仿宋" w:eastAsia="仿宋" w:cs="仿宋"/>
          <w:sz w:val="30"/>
          <w:szCs w:val="30"/>
        </w:rPr>
        <w:t xml:space="preserve"> 本年收入合计431.09万元，其中：财政拨款收入417.70万元，占96.89%；其他收入13.38万元，占3.11%。</w:t>
      </w:r>
      <w:r>
        <w:rPr>
          <w:rFonts w:hint="eastAsia" w:ascii="仿宋" w:hAnsi="仿宋" w:eastAsia="仿宋" w:cs="仿宋"/>
          <w:sz w:val="30"/>
          <w:szCs w:val="30"/>
          <w:lang w:val="en-US" w:eastAsia="zh-CN" w:bidi="ar"/>
        </w:rPr>
        <w:t>事业收入0万元，占0%；经营收入0万元，占0%；附属单位缴款0万元，占0%；</w:t>
      </w:r>
    </w:p>
    <w:p>
      <w:pPr>
        <w:spacing w:line="600" w:lineRule="exact"/>
        <w:ind w:firstLine="600" w:firstLineChars="200"/>
        <w:rPr>
          <w:rFonts w:ascii="仿宋_GB2312" w:eastAsia="仿宋_GB2312"/>
          <w:sz w:val="32"/>
          <w:szCs w:val="32"/>
        </w:rPr>
      </w:pPr>
      <w:r>
        <w:rPr>
          <w:rFonts w:hint="eastAsia" w:ascii="仿宋" w:hAnsi="仿宋" w:eastAsia="仿宋" w:cs="仿宋"/>
          <w:sz w:val="30"/>
          <w:szCs w:val="30"/>
          <w:lang w:val="en-US" w:eastAsia="zh-CN" w:bidi="ar"/>
        </w:rPr>
        <w:t>与预算相比情况：</w:t>
      </w:r>
      <w:r>
        <w:rPr>
          <w:rFonts w:hint="eastAsia" w:ascii="仿宋" w:hAnsi="仿宋" w:eastAsia="仿宋" w:cs="仿宋"/>
          <w:sz w:val="30"/>
          <w:szCs w:val="30"/>
        </w:rPr>
        <w:t>2017年度预算收入391.23万元，2017年度收入431.09万元,与预算相比，增加39.86万元，增长10.18%.。主要是人员工资调整增加收入及机关事业养老保险缴费支出。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本年支出合计431.09万元，2016年支出</w:t>
      </w:r>
      <w:r>
        <w:rPr>
          <w:rFonts w:ascii="仿宋" w:hAnsi="仿宋" w:eastAsia="仿宋" w:cs="仿宋"/>
          <w:sz w:val="30"/>
          <w:szCs w:val="30"/>
        </w:rPr>
        <w:t>420</w:t>
      </w:r>
      <w:r>
        <w:rPr>
          <w:rFonts w:hint="eastAsia" w:ascii="仿宋" w:hAnsi="仿宋" w:eastAsia="仿宋" w:cs="仿宋"/>
          <w:sz w:val="30"/>
          <w:szCs w:val="30"/>
        </w:rPr>
        <w:t>.</w:t>
      </w:r>
      <w:r>
        <w:rPr>
          <w:rFonts w:ascii="仿宋" w:hAnsi="仿宋" w:eastAsia="仿宋" w:cs="仿宋"/>
          <w:sz w:val="30"/>
          <w:szCs w:val="30"/>
        </w:rPr>
        <w:t>0</w:t>
      </w:r>
      <w:r>
        <w:rPr>
          <w:rFonts w:hint="eastAsia" w:ascii="仿宋" w:hAnsi="仿宋" w:eastAsia="仿宋" w:cs="仿宋"/>
          <w:sz w:val="30"/>
          <w:szCs w:val="30"/>
        </w:rPr>
        <w:t>7万元元，增长2.6%</w:t>
      </w:r>
      <w:r>
        <w:rPr>
          <w:rFonts w:hint="eastAsia" w:ascii="仿宋" w:hAnsi="仿宋" w:eastAsia="仿宋" w:cs="仿宋"/>
          <w:sz w:val="30"/>
          <w:szCs w:val="30"/>
          <w:lang w:eastAsia="zh-CN"/>
        </w:rPr>
        <w:t>。</w:t>
      </w:r>
      <w:r>
        <w:rPr>
          <w:rFonts w:hint="eastAsia" w:ascii="仿宋" w:hAnsi="仿宋" w:eastAsia="仿宋" w:cs="仿宋"/>
          <w:sz w:val="30"/>
          <w:szCs w:val="30"/>
        </w:rPr>
        <w:t>其中：基本支出395.06万元，占91.65%；项目支出36万元，占8.35%；上缴上级支出0万元；经营支出0万元；对附属单位补助支出0万元。增减变化的主要原因是：主要是人员工资调整增加收入及机关事业养老保险缴费支出。</w:t>
      </w: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与预算相比情况：</w:t>
      </w:r>
      <w:r>
        <w:rPr>
          <w:rFonts w:hint="eastAsia" w:ascii="仿宋" w:hAnsi="仿宋" w:eastAsia="仿宋" w:cs="仿宋"/>
          <w:sz w:val="30"/>
          <w:szCs w:val="30"/>
        </w:rPr>
        <w:t xml:space="preserve">预算支出391.23万元,与预算相比，增加39.86万元，增长10.18% </w:t>
      </w:r>
      <w:r>
        <w:rPr>
          <w:rFonts w:hint="eastAsia" w:ascii="仿宋" w:hAnsi="仿宋" w:eastAsia="仿宋" w:cs="仿宋"/>
          <w:sz w:val="30"/>
          <w:szCs w:val="30"/>
          <w:lang w:eastAsia="zh-CN"/>
        </w:rPr>
        <w:t>，</w:t>
      </w:r>
      <w:r>
        <w:rPr>
          <w:rFonts w:hint="eastAsia" w:ascii="仿宋" w:hAnsi="仿宋" w:eastAsia="仿宋" w:cs="仿宋"/>
          <w:sz w:val="30"/>
          <w:szCs w:val="30"/>
        </w:rPr>
        <w:t>增减变化的主要原因是：主要是人员工资调整增加收入及机关事业养老保险缴费支出。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2017年度财政拨款收入417.70万元，2016年财政拨款收入</w:t>
      </w:r>
      <w:r>
        <w:rPr>
          <w:rFonts w:ascii="仿宋" w:hAnsi="仿宋" w:eastAsia="仿宋" w:cs="仿宋"/>
          <w:sz w:val="30"/>
          <w:szCs w:val="30"/>
        </w:rPr>
        <w:t>417</w:t>
      </w:r>
      <w:r>
        <w:rPr>
          <w:rFonts w:hint="eastAsia" w:ascii="仿宋" w:hAnsi="仿宋" w:eastAsia="仿宋" w:cs="仿宋"/>
          <w:sz w:val="30"/>
          <w:szCs w:val="30"/>
        </w:rPr>
        <w:t>.</w:t>
      </w:r>
      <w:r>
        <w:rPr>
          <w:rFonts w:ascii="仿宋" w:hAnsi="仿宋" w:eastAsia="仿宋" w:cs="仿宋"/>
          <w:sz w:val="30"/>
          <w:szCs w:val="30"/>
        </w:rPr>
        <w:t>32</w:t>
      </w:r>
      <w:r>
        <w:rPr>
          <w:rFonts w:hint="eastAsia" w:ascii="仿宋" w:hAnsi="仿宋" w:eastAsia="仿宋" w:cs="仿宋"/>
          <w:sz w:val="30"/>
          <w:szCs w:val="30"/>
        </w:rPr>
        <w:t>万元，与上年相比，增加0.38万元，增长0.09%。增减变化的主要原因是：主要是人员工资调整增加收入</w:t>
      </w:r>
      <w:r>
        <w:rPr>
          <w:rFonts w:hint="eastAsia" w:ascii="仿宋" w:hAnsi="仿宋" w:eastAsia="仿宋" w:cs="仿宋"/>
          <w:sz w:val="30"/>
          <w:szCs w:val="30"/>
          <w:lang w:eastAsia="zh-CN"/>
        </w:rPr>
        <w:t>；财政拨款支出</w:t>
      </w:r>
      <w:r>
        <w:rPr>
          <w:rFonts w:hint="eastAsia" w:ascii="仿宋" w:hAnsi="仿宋" w:eastAsia="仿宋" w:cs="仿宋"/>
          <w:sz w:val="30"/>
          <w:szCs w:val="30"/>
          <w:lang w:val="en-US" w:eastAsia="zh-CN"/>
        </w:rPr>
        <w:t>417.7万元，与上年对比</w:t>
      </w:r>
      <w:r>
        <w:rPr>
          <w:rFonts w:hint="eastAsia" w:ascii="仿宋" w:hAnsi="仿宋" w:eastAsia="仿宋" w:cs="仿宋"/>
          <w:sz w:val="30"/>
          <w:szCs w:val="30"/>
        </w:rPr>
        <w:t>增加0.38万元，增长0.09%。其中：基本支出381.67万元，项目支出36.03万元。财政拨款结转结余0万元。增减变化的主要原因是：主要是人员工资调整增加收入及机关事业养老保险缴费支出。财政拨款结转结余0万元</w:t>
      </w:r>
      <w:r>
        <w:rPr>
          <w:rFonts w:hint="eastAsia" w:ascii="仿宋" w:hAnsi="仿宋" w:eastAsia="仿宋" w:cs="仿宋"/>
          <w:sz w:val="30"/>
          <w:szCs w:val="30"/>
          <w:lang w:eastAsia="zh-CN"/>
        </w:rPr>
        <w:t>，</w:t>
      </w:r>
      <w:r>
        <w:rPr>
          <w:rFonts w:hint="eastAsia" w:ascii="仿宋" w:hAnsi="仿宋" w:eastAsia="仿宋" w:cs="仿宋"/>
          <w:sz w:val="30"/>
          <w:szCs w:val="30"/>
        </w:rPr>
        <w:t>与上年相比，增加0万元，增长0%。</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与预算相比增加了26.47万元，增长6.76%。增减变化的主要原因是：主要是人员工资调整增加收入及机关事业养老保险缴费支出。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2017年度一般公共预算财政拨款支出417.70万元。2016年财政拨款收入</w:t>
      </w:r>
      <w:r>
        <w:rPr>
          <w:rFonts w:ascii="仿宋" w:hAnsi="仿宋" w:eastAsia="仿宋" w:cs="仿宋"/>
          <w:sz w:val="30"/>
          <w:szCs w:val="30"/>
        </w:rPr>
        <w:t>417</w:t>
      </w:r>
      <w:r>
        <w:rPr>
          <w:rFonts w:hint="eastAsia" w:ascii="仿宋" w:hAnsi="仿宋" w:eastAsia="仿宋" w:cs="仿宋"/>
          <w:sz w:val="30"/>
          <w:szCs w:val="30"/>
        </w:rPr>
        <w:t>.</w:t>
      </w:r>
      <w:r>
        <w:rPr>
          <w:rFonts w:ascii="仿宋" w:hAnsi="仿宋" w:eastAsia="仿宋" w:cs="仿宋"/>
          <w:sz w:val="30"/>
          <w:szCs w:val="30"/>
        </w:rPr>
        <w:t>32</w:t>
      </w:r>
      <w:r>
        <w:rPr>
          <w:rFonts w:hint="eastAsia" w:ascii="仿宋" w:hAnsi="仿宋" w:eastAsia="仿宋" w:cs="仿宋"/>
          <w:sz w:val="30"/>
          <w:szCs w:val="30"/>
        </w:rPr>
        <w:t>万元，与上年相比，增加0.38万元，增长0.09%。</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其中：按功能分类科目，教育支出</w:t>
      </w:r>
      <w:r>
        <w:rPr>
          <w:rFonts w:hint="eastAsia" w:ascii="仿宋" w:hAnsi="仿宋" w:eastAsia="仿宋" w:cs="仿宋"/>
          <w:sz w:val="30"/>
          <w:szCs w:val="30"/>
          <w:lang w:val="en-US" w:eastAsia="zh-CN"/>
        </w:rPr>
        <w:t>391.16</w:t>
      </w:r>
      <w:r>
        <w:rPr>
          <w:rFonts w:hint="eastAsia" w:ascii="仿宋" w:hAnsi="仿宋" w:eastAsia="仿宋" w:cs="仿宋"/>
          <w:sz w:val="30"/>
          <w:szCs w:val="30"/>
        </w:rPr>
        <w:t>万元，社会保障和就业支出支出</w:t>
      </w:r>
      <w:r>
        <w:rPr>
          <w:rFonts w:hint="eastAsia" w:ascii="仿宋" w:hAnsi="仿宋" w:eastAsia="仿宋" w:cs="仿宋"/>
          <w:sz w:val="30"/>
          <w:szCs w:val="30"/>
          <w:lang w:val="en-US" w:eastAsia="zh-CN"/>
        </w:rPr>
        <w:t>39.93</w:t>
      </w:r>
      <w:r>
        <w:rPr>
          <w:rFonts w:hint="eastAsia" w:ascii="仿宋" w:hAnsi="仿宋" w:eastAsia="仿宋" w:cs="仿宋"/>
          <w:sz w:val="30"/>
          <w:szCs w:val="30"/>
        </w:rPr>
        <w:t xml:space="preserve">万元。按经济分类科目，工资福利支出348.30万元，商品和服务支出25.75万元，对个人和家庭补助42.19万元，其他资本性支出1.46万元。增减变化的主要原因是：主要是人员工资调整增加收入及机关事业养老保险缴费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与预算相比增加了26.47万元，增长6.76%</w:t>
      </w:r>
      <w:r>
        <w:rPr>
          <w:rFonts w:hint="eastAsia" w:ascii="仿宋" w:hAnsi="仿宋" w:eastAsia="仿宋" w:cs="仿宋"/>
          <w:sz w:val="30"/>
          <w:szCs w:val="30"/>
          <w:lang w:eastAsia="zh-CN"/>
        </w:rPr>
        <w:t>，</w:t>
      </w:r>
      <w:r>
        <w:rPr>
          <w:rFonts w:hint="eastAsia" w:ascii="仿宋" w:hAnsi="仿宋" w:eastAsia="仿宋" w:cs="仿宋"/>
          <w:sz w:val="30"/>
          <w:szCs w:val="30"/>
        </w:rPr>
        <w:t>增减变化的主要原因是：主要是人员工资调整增加收入及机关事业养老保险缴费支出。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政府性基金预算财政拨款收入0万元，与预算相比，增加0万元，增长0%。增减变化的主要原因是：年初无预算安排。政府性基金预算财政拨款支出0万元，与预算相比，增加0万元，增长0%。增减变化的主要原因是：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与预算相比情况。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政府性基金预算财政拨款收入0万元，与预算相比，增加0万元，增长0%。增减变化的主要原因是：年初无预算安排。政府性基金预算财政拨款支出0万元，与预算相比，增加0万元，增长0%。增减变化的主要原因是：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rPr>
      </w:pPr>
      <w:r>
        <w:rPr>
          <w:rFonts w:hint="eastAsia" w:ascii="仿宋" w:hAnsi="仿宋" w:eastAsia="仿宋" w:cs="仿宋"/>
          <w:snapToGrid/>
          <w:kern w:val="0"/>
          <w:sz w:val="30"/>
          <w:szCs w:val="30"/>
          <w:lang w:val="en-US" w:eastAsia="zh-CN" w:bidi="ar"/>
        </w:rPr>
        <w:t>2017年度政府性基金预算支出0万元。与预算相比，增加0万元，增长0%。</w:t>
      </w:r>
      <w:r>
        <w:rPr>
          <w:rFonts w:hint="eastAsia" w:ascii="仿宋" w:hAnsi="仿宋" w:eastAsia="仿宋" w:cs="仿宋"/>
          <w:sz w:val="30"/>
          <w:szCs w:val="30"/>
        </w:rPr>
        <w:t>按功能分类科目，教育支出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万元，社会保障和就业支出支出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万元。按经济分类科目，工资福利支出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万元，商品和服务支出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万元，对个人和家庭补助</w:t>
      </w:r>
      <w:r>
        <w:rPr>
          <w:rFonts w:hint="eastAsia" w:ascii="仿宋" w:hAnsi="仿宋" w:eastAsia="仿宋" w:cs="仿宋"/>
          <w:sz w:val="30"/>
          <w:szCs w:val="30"/>
          <w:lang w:val="en-US" w:eastAsia="zh-CN"/>
        </w:rPr>
        <w:t>0</w:t>
      </w:r>
      <w:r>
        <w:rPr>
          <w:rFonts w:hint="eastAsia" w:ascii="仿宋" w:hAnsi="仿宋" w:eastAsia="仿宋" w:cs="仿宋"/>
          <w:sz w:val="30"/>
          <w:szCs w:val="30"/>
        </w:rPr>
        <w:t>万元，其他资本性支出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与预算相比情况。</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政府性基金预算财政拨款支出0万元，与预算相比，增加0万元，增长0%。增减变化的主要原因是：年初无预算安排。政府性基金预算财政拨款支出0万元，与预算相比，增加0万元，增长0%。增减变化的主要原因是：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年末结转结余0万元。与上年相比，增加0万元，增长0%。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其中财政拨款结转结余0万元。与上年相比，增加0万元，增长0%。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其他有关说明内容。</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一般公共预算“三公”经费支出决算0万元，比上年增加0万元，增长0%，增加原因是年初无预算安排。其中，因公出国（境）费支出0万元，占0%，比上年增加0万元，增长0%，增加原因是年初无预算安排；公务用车购置及运行维护费支出0万元，占0%，比上年增加0万元，增长0%，增加原因是年初无预算安排；公务接待费支出0万元，占0%，比上年增加0万元，增长0%，增加原因是年初无预算安排。具体情况如下：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因公出国（境）费支出0万元。单位全年使用一般公共预算财政拨款安排的出国（境）团组0个，累计0人次。开支内容包括：年初无预算安排。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公务用车购置及运行维护费0万元,其中，公务用车购置0万元，公务用车运行维护费0万元。主要用于年初无预算安排等。2017年，单位一般公共财政拨款安排的公务用车购置量0辆，保有量为0辆。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公务接待费0万元。具体是：国内公务接待支出0万元，主要是年初无预算安排等。单位国内公务接待0批次，0人次。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与预算相比情况。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2017年度年初一般公共预算“三公”经费支出决算0万元，决算比预算增加0万元，增长0%，增加原因是年初无预算安排。其中，因公出国（境）费支出0万元，占0%，决算比预算增加0万元，增长0%，增加原因是年初无预算安排；公务用车购置及运行维护费支出0万元，占0%，决算比预算增加0万元，增长0%，增加原因是年初无预算安排；公务接待费支出0万元，占0%，决算比预算增加0万元，增长0%，增加原因是年初无预算安排。</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2017年度单位机关运行经费支出0万元，比上年增加0万元，增长0%，主要原因是本单位为事业单位，有事业运行经费，无机关运行经费。 </w:t>
      </w:r>
    </w:p>
    <w:p>
      <w:pPr>
        <w:spacing w:after="0" w:line="520" w:lineRule="exact"/>
        <w:ind w:firstLine="600" w:firstLineChars="200"/>
        <w:rPr>
          <w:rFonts w:hint="eastAsia" w:ascii="仿宋" w:hAnsi="仿宋" w:eastAsia="仿宋" w:cs="仿宋"/>
          <w:sz w:val="30"/>
          <w:szCs w:val="30"/>
          <w:lang w:val="en-US" w:eastAsia="zh-CN" w:bidi="ar"/>
        </w:rPr>
      </w:pPr>
      <w:r>
        <w:rPr>
          <w:rFonts w:hint="eastAsia" w:ascii="仿宋" w:hAnsi="仿宋" w:eastAsia="仿宋" w:cs="仿宋"/>
          <w:sz w:val="30"/>
          <w:szCs w:val="30"/>
          <w:lang w:val="en-US" w:eastAsia="zh-CN" w:bidi="ar"/>
        </w:rPr>
        <w:t>其他有关说明内容。</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2017年日常公用经费10.76万元，2016年公用经费15.18万元，2017比2016年减少4.42万元，降低29.12%，原因是节俭经费。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单位政府采购计划0.85万元，其中：政府采购货物支出0.85万元、政府采购工程支出0万元、政府采购服务支出0万元；实际采购0.84万元，其中：政府采购货物支出0.84万元、政府采购工程支出0万元、政府采购服务支出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截至2017年12月31日，资产总计</w:t>
      </w:r>
      <w:r>
        <w:rPr>
          <w:rFonts w:hint="eastAsia" w:ascii="仿宋" w:hAnsi="仿宋" w:eastAsia="仿宋" w:cs="仿宋"/>
          <w:sz w:val="30"/>
          <w:szCs w:val="30"/>
          <w:lang w:val="en-US" w:eastAsia="zh-CN"/>
        </w:rPr>
        <w:t>813.01</w:t>
      </w:r>
      <w:r>
        <w:rPr>
          <w:rFonts w:hint="eastAsia" w:ascii="仿宋" w:hAnsi="仿宋" w:eastAsia="仿宋" w:cs="仿宋"/>
          <w:sz w:val="30"/>
          <w:szCs w:val="30"/>
        </w:rPr>
        <w:t>万元，其中：流动资产18.86万元，固定资产794.15万元，其中：房屋14826.60（平方米），价值590.50万元，共有车辆0辆，价值0万元，其中：部级领导干部用车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辆、一般公务用车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辆、其他用车</w:t>
      </w:r>
      <w:r>
        <w:rPr>
          <w:rFonts w:hint="eastAsia" w:ascii="仿宋" w:hAnsi="仿宋" w:eastAsia="仿宋" w:cs="仿宋"/>
          <w:sz w:val="30"/>
          <w:szCs w:val="30"/>
          <w:lang w:val="en-US" w:eastAsia="zh-CN"/>
        </w:rPr>
        <w:t>0</w:t>
      </w:r>
      <w:r>
        <w:rPr>
          <w:rFonts w:hint="eastAsia" w:ascii="仿宋" w:hAnsi="仿宋" w:eastAsia="仿宋" w:cs="仿宋"/>
          <w:sz w:val="30"/>
          <w:szCs w:val="30"/>
        </w:rPr>
        <w:t>辆（其他用车主要是：</w:t>
      </w:r>
      <w:r>
        <w:rPr>
          <w:rFonts w:hint="eastAsia" w:ascii="仿宋" w:hAnsi="仿宋" w:eastAsia="仿宋" w:cs="仿宋"/>
          <w:sz w:val="30"/>
          <w:szCs w:val="30"/>
          <w:lang w:eastAsia="zh-CN"/>
        </w:rPr>
        <w:t>无</w:t>
      </w:r>
      <w:r>
        <w:rPr>
          <w:rFonts w:hint="eastAsia" w:ascii="仿宋" w:hAnsi="仿宋" w:eastAsia="仿宋" w:cs="仿宋"/>
          <w:sz w:val="30"/>
          <w:szCs w:val="30"/>
        </w:rPr>
        <w:t>）；单位价值50万元以上通用设备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台（套）、单位价值100万元以上专用设备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台（套），其他固定资产价值203.65万元。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截至20017年12月31日，单位资产有偿使用收入合计0万元，资产处置收入合计0万元。其中：已缴国库0万元， 已缴财政专户0万元，应缴未缴0万元，单位留用0万元。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年度，本部门单位实行绩效管理的项目</w:t>
      </w:r>
      <w:r>
        <w:rPr>
          <w:rFonts w:hint="eastAsia" w:ascii="仿宋" w:hAnsi="仿宋" w:eastAsia="仿宋" w:cs="仿宋"/>
          <w:sz w:val="30"/>
          <w:szCs w:val="30"/>
          <w:lang w:val="en-US" w:eastAsia="zh-CN"/>
        </w:rPr>
        <w:t>0</w:t>
      </w:r>
      <w:r>
        <w:rPr>
          <w:rFonts w:hint="eastAsia" w:ascii="仿宋" w:hAnsi="仿宋" w:eastAsia="仿宋" w:cs="仿宋"/>
          <w:sz w:val="30"/>
          <w:szCs w:val="30"/>
        </w:rPr>
        <w:t>个，涉及预算</w:t>
      </w:r>
      <w:r>
        <w:rPr>
          <w:rFonts w:hint="eastAsia" w:ascii="仿宋" w:hAnsi="仿宋" w:eastAsia="仿宋" w:cs="仿宋"/>
          <w:sz w:val="30"/>
          <w:szCs w:val="30"/>
          <w:lang w:val="en-US" w:eastAsia="zh-CN"/>
        </w:rPr>
        <w:t>0</w:t>
      </w:r>
      <w:r>
        <w:rPr>
          <w:rFonts w:hint="eastAsia" w:ascii="仿宋" w:hAnsi="仿宋" w:eastAsia="仿宋" w:cs="仿宋"/>
          <w:sz w:val="30"/>
          <w:szCs w:val="30"/>
        </w:rPr>
        <w:t>万元，项目支出决算36.03万元。年末本部门单位民生项目和重点支出项目的绩效评价开展情况及结果：</w:t>
      </w:r>
      <w:r>
        <w:rPr>
          <w:rFonts w:hint="eastAsia" w:ascii="仿宋" w:hAnsi="仿宋" w:eastAsia="仿宋" w:cs="仿宋"/>
          <w:sz w:val="30"/>
          <w:szCs w:val="30"/>
          <w:lang w:eastAsia="zh-CN"/>
        </w:rPr>
        <w:t>无项目。</w:t>
      </w:r>
    </w:p>
    <w:p>
      <w:pPr>
        <w:spacing w:after="0" w:line="520" w:lineRule="exact"/>
        <w:ind w:firstLine="600" w:firstLineChars="200"/>
        <w:rPr>
          <w:rFonts w:hint="eastAsia"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bookmarkStart w:id="0" w:name="_GoBack"/>
      <w:bookmarkEnd w:id="0"/>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本单位支出功能分类说明。2050201：指学前教育。2050202：指小学教育</w:t>
      </w:r>
      <w:r>
        <w:rPr>
          <w:rFonts w:hint="eastAsia" w:ascii="仿宋" w:hAnsi="仿宋" w:eastAsia="仿宋" w:cs="仿宋"/>
          <w:sz w:val="30"/>
          <w:szCs w:val="30"/>
          <w:lang w:val="en-US" w:eastAsia="zh-CN"/>
        </w:rPr>
        <w:t>;</w:t>
      </w:r>
      <w:r>
        <w:rPr>
          <w:rFonts w:hint="eastAsia" w:ascii="仿宋" w:hAnsi="仿宋" w:eastAsia="仿宋" w:cs="仿宋"/>
          <w:sz w:val="30"/>
          <w:szCs w:val="30"/>
        </w:rPr>
        <w:t>2050999：指其他教育费附加安排的支出</w:t>
      </w:r>
      <w:r>
        <w:rPr>
          <w:rFonts w:hint="eastAsia" w:ascii="仿宋" w:hAnsi="仿宋" w:eastAsia="仿宋" w:cs="仿宋"/>
          <w:sz w:val="30"/>
          <w:szCs w:val="30"/>
          <w:lang w:val="en-US" w:eastAsia="zh-CN"/>
        </w:rPr>
        <w:t>;</w:t>
      </w:r>
      <w:r>
        <w:rPr>
          <w:rFonts w:hint="eastAsia" w:ascii="仿宋" w:hAnsi="仿宋" w:eastAsia="仿宋" w:cs="仿宋"/>
          <w:sz w:val="30"/>
          <w:szCs w:val="30"/>
        </w:rPr>
        <w:t>2080505：指机关事业单位基本养老保险缴费支出</w:t>
      </w:r>
      <w:r>
        <w:rPr>
          <w:rFonts w:hint="eastAsia" w:ascii="仿宋" w:hAnsi="仿宋" w:eastAsia="仿宋" w:cs="仿宋"/>
          <w:sz w:val="30"/>
          <w:szCs w:val="30"/>
          <w:lang w:val="en-US" w:eastAsia="zh-CN"/>
        </w:rPr>
        <w:t>.</w:t>
      </w:r>
      <w:r>
        <w:rPr>
          <w:rFonts w:hint="eastAsia" w:ascii="仿宋" w:hAnsi="仿宋" w:eastAsia="仿宋" w:cs="仿宋"/>
          <w:sz w:val="30"/>
          <w:szCs w:val="30"/>
        </w:rPr>
        <w:t xml:space="preserve"> </w:t>
      </w:r>
    </w:p>
    <w:p>
      <w:pPr>
        <w:spacing w:line="220" w:lineRule="atLeast"/>
        <w:jc w:val="both"/>
        <w:rPr>
          <w:rFonts w:hint="eastAsia"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三十、《</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p>
    <w:p>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98501904">
    <w:nsid w:val="59515310"/>
    <w:multiLevelType w:val="multilevel"/>
    <w:tmpl w:val="59515310"/>
    <w:lvl w:ilvl="0" w:tentative="1">
      <w:start w:val="1"/>
      <w:numFmt w:val="japaneseCounting"/>
      <w:lvlText w:val="%1、"/>
      <w:lvlJc w:val="left"/>
      <w:pPr>
        <w:ind w:left="1320" w:hanging="720"/>
      </w:pPr>
      <w:rPr>
        <w:rFonts w:hint="default"/>
      </w:rPr>
    </w:lvl>
    <w:lvl w:ilvl="1" w:tentative="1">
      <w:start w:val="1"/>
      <w:numFmt w:val="lowerLetter"/>
      <w:lvlText w:val="%2)"/>
      <w:lvlJc w:val="left"/>
      <w:pPr>
        <w:ind w:left="1440" w:hanging="420"/>
      </w:pPr>
    </w:lvl>
    <w:lvl w:ilvl="2" w:tentative="1">
      <w:start w:val="1"/>
      <w:numFmt w:val="lowerRoman"/>
      <w:lvlText w:val="%3."/>
      <w:lvlJc w:val="right"/>
      <w:pPr>
        <w:ind w:left="1860" w:hanging="420"/>
      </w:pPr>
    </w:lvl>
    <w:lvl w:ilvl="3" w:tentative="1">
      <w:start w:val="1"/>
      <w:numFmt w:val="decimal"/>
      <w:lvlText w:val="%4."/>
      <w:lvlJc w:val="left"/>
      <w:pPr>
        <w:ind w:left="2280" w:hanging="420"/>
      </w:pPr>
    </w:lvl>
    <w:lvl w:ilvl="4" w:tentative="1">
      <w:start w:val="1"/>
      <w:numFmt w:val="lowerLetter"/>
      <w:lvlText w:val="%5)"/>
      <w:lvlJc w:val="left"/>
      <w:pPr>
        <w:ind w:left="2700" w:hanging="420"/>
      </w:pPr>
    </w:lvl>
    <w:lvl w:ilvl="5" w:tentative="1">
      <w:start w:val="1"/>
      <w:numFmt w:val="lowerRoman"/>
      <w:lvlText w:val="%6."/>
      <w:lvlJc w:val="right"/>
      <w:pPr>
        <w:ind w:left="3120" w:hanging="420"/>
      </w:pPr>
    </w:lvl>
    <w:lvl w:ilvl="6" w:tentative="1">
      <w:start w:val="1"/>
      <w:numFmt w:val="decimal"/>
      <w:lvlText w:val="%7."/>
      <w:lvlJc w:val="left"/>
      <w:pPr>
        <w:ind w:left="3540" w:hanging="420"/>
      </w:pPr>
    </w:lvl>
    <w:lvl w:ilvl="7" w:tentative="1">
      <w:start w:val="1"/>
      <w:numFmt w:val="lowerLetter"/>
      <w:lvlText w:val="%8)"/>
      <w:lvlJc w:val="left"/>
      <w:pPr>
        <w:ind w:left="3960" w:hanging="420"/>
      </w:pPr>
    </w:lvl>
    <w:lvl w:ilvl="8" w:tentative="1">
      <w:start w:val="1"/>
      <w:numFmt w:val="lowerRoman"/>
      <w:lvlText w:val="%9."/>
      <w:lvlJc w:val="right"/>
      <w:pPr>
        <w:ind w:left="4380" w:hanging="420"/>
      </w:pPr>
    </w:lvl>
  </w:abstractNum>
  <w:num w:numId="1">
    <w:abstractNumId w:val="14985019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020E2C"/>
    <w:rsid w:val="0009344A"/>
    <w:rsid w:val="000A3FF2"/>
    <w:rsid w:val="000C6977"/>
    <w:rsid w:val="000F4E33"/>
    <w:rsid w:val="00107AB6"/>
    <w:rsid w:val="00116FBC"/>
    <w:rsid w:val="001358FA"/>
    <w:rsid w:val="001E34FA"/>
    <w:rsid w:val="001E610E"/>
    <w:rsid w:val="00213721"/>
    <w:rsid w:val="002236D4"/>
    <w:rsid w:val="0023560C"/>
    <w:rsid w:val="003036BF"/>
    <w:rsid w:val="00321AFD"/>
    <w:rsid w:val="003227E9"/>
    <w:rsid w:val="003475DA"/>
    <w:rsid w:val="00366F70"/>
    <w:rsid w:val="003D67E8"/>
    <w:rsid w:val="00472A92"/>
    <w:rsid w:val="004A1616"/>
    <w:rsid w:val="004B2DB0"/>
    <w:rsid w:val="004C6291"/>
    <w:rsid w:val="004C641D"/>
    <w:rsid w:val="004F67B6"/>
    <w:rsid w:val="00512571"/>
    <w:rsid w:val="00523F41"/>
    <w:rsid w:val="00546BA8"/>
    <w:rsid w:val="005F7240"/>
    <w:rsid w:val="00645D0A"/>
    <w:rsid w:val="006557E3"/>
    <w:rsid w:val="0067477B"/>
    <w:rsid w:val="00675306"/>
    <w:rsid w:val="00683A7B"/>
    <w:rsid w:val="006F4DCF"/>
    <w:rsid w:val="00726516"/>
    <w:rsid w:val="007603E0"/>
    <w:rsid w:val="0076050B"/>
    <w:rsid w:val="00770165"/>
    <w:rsid w:val="007971F4"/>
    <w:rsid w:val="007D4EC4"/>
    <w:rsid w:val="007D568F"/>
    <w:rsid w:val="00810F32"/>
    <w:rsid w:val="008268B1"/>
    <w:rsid w:val="0083613C"/>
    <w:rsid w:val="008703D7"/>
    <w:rsid w:val="008961D5"/>
    <w:rsid w:val="008C5844"/>
    <w:rsid w:val="008E1B1F"/>
    <w:rsid w:val="00910325"/>
    <w:rsid w:val="009410C4"/>
    <w:rsid w:val="009B6E7E"/>
    <w:rsid w:val="009D76B6"/>
    <w:rsid w:val="009E65AC"/>
    <w:rsid w:val="009F44F4"/>
    <w:rsid w:val="00A30F81"/>
    <w:rsid w:val="00A65D67"/>
    <w:rsid w:val="00AA2767"/>
    <w:rsid w:val="00B05BAF"/>
    <w:rsid w:val="00B62A90"/>
    <w:rsid w:val="00B9594E"/>
    <w:rsid w:val="00BA11EE"/>
    <w:rsid w:val="00BA2552"/>
    <w:rsid w:val="00BB05FF"/>
    <w:rsid w:val="00BF0012"/>
    <w:rsid w:val="00C21ED3"/>
    <w:rsid w:val="00C26C17"/>
    <w:rsid w:val="00C43A2A"/>
    <w:rsid w:val="00C83739"/>
    <w:rsid w:val="00CC0574"/>
    <w:rsid w:val="00CF2088"/>
    <w:rsid w:val="00CF6DD0"/>
    <w:rsid w:val="00D47985"/>
    <w:rsid w:val="00D647B5"/>
    <w:rsid w:val="00D9131F"/>
    <w:rsid w:val="00DE4465"/>
    <w:rsid w:val="00E12352"/>
    <w:rsid w:val="00E25183"/>
    <w:rsid w:val="00E9353A"/>
    <w:rsid w:val="00ED7C27"/>
    <w:rsid w:val="00EE672C"/>
    <w:rsid w:val="00F01C85"/>
    <w:rsid w:val="00F03547"/>
    <w:rsid w:val="00F717CF"/>
    <w:rsid w:val="00F7303A"/>
    <w:rsid w:val="00F816EF"/>
    <w:rsid w:val="00F960B3"/>
    <w:rsid w:val="00FD3371"/>
    <w:rsid w:val="00FF5875"/>
    <w:rsid w:val="0DBF6E26"/>
    <w:rsid w:val="0E250E22"/>
    <w:rsid w:val="0E7004FD"/>
    <w:rsid w:val="111E6C57"/>
    <w:rsid w:val="1C400AD9"/>
    <w:rsid w:val="27727321"/>
    <w:rsid w:val="30563608"/>
    <w:rsid w:val="3C5E70A5"/>
    <w:rsid w:val="3DCC6079"/>
    <w:rsid w:val="457E7C31"/>
    <w:rsid w:val="4CBC4315"/>
    <w:rsid w:val="4DD1688D"/>
    <w:rsid w:val="50BE2DD6"/>
    <w:rsid w:val="586D47E8"/>
    <w:rsid w:val="59175641"/>
    <w:rsid w:val="5A4C0F09"/>
    <w:rsid w:val="5E4A5A11"/>
    <w:rsid w:val="5EB33B30"/>
    <w:rsid w:val="5EEF16EF"/>
    <w:rsid w:val="72546B3A"/>
    <w:rsid w:val="769E02A4"/>
    <w:rsid w:val="785205A1"/>
    <w:rsid w:val="794C113A"/>
    <w:rsid w:val="7A310EF7"/>
    <w:rsid w:val="7F2677F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Layout w:type="fixed"/>
      <w:tblCellMar>
        <w:top w:w="0" w:type="dxa"/>
        <w:left w:w="108" w:type="dxa"/>
        <w:bottom w:w="0" w:type="dxa"/>
        <w:right w:w="108" w:type="dxa"/>
      </w:tblCellMar>
    </w:tblPr>
  </w:style>
  <w:style w:type="paragraph" w:styleId="2">
    <w:name w:val="annotation text"/>
    <w:basedOn w:val="1"/>
    <w:unhideWhenUsed/>
    <w:qFormat/>
    <w:uiPriority w:val="99"/>
  </w:style>
  <w:style w:type="paragraph" w:styleId="3">
    <w:name w:val="Balloon Text"/>
    <w:basedOn w:val="1"/>
    <w:link w:val="14"/>
    <w:unhideWhenUsed/>
    <w:qFormat/>
    <w:uiPriority w:val="99"/>
    <w:pPr>
      <w:spacing w:after="0"/>
    </w:pPr>
    <w:rPr>
      <w:sz w:val="18"/>
      <w:szCs w:val="18"/>
    </w:rPr>
  </w:style>
  <w:style w:type="paragraph" w:styleId="4">
    <w:name w:val="footer"/>
    <w:basedOn w:val="1"/>
    <w:link w:val="12"/>
    <w:unhideWhenUsed/>
    <w:qFormat/>
    <w:uiPriority w:val="99"/>
    <w:pPr>
      <w:tabs>
        <w:tab w:val="center" w:pos="4153"/>
        <w:tab w:val="right" w:pos="8306"/>
      </w:tabs>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character" w:styleId="7">
    <w:name w:val="Hyperlink"/>
    <w:basedOn w:val="6"/>
    <w:unhideWhenUsed/>
    <w:qFormat/>
    <w:uiPriority w:val="99"/>
    <w:rPr>
      <w:color w:val="0000FF"/>
      <w:u w:val="single"/>
    </w:rPr>
  </w:style>
  <w:style w:type="character" w:styleId="8">
    <w:name w:val="annotation reference"/>
    <w:basedOn w:val="6"/>
    <w:unhideWhenUsed/>
    <w:qFormat/>
    <w:uiPriority w:val="99"/>
    <w:rPr>
      <w:sz w:val="21"/>
      <w:szCs w:val="21"/>
    </w:rPr>
  </w:style>
  <w:style w:type="table" w:styleId="10">
    <w:name w:val="Table Grid"/>
    <w:basedOn w:val="9"/>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5"/>
    <w:semiHidden/>
    <w:qFormat/>
    <w:uiPriority w:val="99"/>
    <w:rPr>
      <w:rFonts w:ascii="Tahoma" w:hAnsi="Tahoma" w:eastAsia="微软雅黑"/>
      <w:kern w:val="0"/>
      <w:sz w:val="18"/>
      <w:szCs w:val="18"/>
    </w:rPr>
  </w:style>
  <w:style w:type="character" w:customStyle="1" w:styleId="12">
    <w:name w:val="页脚 Char"/>
    <w:basedOn w:val="6"/>
    <w:link w:val="4"/>
    <w:semiHidden/>
    <w:qFormat/>
    <w:uiPriority w:val="99"/>
    <w:rPr>
      <w:rFonts w:ascii="Tahoma" w:hAnsi="Tahoma" w:eastAsia="微软雅黑"/>
      <w:kern w:val="0"/>
      <w:sz w:val="18"/>
      <w:szCs w:val="18"/>
    </w:rPr>
  </w:style>
  <w:style w:type="paragraph" w:customStyle="1" w:styleId="13">
    <w:name w:val="List Paragraph"/>
    <w:basedOn w:val="1"/>
    <w:qFormat/>
    <w:uiPriority w:val="34"/>
    <w:pPr>
      <w:ind w:firstLine="420" w:firstLineChars="200"/>
    </w:pPr>
  </w:style>
  <w:style w:type="character" w:customStyle="1" w:styleId="14">
    <w:name w:val="批注框文本 Char"/>
    <w:basedOn w:val="6"/>
    <w:link w:val="3"/>
    <w:semiHidden/>
    <w:qFormat/>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丰华文化用品广场</Company>
  <Pages>4</Pages>
  <Words>361</Words>
  <Characters>2059</Characters>
  <Lines>17</Lines>
  <Paragraphs>4</Paragraphs>
  <TotalTime>0</TotalTime>
  <ScaleCrop>false</ScaleCrop>
  <LinksUpToDate>false</LinksUpToDate>
  <CharactersWithSpaces>2416</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2019-05-06T04:06:02Z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