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ascii="仿宋" w:hAnsi="仿宋" w:eastAsia="仿宋" w:cs="仿宋"/>
          <w:sz w:val="30"/>
          <w:szCs w:val="30"/>
        </w:rPr>
      </w:pPr>
      <w:r>
        <w:rPr>
          <w:rFonts w:hint="eastAsia" w:ascii="仿宋" w:hAnsi="仿宋" w:eastAsia="仿宋" w:cs="仿宋"/>
          <w:sz w:val="36"/>
          <w:szCs w:val="36"/>
        </w:rPr>
        <w:t>2017年度机关事务管理局（单位）部门决算公开说明</w:t>
      </w: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一、部门单位基本情况，包括：部门主要职能和机构设置情况、年末编制情况、实有人数情况等。 </w:t>
      </w:r>
    </w:p>
    <w:p>
      <w:pPr>
        <w:spacing w:line="560" w:lineRule="exact"/>
        <w:rPr>
          <w:rFonts w:ascii="仿宋" w:hAnsi="仿宋" w:eastAsia="仿宋" w:cs="仿宋"/>
          <w:bCs/>
          <w:sz w:val="32"/>
          <w:szCs w:val="32"/>
        </w:rPr>
      </w:pPr>
      <w:r>
        <w:rPr>
          <w:rFonts w:hint="eastAsia" w:ascii="仿宋" w:hAnsi="仿宋" w:eastAsia="仿宋" w:cs="仿宋"/>
          <w:bCs/>
          <w:sz w:val="32"/>
          <w:szCs w:val="32"/>
        </w:rPr>
        <w:t>1、主要职能</w:t>
      </w:r>
    </w:p>
    <w:p>
      <w:pPr>
        <w:pStyle w:val="8"/>
        <w:rPr>
          <w:rFonts w:ascii="仿宋" w:hAnsi="仿宋" w:eastAsia="仿宋" w:cs="仿宋"/>
          <w:bCs/>
          <w:sz w:val="32"/>
          <w:szCs w:val="32"/>
        </w:rPr>
      </w:pPr>
      <w:r>
        <w:rPr>
          <w:rFonts w:hint="eastAsia" w:ascii="仿宋" w:hAnsi="仿宋" w:eastAsia="仿宋" w:cs="仿宋"/>
          <w:bCs/>
          <w:sz w:val="32"/>
          <w:szCs w:val="32"/>
        </w:rPr>
        <w:t>（一）负责县四套班子机关事务的管理、保障和服务工作。根据国家、自治区、自治州有关政策、规章制度，拟订县机关事务管理和保障的制度和办法、标准，并组织实施。</w:t>
      </w:r>
    </w:p>
    <w:p>
      <w:pPr>
        <w:pStyle w:val="8"/>
        <w:rPr>
          <w:rFonts w:ascii="仿宋" w:hAnsi="仿宋" w:eastAsia="仿宋" w:cs="仿宋"/>
          <w:bCs/>
          <w:sz w:val="32"/>
          <w:szCs w:val="32"/>
        </w:rPr>
      </w:pPr>
      <w:r>
        <w:rPr>
          <w:rFonts w:hint="eastAsia" w:ascii="仿宋" w:hAnsi="仿宋" w:eastAsia="仿宋" w:cs="仿宋"/>
          <w:bCs/>
          <w:sz w:val="32"/>
          <w:szCs w:val="32"/>
        </w:rPr>
        <w:t>（二）负责县四套班子的重大接待服务和以县名义举办的各种活动接待工作。</w:t>
      </w:r>
    </w:p>
    <w:p>
      <w:pPr>
        <w:pStyle w:val="8"/>
        <w:rPr>
          <w:rFonts w:ascii="仿宋" w:hAnsi="仿宋" w:eastAsia="仿宋" w:cs="仿宋"/>
          <w:bCs/>
          <w:sz w:val="32"/>
          <w:szCs w:val="32"/>
        </w:rPr>
      </w:pPr>
      <w:r>
        <w:rPr>
          <w:rFonts w:hint="eastAsia" w:ascii="仿宋" w:hAnsi="仿宋" w:eastAsia="仿宋" w:cs="仿宋"/>
          <w:bCs/>
          <w:sz w:val="32"/>
          <w:szCs w:val="32"/>
        </w:rPr>
        <w:t>（三）负责四套班子办公场所的环境卫生、绿化美化、卫生保洁、安全保卫、公用设施管理等工作；负责县四套班子办公场所会议室管理及四套班子召开大型会议的灯光、音响等后勤服务工作。</w:t>
      </w:r>
    </w:p>
    <w:p>
      <w:pPr>
        <w:pStyle w:val="8"/>
        <w:rPr>
          <w:rFonts w:ascii="仿宋" w:hAnsi="仿宋" w:eastAsia="仿宋" w:cs="仿宋"/>
          <w:bCs/>
          <w:sz w:val="32"/>
          <w:szCs w:val="32"/>
        </w:rPr>
      </w:pPr>
      <w:r>
        <w:rPr>
          <w:rFonts w:hint="eastAsia" w:ascii="仿宋" w:hAnsi="仿宋" w:eastAsia="仿宋" w:cs="仿宋"/>
          <w:bCs/>
          <w:sz w:val="32"/>
          <w:szCs w:val="32"/>
        </w:rPr>
        <w:t>（四）负责县四套班子基础设施的基本建设管理。</w:t>
      </w:r>
    </w:p>
    <w:p>
      <w:pPr>
        <w:pStyle w:val="8"/>
        <w:rPr>
          <w:rFonts w:ascii="仿宋" w:hAnsi="仿宋" w:eastAsia="仿宋" w:cs="仿宋"/>
          <w:bCs/>
          <w:sz w:val="32"/>
          <w:szCs w:val="32"/>
        </w:rPr>
      </w:pPr>
      <w:r>
        <w:rPr>
          <w:rFonts w:hint="eastAsia" w:ascii="仿宋" w:hAnsi="仿宋" w:eastAsia="仿宋" w:cs="仿宋"/>
          <w:bCs/>
          <w:sz w:val="32"/>
          <w:szCs w:val="32"/>
        </w:rPr>
        <w:t>（五）负责县四套班子办公楼及附属房产的使用、分配和综合管理；负责干部宿舍等有关房产的产权、产籍和使用管理及修缮维护管理。</w:t>
      </w:r>
    </w:p>
    <w:p>
      <w:pPr>
        <w:pStyle w:val="8"/>
        <w:rPr>
          <w:rFonts w:ascii="仿宋" w:hAnsi="仿宋" w:eastAsia="仿宋" w:cs="仿宋"/>
          <w:bCs/>
          <w:sz w:val="32"/>
          <w:szCs w:val="32"/>
        </w:rPr>
      </w:pPr>
      <w:r>
        <w:rPr>
          <w:rFonts w:hint="eastAsia" w:ascii="仿宋" w:hAnsi="仿宋" w:eastAsia="仿宋" w:cs="仿宋"/>
          <w:bCs/>
          <w:sz w:val="32"/>
          <w:szCs w:val="32"/>
        </w:rPr>
        <w:t>（六）负责机关、事业单位有关节约能源监督管理工作，会同有关部门制定县公共机构节能规划、规章制度并组织实施，组织开展能耗统计、监测和评价考核工作；指导、协调、监督乡镇场站公共机构节能工作。</w:t>
      </w:r>
    </w:p>
    <w:p>
      <w:pPr>
        <w:pStyle w:val="8"/>
        <w:rPr>
          <w:rFonts w:ascii="仿宋" w:hAnsi="仿宋" w:eastAsia="仿宋" w:cs="仿宋"/>
          <w:bCs/>
          <w:sz w:val="32"/>
          <w:szCs w:val="32"/>
        </w:rPr>
      </w:pPr>
      <w:r>
        <w:rPr>
          <w:rFonts w:hint="eastAsia" w:ascii="仿宋" w:hAnsi="仿宋" w:eastAsia="仿宋" w:cs="仿宋"/>
          <w:bCs/>
          <w:sz w:val="32"/>
          <w:szCs w:val="32"/>
        </w:rPr>
        <w:t>（七）负责对全县行政事业单位公有房产及经营性资产进行彻底清查盘点，建立健全房产、资产管理档案，统一调配使用、统一权属登记。</w:t>
      </w:r>
    </w:p>
    <w:p>
      <w:pPr>
        <w:spacing w:line="560" w:lineRule="exact"/>
        <w:rPr>
          <w:rFonts w:ascii="仿宋" w:hAnsi="仿宋" w:eastAsia="仿宋" w:cs="仿宋"/>
          <w:b/>
          <w:bCs/>
          <w:sz w:val="32"/>
          <w:szCs w:val="32"/>
        </w:rPr>
      </w:pPr>
      <w:r>
        <w:rPr>
          <w:rFonts w:hint="eastAsia" w:ascii="仿宋" w:hAnsi="仿宋" w:eastAsia="仿宋" w:cs="仿宋"/>
          <w:bCs/>
          <w:sz w:val="32"/>
          <w:szCs w:val="32"/>
        </w:rPr>
        <w:t>2、机构设置及人员情况</w:t>
      </w:r>
    </w:p>
    <w:p>
      <w:pPr>
        <w:spacing w:line="560" w:lineRule="exact"/>
        <w:rPr>
          <w:rFonts w:ascii="仿宋" w:hAnsi="仿宋" w:eastAsia="仿宋" w:cs="宋体"/>
          <w:sz w:val="32"/>
          <w:szCs w:val="32"/>
        </w:rPr>
      </w:pPr>
      <w:r>
        <w:rPr>
          <w:rFonts w:hint="eastAsia" w:ascii="仿宋" w:hAnsi="仿宋" w:eastAsia="仿宋" w:cs="宋体"/>
          <w:b/>
          <w:bCs/>
          <w:sz w:val="32"/>
          <w:szCs w:val="32"/>
        </w:rPr>
        <w:t xml:space="preserve">    </w:t>
      </w:r>
      <w:r>
        <w:rPr>
          <w:rFonts w:hint="eastAsia" w:ascii="仿宋" w:hAnsi="仿宋" w:eastAsia="仿宋" w:cs="宋体"/>
          <w:sz w:val="32"/>
          <w:szCs w:val="32"/>
        </w:rPr>
        <w:t>从预算单位构成看，玛纳斯县机关事务管理局的部门预算包括：</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机关事务管理局部门本级</w:t>
      </w:r>
      <w:r>
        <w:rPr>
          <w:rFonts w:hint="eastAsia" w:ascii="仿宋" w:hAnsi="仿宋" w:eastAsia="仿宋" w:cs="宋体"/>
          <w:bCs/>
          <w:sz w:val="32"/>
          <w:szCs w:val="32"/>
        </w:rPr>
        <w:t>下设 3个处室，分别是：</w:t>
      </w:r>
      <w:r>
        <w:rPr>
          <w:rFonts w:hint="eastAsia" w:ascii="仿宋_GB2312" w:eastAsia="仿宋_GB2312"/>
          <w:bCs/>
          <w:sz w:val="32"/>
        </w:rPr>
        <w:t>办公室、后勤科、接待办</w:t>
      </w:r>
      <w:r>
        <w:rPr>
          <w:rFonts w:hint="eastAsia" w:ascii="仿宋" w:hAnsi="仿宋" w:eastAsia="仿宋" w:cs="宋体"/>
          <w:sz w:val="32"/>
          <w:szCs w:val="32"/>
        </w:rPr>
        <w:t>。</w:t>
      </w:r>
    </w:p>
    <w:p>
      <w:pPr>
        <w:spacing w:line="560" w:lineRule="exact"/>
        <w:ind w:firstLine="640"/>
        <w:rPr>
          <w:rFonts w:ascii="仿宋" w:hAnsi="仿宋" w:eastAsia="仿宋" w:cs="宋体"/>
          <w:sz w:val="32"/>
          <w:szCs w:val="32"/>
        </w:rPr>
      </w:pPr>
      <w:r>
        <w:rPr>
          <w:rFonts w:hint="eastAsia" w:ascii="仿宋" w:hAnsi="仿宋" w:eastAsia="仿宋" w:cs="宋体"/>
          <w:sz w:val="32"/>
          <w:szCs w:val="32"/>
        </w:rPr>
        <w:t>本部门中，事业单位 1 家，无下属单位</w:t>
      </w:r>
    </w:p>
    <w:p>
      <w:pPr>
        <w:spacing w:line="560" w:lineRule="exact"/>
        <w:ind w:firstLine="640"/>
        <w:rPr>
          <w:rFonts w:ascii="宋体" w:hAnsi="宋体" w:eastAsia="宋体" w:cs="宋体"/>
          <w:sz w:val="30"/>
          <w:szCs w:val="30"/>
        </w:rPr>
      </w:pPr>
      <w:r>
        <w:rPr>
          <w:rFonts w:hint="eastAsia" w:ascii="仿宋_GB2312" w:eastAsia="仿宋_GB2312"/>
          <w:bCs/>
          <w:sz w:val="32"/>
        </w:rPr>
        <w:t>县机关事务管理局由县编委核定事业拨款编制8人，其中：领导职数2人，现在编1人，空一人领导职数，工作人员实有在编在岗5人，无超编现象，</w:t>
      </w:r>
      <w:r>
        <w:rPr>
          <w:rFonts w:hint="eastAsia" w:ascii="仿宋" w:hAnsi="仿宋" w:eastAsia="仿宋" w:cs="宋体"/>
          <w:sz w:val="32"/>
          <w:szCs w:val="32"/>
        </w:rPr>
        <w:t>减少1 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从决算单位构成看，玛纳斯县机关事务管理局部门决算包括：机关事务管理局部门本级决算、所属单位决算等。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纳入玛纳斯县机关事务管理局2017年部门决算编制范围的单位名单见下表： </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480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widowControl w:val="0"/>
              <w:spacing w:line="220" w:lineRule="atLeast"/>
              <w:jc w:val="center"/>
              <w:rPr>
                <w:rFonts w:ascii="宋体" w:hAnsi="宋体" w:eastAsia="宋体" w:cs="宋体"/>
                <w:sz w:val="30"/>
                <w:szCs w:val="30"/>
              </w:rPr>
            </w:pPr>
            <w:r>
              <w:rPr>
                <w:rFonts w:hint="eastAsia" w:ascii="宋体" w:hAnsi="宋体" w:eastAsia="宋体" w:cs="宋体"/>
                <w:sz w:val="30"/>
                <w:szCs w:val="30"/>
              </w:rPr>
              <w:t>序号</w:t>
            </w:r>
          </w:p>
        </w:tc>
        <w:tc>
          <w:tcPr>
            <w:tcW w:w="4800" w:type="dxa"/>
          </w:tcPr>
          <w:p>
            <w:pPr>
              <w:widowControl w:val="0"/>
              <w:spacing w:line="220" w:lineRule="atLeast"/>
              <w:jc w:val="center"/>
              <w:rPr>
                <w:rFonts w:ascii="宋体" w:hAnsi="宋体" w:eastAsia="宋体" w:cs="宋体"/>
                <w:sz w:val="30"/>
                <w:szCs w:val="30"/>
              </w:rPr>
            </w:pPr>
            <w:r>
              <w:rPr>
                <w:rFonts w:hint="eastAsia" w:ascii="宋体" w:hAnsi="宋体" w:eastAsia="宋体" w:cs="宋体"/>
                <w:sz w:val="30"/>
                <w:szCs w:val="30"/>
              </w:rPr>
              <w:t>单位名称</w:t>
            </w:r>
          </w:p>
        </w:tc>
        <w:tc>
          <w:tcPr>
            <w:tcW w:w="2490" w:type="dxa"/>
          </w:tcPr>
          <w:p>
            <w:pPr>
              <w:widowControl w:val="0"/>
              <w:spacing w:line="220" w:lineRule="atLeast"/>
              <w:jc w:val="center"/>
              <w:rPr>
                <w:rFonts w:ascii="宋体" w:hAnsi="宋体" w:eastAsia="宋体" w:cs="宋体"/>
                <w:sz w:val="30"/>
                <w:szCs w:val="30"/>
              </w:rPr>
            </w:pPr>
            <w:r>
              <w:rPr>
                <w:rFonts w:hint="eastAsia" w:ascii="宋体" w:hAnsi="宋体" w:eastAsia="宋体" w:cs="宋体"/>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widowControl w:val="0"/>
              <w:spacing w:line="220" w:lineRule="atLeast"/>
              <w:jc w:val="center"/>
              <w:rPr>
                <w:rFonts w:ascii="宋体" w:hAnsi="宋体" w:eastAsia="宋体" w:cs="宋体"/>
                <w:sz w:val="30"/>
                <w:szCs w:val="30"/>
              </w:rPr>
            </w:pPr>
            <w:r>
              <w:rPr>
                <w:rFonts w:hint="eastAsia" w:ascii="宋体" w:hAnsi="宋体" w:eastAsia="宋体" w:cs="宋体"/>
                <w:sz w:val="30"/>
                <w:szCs w:val="30"/>
              </w:rPr>
              <w:t>1</w:t>
            </w:r>
          </w:p>
        </w:tc>
        <w:tc>
          <w:tcPr>
            <w:tcW w:w="4800" w:type="dxa"/>
          </w:tcPr>
          <w:p>
            <w:pPr>
              <w:widowControl w:val="0"/>
              <w:spacing w:line="220" w:lineRule="atLeast"/>
              <w:jc w:val="center"/>
              <w:rPr>
                <w:rFonts w:ascii="宋体" w:hAnsi="宋体" w:eastAsia="宋体" w:cs="宋体"/>
                <w:sz w:val="30"/>
                <w:szCs w:val="30"/>
              </w:rPr>
            </w:pPr>
            <w:r>
              <w:rPr>
                <w:rFonts w:hint="eastAsia" w:ascii="宋体" w:hAnsi="宋体" w:eastAsia="宋体" w:cs="宋体"/>
                <w:sz w:val="30"/>
                <w:szCs w:val="30"/>
              </w:rPr>
              <w:t>玛纳斯县机关事务管理局本级</w:t>
            </w:r>
          </w:p>
        </w:tc>
        <w:tc>
          <w:tcPr>
            <w:tcW w:w="2490" w:type="dxa"/>
          </w:tcPr>
          <w:p>
            <w:pPr>
              <w:widowControl w:val="0"/>
              <w:spacing w:line="220" w:lineRule="atLeast"/>
              <w:jc w:val="center"/>
              <w:rPr>
                <w:rFonts w:ascii="宋体" w:hAnsi="宋体" w:eastAsia="宋体" w:cs="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2" w:type="dxa"/>
          </w:tcPr>
          <w:p>
            <w:pPr>
              <w:widowControl w:val="0"/>
              <w:spacing w:line="220" w:lineRule="atLeast"/>
              <w:jc w:val="center"/>
              <w:rPr>
                <w:rFonts w:ascii="宋体" w:hAnsi="宋体" w:eastAsia="宋体" w:cs="宋体"/>
                <w:sz w:val="30"/>
                <w:szCs w:val="30"/>
              </w:rPr>
            </w:pPr>
          </w:p>
        </w:tc>
        <w:tc>
          <w:tcPr>
            <w:tcW w:w="4800" w:type="dxa"/>
          </w:tcPr>
          <w:p>
            <w:pPr>
              <w:widowControl w:val="0"/>
              <w:spacing w:line="220" w:lineRule="atLeast"/>
              <w:jc w:val="center"/>
              <w:rPr>
                <w:rFonts w:ascii="宋体" w:hAnsi="宋体" w:eastAsia="宋体" w:cs="宋体"/>
                <w:sz w:val="30"/>
                <w:szCs w:val="30"/>
              </w:rPr>
            </w:pPr>
          </w:p>
        </w:tc>
        <w:tc>
          <w:tcPr>
            <w:tcW w:w="2490" w:type="dxa"/>
          </w:tcPr>
          <w:p>
            <w:pPr>
              <w:widowControl w:val="0"/>
              <w:spacing w:line="220" w:lineRule="atLeast"/>
              <w:jc w:val="center"/>
              <w:rPr>
                <w:rFonts w:ascii="宋体" w:hAnsi="宋体" w:eastAsia="宋体" w:cs="宋体"/>
                <w:sz w:val="30"/>
                <w:szCs w:val="30"/>
              </w:rPr>
            </w:pPr>
          </w:p>
        </w:tc>
      </w:tr>
    </w:tbl>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line="220" w:lineRule="atLeast"/>
        <w:rPr>
          <w:rFonts w:ascii="宋体" w:hAnsi="宋体" w:eastAsia="宋体" w:cs="宋体"/>
          <w:sz w:val="30"/>
          <w:szCs w:val="30"/>
        </w:rPr>
      </w:pPr>
    </w:p>
    <w:p>
      <w:pPr>
        <w:spacing w:after="0" w:line="520" w:lineRule="exact"/>
        <w:jc w:val="center"/>
        <w:rPr>
          <w:rFonts w:ascii="宋体" w:hAnsi="宋体" w:eastAsia="宋体" w:cs="宋体"/>
          <w:b/>
          <w:bCs/>
          <w:sz w:val="30"/>
          <w:szCs w:val="30"/>
        </w:rPr>
      </w:pPr>
      <w:r>
        <w:rPr>
          <w:rFonts w:hint="eastAsia" w:ascii="宋体" w:hAnsi="宋体" w:eastAsia="宋体" w:cs="宋体"/>
          <w:b/>
          <w:bCs/>
          <w:sz w:val="30"/>
          <w:szCs w:val="30"/>
        </w:rPr>
        <w:t>第二部分 部门决算情况说明</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一、部门收支总体情况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（一）部门收入支出决算总体情况说明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2017年总收入8872109.77元，上年总收入9488232.2元，比上年减少616122.43元,减少6.5%；其中:财政预算收入4642763.35元,占总收入的52%。其他收入为上级拨入经费及工程款、利息收入1935622.71元。</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总支出10807732.4元,上年总支出10896210.02元，比上年减少88477.54元，下降45%。减少的主要原因是人员减少，维修工程工作业务量减少，造成支出降低等。其中：基本支出为8863518.58元，基本支出增加的主要原因是2016年办公楼采暖面积；项目支出1944213.9，占总支出的18%与2016年项目支出810000元相比，增加1134213.9元，</w:t>
      </w:r>
      <w:r>
        <w:rPr>
          <w:rFonts w:hint="eastAsia" w:ascii="仿宋" w:hAnsi="仿宋" w:eastAsia="仿宋" w:cs="仿宋"/>
          <w:sz w:val="30"/>
          <w:szCs w:val="30"/>
        </w:rPr>
        <w:t>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2"/>
          <w:szCs w:val="32"/>
        </w:rPr>
        <w:t>增加的主要原因是2017年相对于2016年新增办公楼建设。</w:t>
      </w:r>
      <w:bookmarkStart w:id="0" w:name="_GoBack"/>
      <w:bookmarkEnd w:id="0"/>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与预算相比情况。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2017年预算收入4642763.35元，支出4642763.35，决算收入较预算增加6164969.13元，决算支出较预算6164969.13元，变化的主要原因人员增加，财政追加预算收入。</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（二）部门收入总体情况说明 </w:t>
      </w:r>
    </w:p>
    <w:p>
      <w:pPr>
        <w:spacing w:line="560" w:lineRule="exact"/>
        <w:ind w:firstLine="627" w:firstLineChars="196"/>
        <w:jc w:val="both"/>
        <w:rPr>
          <w:rFonts w:ascii="仿宋" w:hAnsi="仿宋" w:eastAsia="仿宋" w:cs="仿宋"/>
          <w:sz w:val="30"/>
          <w:szCs w:val="30"/>
        </w:rPr>
      </w:pPr>
      <w:r>
        <w:rPr>
          <w:rFonts w:hint="eastAsia" w:ascii="仿宋" w:hAnsi="仿宋" w:eastAsia="仿宋" w:cs="仿宋"/>
          <w:sz w:val="32"/>
          <w:szCs w:val="32"/>
        </w:rPr>
        <w:t xml:space="preserve"> 2017年总收入10807732.48元，上年总收入10861470.02元，比上年减少53737.54元,减少1%；其中:财政预算收入8872109.79元,占总收入的82%。</w:t>
      </w:r>
      <w:r>
        <w:rPr>
          <w:rFonts w:hint="eastAsia" w:ascii="仿宋" w:hAnsi="仿宋" w:eastAsia="仿宋" w:cs="仿宋"/>
          <w:sz w:val="30"/>
          <w:szCs w:val="30"/>
        </w:rPr>
        <w:t>上级补助收入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%；事业收入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%；附属单位缴款</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2"/>
          <w:szCs w:val="32"/>
        </w:rPr>
        <w:t>其他收入为上级拨入经费及工程款、利息收入1935622.71元，占总收入的18%。</w:t>
      </w:r>
      <w:r>
        <w:rPr>
          <w:rFonts w:hint="eastAsia" w:ascii="仿宋" w:hAnsi="仿宋" w:eastAsia="仿宋" w:cs="仿宋"/>
          <w:sz w:val="30"/>
          <w:szCs w:val="30"/>
        </w:rPr>
        <w:t>增减变化的主要原因是上级项目资金减少。</w:t>
      </w:r>
    </w:p>
    <w:p>
      <w:pPr>
        <w:spacing w:line="560" w:lineRule="exact"/>
        <w:ind w:firstLine="588" w:firstLineChars="196"/>
        <w:jc w:val="both"/>
        <w:rPr>
          <w:rFonts w:ascii="仿宋" w:hAnsi="仿宋" w:eastAsia="仿宋" w:cs="仿宋"/>
          <w:sz w:val="32"/>
          <w:szCs w:val="32"/>
        </w:rPr>
      </w:pPr>
      <w:r>
        <w:rPr>
          <w:rFonts w:hint="eastAsia" w:ascii="仿宋" w:hAnsi="仿宋" w:eastAsia="仿宋" w:cs="仿宋"/>
          <w:sz w:val="30"/>
          <w:szCs w:val="30"/>
        </w:rPr>
        <w:t>与预算相比情况。</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2017年预算收入4642763.35元，增加6164969.13元，增加57%。变化的主要原因人员增加，财政追加预算收入。</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（三）部门支出总体情况说明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2017年总支出10807732.48元，上年总支出10896210.02元，比上年减少88477.54元，下降45%。减少的主要原因是人员减少，维修工程工作业务量减少，造成支出降低等。</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本年支出合计10807732.48万元，其中：基本支出8863518.58元，占82%；项目支出1977213.9元，占18%；减少88477.54元，</w:t>
      </w:r>
      <w:r>
        <w:rPr>
          <w:rFonts w:hint="eastAsia" w:ascii="仿宋" w:hAnsi="仿宋" w:eastAsia="仿宋" w:cs="仿宋"/>
          <w:sz w:val="30"/>
          <w:szCs w:val="30"/>
        </w:rPr>
        <w:t>上缴上级支出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%；经营支出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%；对附属单位补助支出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2"/>
          <w:szCs w:val="32"/>
        </w:rPr>
        <w:t>变化的主要原因是：人员减少，维修工程工作业务量减少，造成支出降低等。</w:t>
      </w:r>
    </w:p>
    <w:p>
      <w:pPr>
        <w:spacing w:line="560" w:lineRule="exact"/>
        <w:ind w:firstLine="588" w:firstLineChars="196"/>
        <w:jc w:val="both"/>
        <w:rPr>
          <w:rFonts w:ascii="仿宋" w:hAnsi="仿宋" w:eastAsia="仿宋" w:cs="仿宋"/>
          <w:sz w:val="32"/>
          <w:szCs w:val="32"/>
        </w:rPr>
      </w:pPr>
      <w:r>
        <w:rPr>
          <w:rFonts w:hint="eastAsia" w:ascii="仿宋" w:hAnsi="仿宋" w:eastAsia="仿宋" w:cs="仿宋"/>
          <w:sz w:val="30"/>
          <w:szCs w:val="30"/>
        </w:rPr>
        <w:t>与预算相比情况。</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本年预算4642763.35元，比预算增加4229346.42，增加48%。 变化的主要原因人员增加，财政追加预算收入。</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二、部门财政拨款收支情况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（一）财政拨款收支总体情况说明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度财政拨款收入8872109.79元，与上年相比，减少616122.41元，降低7%。增减变化的主要原因是：人员减少。财政拨款支出8863518.58元，与上年相比，减少1222691.44元，降低12%。其中：基本支出8863518.58元，项目支出944213.9元。增减变化的主要原因是：维修款未支付。</w:t>
      </w:r>
      <w:r>
        <w:rPr>
          <w:rFonts w:hint="eastAsia" w:ascii="仿宋" w:hAnsi="仿宋" w:eastAsia="仿宋" w:cs="仿宋"/>
          <w:sz w:val="30"/>
          <w:szCs w:val="30"/>
        </w:rPr>
        <w:t>财政拨款结转结余</w:t>
      </w:r>
      <w:r>
        <w:rPr>
          <w:rFonts w:ascii="仿宋" w:hAnsi="仿宋" w:eastAsia="仿宋" w:cs="仿宋"/>
          <w:sz w:val="30"/>
          <w:szCs w:val="30"/>
        </w:rPr>
        <w:t>0</w:t>
      </w:r>
      <w:r>
        <w:rPr>
          <w:rFonts w:hint="eastAsia" w:ascii="仿宋" w:hAnsi="仿宋" w:eastAsia="仿宋" w:cs="仿宋"/>
          <w:sz w:val="30"/>
          <w:szCs w:val="30"/>
        </w:rPr>
        <w:t>万元，与上年相比，</w:t>
      </w:r>
      <w:r>
        <w:rPr>
          <w:rFonts w:hint="eastAsia" w:ascii="仿宋" w:hAnsi="仿宋" w:eastAsia="仿宋" w:cs="仿宋"/>
          <w:sz w:val="32"/>
          <w:szCs w:val="32"/>
        </w:rPr>
        <w:t xml:space="preserve">增长34740元，增长100%。增减变化的主要原因是：支付上年未付款。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与预算相比情况。</w:t>
      </w:r>
    </w:p>
    <w:p>
      <w:pPr>
        <w:spacing w:line="560" w:lineRule="exact"/>
        <w:jc w:val="both"/>
        <w:rPr>
          <w:rFonts w:ascii="仿宋" w:hAnsi="仿宋" w:eastAsia="仿宋" w:cs="仿宋"/>
          <w:sz w:val="32"/>
          <w:szCs w:val="32"/>
        </w:rPr>
      </w:pPr>
      <w:r>
        <w:rPr>
          <w:rFonts w:hint="eastAsia" w:ascii="仿宋" w:hAnsi="仿宋" w:eastAsia="仿宋" w:cs="仿宋"/>
          <w:sz w:val="32"/>
          <w:szCs w:val="32"/>
        </w:rPr>
        <w:t xml:space="preserve">    上年预算收入4642763.35元，实际财政拨款收入8872109.79收入，增加4229346.44元，增加原因为追加工程维修款。</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2017年度一般公共预算财政拨款支出8872109.79元。与上年相比，减少650862元，降低6.8%。增减变化的主要原因是：人员减少。</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其中：按功能分类科目，一般公共服务支出</w:t>
      </w:r>
      <w:r>
        <w:rPr>
          <w:rFonts w:hint="eastAsia" w:ascii="仿宋" w:hAnsi="仿宋" w:eastAsia="仿宋" w:cs="仿宋"/>
          <w:sz w:val="30"/>
          <w:szCs w:val="30"/>
          <w:lang w:val="en-US" w:eastAsia="zh-CN"/>
        </w:rPr>
        <w:t>898.24</w:t>
      </w:r>
      <w:r>
        <w:rPr>
          <w:rFonts w:hint="eastAsia" w:ascii="仿宋" w:hAnsi="仿宋" w:eastAsia="仿宋" w:cs="仿宋"/>
          <w:sz w:val="30"/>
          <w:szCs w:val="30"/>
        </w:rPr>
        <w:t>万元，社会保障和就业支出</w:t>
      </w:r>
      <w:r>
        <w:rPr>
          <w:rFonts w:hint="eastAsia" w:ascii="仿宋" w:hAnsi="仿宋" w:eastAsia="仿宋" w:cs="仿宋"/>
          <w:sz w:val="30"/>
          <w:szCs w:val="30"/>
          <w:lang w:val="en-US" w:eastAsia="zh-CN"/>
        </w:rPr>
        <w:t>9.65</w:t>
      </w:r>
      <w:r>
        <w:rPr>
          <w:rFonts w:hint="eastAsia" w:ascii="仿宋" w:hAnsi="仿宋" w:eastAsia="仿宋" w:cs="仿宋"/>
          <w:sz w:val="30"/>
          <w:szCs w:val="30"/>
        </w:rPr>
        <w:t>万元。</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按</w:t>
      </w:r>
      <w:r>
        <w:rPr>
          <w:rFonts w:hint="eastAsia" w:ascii="仿宋" w:hAnsi="仿宋" w:eastAsia="仿宋" w:cs="仿宋"/>
          <w:sz w:val="30"/>
          <w:szCs w:val="30"/>
          <w:lang w:val="en-US" w:eastAsia="zh-CN"/>
        </w:rPr>
        <w:t>经济</w:t>
      </w:r>
      <w:r>
        <w:rPr>
          <w:rFonts w:hint="eastAsia" w:ascii="仿宋" w:hAnsi="仿宋" w:eastAsia="仿宋" w:cs="仿宋"/>
          <w:sz w:val="30"/>
          <w:szCs w:val="30"/>
        </w:rPr>
        <w:t>分类科目，工资福利支出636218.62元，商品服务支出8138817元。城乡社区支出</w:t>
      </w:r>
      <w:r>
        <w:rPr>
          <w:rFonts w:hint="eastAsia" w:ascii="仿宋" w:hAnsi="仿宋" w:eastAsia="仿宋" w:cs="仿宋"/>
          <w:sz w:val="30"/>
          <w:szCs w:val="30"/>
          <w:lang w:val="en-US" w:eastAsia="zh-CN"/>
        </w:rPr>
        <w:t>110万元。</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上年预算支出4642763.35元，总支出8982428.58元，增加4339665.23元，增加的主要原因是追加工程维修款。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财政拨款收入0万元，与预算相比，增加0万元，增长0%。增减变化的主要原因是：年初无预算安排。政府性基金预算财政拨款支出0万元，与预算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line="560" w:lineRule="exact"/>
        <w:jc w:val="both"/>
        <w:rPr>
          <w:rFonts w:ascii="仿宋" w:hAnsi="仿宋" w:eastAsia="仿宋" w:cs="仿宋"/>
          <w:sz w:val="32"/>
          <w:szCs w:val="32"/>
        </w:rPr>
      </w:pPr>
      <w:r>
        <w:rPr>
          <w:rFonts w:hint="eastAsia" w:ascii="仿宋" w:hAnsi="仿宋" w:eastAsia="仿宋" w:cs="仿宋"/>
          <w:sz w:val="32"/>
          <w:szCs w:val="32"/>
        </w:rPr>
        <w:t xml:space="preserve">三、部门结转结余情况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2017年末结转结余0元。与上年相比，增加34740元，增加100%。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其中财政拨款结转结余0元。与上年相比，增加34740元，增加100%。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四、一般公共预算“三公”经费支出情况 </w:t>
      </w: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2017年度一般公共预算“三公”经费支出决算462081.43元，比上年减少38153.57元，降低7.6%，其中，因公出国（境）费支出0元，占0%，比上年增加0元，增长0%。；公务用车购置及运行维护费支出0元，占0%，比上年增加0元，增长100%。；公务接待费支出462081.43元，占100%，比上年增加38153.57元，增长7.6%。具体情况如下： </w:t>
      </w: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因公出国（境）费支出0万元。0单位全年使用一般公共预算财政拨款安排的出国（境）团组0个，累计0人次。 </w:t>
      </w:r>
    </w:p>
    <w:p>
      <w:pPr>
        <w:spacing w:after="0" w:line="52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公务用车购置及运行维护费0元,其中，公务用车购置0元，公务用车运行维护费0元。2017年，单位一般公共财政拨款安排的公务用车购置量0辆，保有量为0辆。 </w:t>
      </w:r>
    </w:p>
    <w:p>
      <w:pPr>
        <w:spacing w:after="0" w:line="520" w:lineRule="exact"/>
        <w:ind w:firstLine="640" w:firstLineChars="200"/>
        <w:rPr>
          <w:rFonts w:ascii="仿宋" w:hAnsi="仿宋" w:eastAsia="仿宋" w:cs="仿宋"/>
          <w:sz w:val="30"/>
          <w:szCs w:val="30"/>
        </w:rPr>
      </w:pPr>
      <w:r>
        <w:rPr>
          <w:rFonts w:hint="eastAsia" w:ascii="仿宋" w:hAnsi="仿宋" w:eastAsia="仿宋" w:cs="仿宋"/>
          <w:sz w:val="32"/>
          <w:szCs w:val="32"/>
        </w:rPr>
        <w:t>公务接待费0元。具体是</w:t>
      </w:r>
      <w:r>
        <w:rPr>
          <w:rFonts w:hint="eastAsia" w:ascii="仿宋" w:hAnsi="仿宋" w:eastAsia="仿宋" w:cs="仿宋"/>
          <w:sz w:val="30"/>
          <w:szCs w:val="30"/>
        </w:rPr>
        <w:t>：</w:t>
      </w:r>
      <w:r>
        <w:rPr>
          <w:rFonts w:hint="eastAsia" w:ascii="仿宋" w:hAnsi="仿宋" w:eastAsia="仿宋" w:cs="仿宋"/>
          <w:sz w:val="32"/>
          <w:szCs w:val="32"/>
        </w:rPr>
        <w:t>降低的主要原因为公务接待为节约行动，节省公务接待经费,2016年公务接待400批次、3100人次。</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与预算相比情况。 </w:t>
      </w:r>
    </w:p>
    <w:p>
      <w:pPr>
        <w:spacing w:after="0" w:line="520" w:lineRule="exact"/>
        <w:ind w:firstLine="640" w:firstLineChars="200"/>
        <w:rPr>
          <w:rFonts w:ascii="仿宋" w:hAnsi="仿宋" w:eastAsia="仿宋" w:cs="仿宋"/>
          <w:sz w:val="30"/>
          <w:szCs w:val="30"/>
        </w:rPr>
      </w:pPr>
      <w:r>
        <w:rPr>
          <w:rFonts w:hint="eastAsia" w:ascii="仿宋" w:hAnsi="仿宋" w:eastAsia="仿宋" w:cs="仿宋"/>
          <w:sz w:val="32"/>
          <w:szCs w:val="32"/>
        </w:rPr>
        <w:t>2017年度一般公共预算“三公”经费支出预算502081.43员，决算比预算减少40000元，减少7.97%，执行三公经费条例，压缩开支。</w:t>
      </w:r>
      <w:r>
        <w:rPr>
          <w:rFonts w:hint="eastAsia" w:ascii="仿宋" w:hAnsi="仿宋" w:eastAsia="仿宋" w:cs="仿宋"/>
          <w:sz w:val="30"/>
          <w:szCs w:val="30"/>
        </w:rPr>
        <w:t>其中，因公出国（境）费支出0元，占0%，决算比预算增加0元，增长0%，增加原因是年初无预算安排；公务用车购置及运行维护费支出0元，占0%，决算比预算增加0元，增长0%，增加原因是年初无预算安排；公务接待费支出</w:t>
      </w:r>
      <w:r>
        <w:rPr>
          <w:rFonts w:hint="eastAsia" w:ascii="仿宋" w:hAnsi="仿宋" w:eastAsia="仿宋" w:cs="仿宋"/>
          <w:sz w:val="32"/>
          <w:szCs w:val="32"/>
        </w:rPr>
        <w:t>462081.43</w:t>
      </w:r>
      <w:r>
        <w:rPr>
          <w:rFonts w:hint="eastAsia" w:ascii="仿宋" w:hAnsi="仿宋" w:eastAsia="仿宋" w:cs="仿宋"/>
          <w:sz w:val="30"/>
          <w:szCs w:val="30"/>
        </w:rPr>
        <w:t>元，占100%，决算比预算减少40000元减少7.97%,</w:t>
      </w:r>
    </w:p>
    <w:p>
      <w:pPr>
        <w:spacing w:after="0" w:line="520" w:lineRule="exact"/>
        <w:rPr>
          <w:rFonts w:ascii="仿宋" w:hAnsi="仿宋" w:eastAsia="仿宋" w:cs="仿宋"/>
          <w:sz w:val="30"/>
          <w:szCs w:val="30"/>
        </w:rPr>
      </w:pPr>
      <w:r>
        <w:rPr>
          <w:rFonts w:hint="eastAsia" w:ascii="仿宋" w:hAnsi="仿宋" w:eastAsia="仿宋" w:cs="仿宋"/>
          <w:sz w:val="30"/>
          <w:szCs w:val="30"/>
        </w:rPr>
        <w:t>减少原因是</w:t>
      </w:r>
      <w:r>
        <w:rPr>
          <w:rFonts w:hint="eastAsia" w:ascii="仿宋" w:hAnsi="仿宋" w:eastAsia="仿宋" w:cs="仿宋"/>
          <w:sz w:val="32"/>
          <w:szCs w:val="32"/>
        </w:rPr>
        <w:t>节省公务接待经费。</w:t>
      </w:r>
    </w:p>
    <w:p>
      <w:pPr>
        <w:spacing w:line="560" w:lineRule="exact"/>
        <w:jc w:val="both"/>
        <w:rPr>
          <w:rFonts w:ascii="仿宋" w:hAnsi="仿宋" w:eastAsia="仿宋" w:cs="仿宋"/>
          <w:sz w:val="32"/>
          <w:szCs w:val="32"/>
        </w:rPr>
      </w:pPr>
      <w:r>
        <w:rPr>
          <w:rFonts w:hint="eastAsia" w:ascii="仿宋" w:hAnsi="仿宋" w:eastAsia="仿宋" w:cs="仿宋"/>
          <w:sz w:val="32"/>
          <w:szCs w:val="32"/>
        </w:rPr>
        <w:t xml:space="preserve">    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五、机关运行经费支出情况 </w:t>
      </w:r>
    </w:p>
    <w:p>
      <w:pPr>
        <w:spacing w:after="0"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2017</w:t>
      </w:r>
      <w:r>
        <w:rPr>
          <w:rFonts w:hint="eastAsia" w:ascii="仿宋" w:hAnsi="仿宋" w:eastAsia="仿宋" w:cs="仿宋"/>
          <w:sz w:val="32"/>
          <w:szCs w:val="32"/>
        </w:rPr>
        <w:t>年度单位机关运行经费支出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万元，比上年增加</w:t>
      </w:r>
      <w:r>
        <w:rPr>
          <w:rFonts w:hint="eastAsia" w:ascii="仿宋" w:hAnsi="仿宋" w:eastAsia="仿宋" w:cs="仿宋"/>
          <w:sz w:val="32"/>
          <w:szCs w:val="32"/>
          <w:lang w:val="en-US" w:eastAsia="zh-CN"/>
        </w:rPr>
        <w:t>0</w:t>
      </w:r>
      <w:r>
        <w:rPr>
          <w:rFonts w:hint="eastAsia" w:ascii="仿宋" w:hAnsi="仿宋" w:eastAsia="仿宋" w:cs="仿宋"/>
          <w:sz w:val="32"/>
          <w:szCs w:val="32"/>
        </w:rPr>
        <w:t>万元，增长</w:t>
      </w:r>
      <w:r>
        <w:rPr>
          <w:rFonts w:hint="eastAsia" w:ascii="仿宋" w:hAnsi="仿宋" w:eastAsia="仿宋" w:cs="仿宋"/>
          <w:sz w:val="32"/>
          <w:szCs w:val="32"/>
          <w:lang w:val="en-US" w:eastAsia="zh-CN"/>
        </w:rPr>
        <w:t>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本单位为事业单位，有事业运行经费，无机关运行经费</w:t>
      </w:r>
      <w:r>
        <w:rPr>
          <w:rFonts w:hint="eastAsia" w:ascii="仿宋" w:hAnsi="仿宋" w:eastAsia="仿宋" w:cs="仿宋"/>
          <w:sz w:val="32"/>
          <w:szCs w:val="32"/>
        </w:rPr>
        <w:t xml:space="preserve">。 </w:t>
      </w:r>
    </w:p>
    <w:p>
      <w:pPr>
        <w:spacing w:after="0"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其他有关说明内容。 </w:t>
      </w:r>
    </w:p>
    <w:p>
      <w:pPr>
        <w:spacing w:after="0" w:line="52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2017年单位公共服务支出</w:t>
      </w:r>
      <w:r>
        <w:rPr>
          <w:rFonts w:hint="eastAsia" w:ascii="仿宋" w:hAnsi="仿宋" w:eastAsia="仿宋" w:cs="仿宋"/>
          <w:sz w:val="32"/>
          <w:szCs w:val="32"/>
        </w:rPr>
        <w:t>813.02</w:t>
      </w:r>
      <w:r>
        <w:rPr>
          <w:rFonts w:hint="eastAsia" w:ascii="仿宋" w:hAnsi="仿宋" w:eastAsia="仿宋" w:cs="仿宋"/>
          <w:sz w:val="32"/>
          <w:szCs w:val="32"/>
          <w:lang w:val="en-US" w:eastAsia="zh-CN"/>
        </w:rPr>
        <w:t>万元，较上年决算数995.38万元减少182.36万元，降低18.32%，主要原因是</w:t>
      </w:r>
      <w:r>
        <w:rPr>
          <w:rFonts w:hint="eastAsia" w:ascii="仿宋" w:hAnsi="仿宋" w:eastAsia="仿宋" w:cs="仿宋"/>
          <w:sz w:val="32"/>
          <w:szCs w:val="32"/>
        </w:rPr>
        <w:t>人员减少，维修工程工作业务量减少，造成支出降低等。</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单位政府采购计划0万元，其中：政府采购货物支出0万元、政府采购工程支出0万元、政府采购服务支出0万元；实际采购0万元，其中：政府采购货物支出0万元、政府采购工程支出0万元、政府采购服务支出0万元。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七、其他重要事项的情况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（一）国有资产占用情况说明 </w:t>
      </w:r>
    </w:p>
    <w:p>
      <w:pPr>
        <w:spacing w:line="560" w:lineRule="exact"/>
        <w:ind w:firstLine="627" w:firstLineChars="196"/>
        <w:jc w:val="both"/>
        <w:rPr>
          <w:rFonts w:ascii="仿宋" w:hAnsi="仿宋" w:eastAsia="仿宋" w:cs="仿宋"/>
          <w:sz w:val="30"/>
          <w:szCs w:val="30"/>
        </w:rPr>
      </w:pPr>
      <w:r>
        <w:rPr>
          <w:rFonts w:hint="eastAsia" w:ascii="仿宋" w:hAnsi="仿宋" w:eastAsia="仿宋" w:cs="仿宋"/>
          <w:sz w:val="32"/>
          <w:szCs w:val="32"/>
        </w:rPr>
        <w:t>截至2017年12月31日，资产总计8647001.38元，其中：流动资产22169.93元，固定资产8420836.45元，其中：房屋5472.95（平方米），价值6951006.45元，</w:t>
      </w:r>
      <w:r>
        <w:rPr>
          <w:rFonts w:hint="eastAsia" w:ascii="仿宋" w:hAnsi="仿宋" w:eastAsia="仿宋" w:cs="仿宋"/>
          <w:sz w:val="30"/>
          <w:szCs w:val="30"/>
        </w:rPr>
        <w:t>共有车辆0辆，价值0元，其中：部级领导干部用车0辆、一般公务用车0辆、一般执法执勤用车0辆、特种专业技术用车0辆、其他用车0辆（其他用车主要是：……）；单位价值50万元以上通用设备0台（套）、单位价值100万元以上专用设备0台（套），</w:t>
      </w:r>
      <w:r>
        <w:rPr>
          <w:rFonts w:hint="eastAsia" w:ascii="仿宋" w:hAnsi="仿宋" w:eastAsia="仿宋" w:cs="仿宋"/>
          <w:sz w:val="32"/>
          <w:szCs w:val="32"/>
        </w:rPr>
        <w:t xml:space="preserve">其他固定资产价值1469830元。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其他有关说明内容。无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（二）国有资产收益征缴情况说明 </w:t>
      </w:r>
    </w:p>
    <w:p>
      <w:pPr>
        <w:spacing w:after="0" w:line="520" w:lineRule="exact"/>
        <w:ind w:firstLine="640" w:firstLineChars="200"/>
        <w:rPr>
          <w:rFonts w:ascii="仿宋" w:hAnsi="仿宋" w:eastAsia="仿宋" w:cs="仿宋"/>
          <w:sz w:val="30"/>
          <w:szCs w:val="30"/>
        </w:rPr>
      </w:pPr>
      <w:r>
        <w:rPr>
          <w:rFonts w:hint="eastAsia" w:ascii="仿宋" w:hAnsi="仿宋" w:eastAsia="仿宋" w:cs="仿宋"/>
          <w:sz w:val="32"/>
          <w:szCs w:val="32"/>
        </w:rPr>
        <w:t>截至2017年12月31日，机关事务管理局单位资产有偿使用收入合计15万元，资产处置收入合计179万元。其中：已缴国库179万元，</w:t>
      </w:r>
      <w:r>
        <w:rPr>
          <w:rFonts w:hint="eastAsia" w:ascii="仿宋" w:hAnsi="仿宋" w:eastAsia="仿宋" w:cs="仿宋"/>
          <w:sz w:val="30"/>
          <w:szCs w:val="30"/>
        </w:rPr>
        <w:t xml:space="preserve">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（三）部门项目支出情况和项目绩效评价情况说明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2017年度，本部门单位实行绩效管理的项目0个，涉及预算0万元，项目支出决算94</w:t>
      </w:r>
      <w:r>
        <w:rPr>
          <w:rFonts w:hint="eastAsia" w:ascii="仿宋" w:hAnsi="仿宋" w:eastAsia="仿宋" w:cs="仿宋"/>
          <w:sz w:val="32"/>
          <w:szCs w:val="32"/>
          <w:lang w:val="en-US" w:eastAsia="zh-CN"/>
        </w:rPr>
        <w:t>.</w:t>
      </w:r>
      <w:r>
        <w:rPr>
          <w:rFonts w:hint="eastAsia" w:ascii="仿宋" w:hAnsi="仿宋" w:eastAsia="仿宋" w:cs="仿宋"/>
          <w:sz w:val="32"/>
          <w:szCs w:val="32"/>
        </w:rPr>
        <w:t>42万元。</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 xml:space="preserve">其他有关说明内容。 </w:t>
      </w:r>
    </w:p>
    <w:p>
      <w:pPr>
        <w:spacing w:line="560" w:lineRule="exact"/>
        <w:ind w:firstLine="627" w:firstLineChars="196"/>
        <w:jc w:val="both"/>
        <w:rPr>
          <w:rFonts w:ascii="仿宋" w:hAnsi="仿宋" w:eastAsia="仿宋" w:cs="仿宋"/>
          <w:sz w:val="32"/>
          <w:szCs w:val="32"/>
        </w:rPr>
      </w:pPr>
      <w:r>
        <w:rPr>
          <w:rFonts w:hint="eastAsia" w:ascii="仿宋" w:hAnsi="仿宋" w:eastAsia="仿宋" w:cs="仿宋"/>
          <w:sz w:val="32"/>
          <w:szCs w:val="32"/>
        </w:rPr>
        <w:t>无</w:t>
      </w:r>
    </w:p>
    <w:p>
      <w:pPr>
        <w:spacing w:line="220" w:lineRule="atLeast"/>
        <w:jc w:val="both"/>
        <w:rPr>
          <w:rFonts w:ascii="仿宋" w:hAnsi="仿宋" w:eastAsia="仿宋" w:cs="仿宋"/>
          <w:b/>
          <w:bCs/>
          <w:sz w:val="30"/>
          <w:szCs w:val="30"/>
        </w:rPr>
      </w:pPr>
    </w:p>
    <w:p>
      <w:pPr>
        <w:spacing w:line="220" w:lineRule="atLeast"/>
        <w:ind w:firstLine="2409" w:firstLineChars="800"/>
        <w:jc w:val="both"/>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2010301：指行政运行。2010399：指行政运行。2010399：指其他政府办公厅（室）及相关机构事务支出。2080505：指机关事业单位基本养老保险缴费支出。2120399：其他城乡社区公共设施支出。2310399：地方政府其他一般债务还本支出。</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p>
      <w:pPr>
        <w:spacing w:line="560" w:lineRule="exact"/>
        <w:ind w:firstLine="627" w:firstLineChars="196"/>
        <w:jc w:val="both"/>
        <w:rPr>
          <w:rFonts w:ascii="宋体" w:hAnsi="宋体" w:eastAsia="宋体" w:cs="宋体"/>
          <w:sz w:val="32"/>
          <w:szCs w:val="32"/>
        </w:rPr>
      </w:pP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M6pebnPAAAABQEA&#10;AA8AAAAAAAAAAQAgAAAAIgAAAGRycy9kb3ducmV2LnhtbFBLAQIUABQAAAAIAIdO4kB0+F+ksQEA&#10;AE4DAAAOAAAAAAAAAAEAIAAAAB4BAABkcnMvZTJvRG9jLnhtbFBLBQYAAAAABgAGAFkBAABBBQAA&#10;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240"/>
    <w:rsid w:val="000B551F"/>
    <w:rsid w:val="0023560C"/>
    <w:rsid w:val="00410A8D"/>
    <w:rsid w:val="00472A92"/>
    <w:rsid w:val="005F7240"/>
    <w:rsid w:val="007603E0"/>
    <w:rsid w:val="00841F32"/>
    <w:rsid w:val="009952C0"/>
    <w:rsid w:val="00B20880"/>
    <w:rsid w:val="00B44F75"/>
    <w:rsid w:val="00C0166B"/>
    <w:rsid w:val="00CD0E20"/>
    <w:rsid w:val="00D45CC5"/>
    <w:rsid w:val="00E0431F"/>
    <w:rsid w:val="00F1010F"/>
    <w:rsid w:val="00F960B3"/>
    <w:rsid w:val="00FA1F89"/>
    <w:rsid w:val="00FD2FA3"/>
    <w:rsid w:val="05557AED"/>
    <w:rsid w:val="060264A4"/>
    <w:rsid w:val="0D1F025F"/>
    <w:rsid w:val="0E2F7CDD"/>
    <w:rsid w:val="0E937F78"/>
    <w:rsid w:val="19076545"/>
    <w:rsid w:val="1A447548"/>
    <w:rsid w:val="1A7F64C5"/>
    <w:rsid w:val="1E3953EF"/>
    <w:rsid w:val="1EE95804"/>
    <w:rsid w:val="1F923A16"/>
    <w:rsid w:val="2DDA2BDD"/>
    <w:rsid w:val="32A07E77"/>
    <w:rsid w:val="36B25E5E"/>
    <w:rsid w:val="44705B5E"/>
    <w:rsid w:val="45155ED3"/>
    <w:rsid w:val="47F6704F"/>
    <w:rsid w:val="4C0808B4"/>
    <w:rsid w:val="4CAA215F"/>
    <w:rsid w:val="4E036C45"/>
    <w:rsid w:val="5314478B"/>
    <w:rsid w:val="568E0686"/>
    <w:rsid w:val="57311D03"/>
    <w:rsid w:val="573D266B"/>
    <w:rsid w:val="5D6656B3"/>
    <w:rsid w:val="667C57EE"/>
    <w:rsid w:val="678E54E4"/>
    <w:rsid w:val="7D021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footer"/>
    <w:basedOn w:val="1"/>
    <w:unhideWhenUsed/>
    <w:qFormat/>
    <w:uiPriority w:val="99"/>
    <w:pPr>
      <w:tabs>
        <w:tab w:val="center" w:pos="4153"/>
        <w:tab w:val="right" w:pos="8306"/>
      </w:tabs>
    </w:pPr>
    <w:rPr>
      <w:sz w:val="18"/>
    </w:rPr>
  </w:style>
  <w:style w:type="paragraph" w:styleId="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p15"/>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18</Pages>
  <Words>1056</Words>
  <Characters>6020</Characters>
  <Lines>50</Lines>
  <Paragraphs>14</Paragraphs>
  <TotalTime>7</TotalTime>
  <ScaleCrop>false</ScaleCrop>
  <LinksUpToDate>false</LinksUpToDate>
  <CharactersWithSpaces>7062</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慧慧</cp:lastModifiedBy>
  <dcterms:modified xsi:type="dcterms:W3CDTF">2019-05-06T04:37:28Z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