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520" w:lineRule="exact"/>
        <w:ind w:firstLine="720" w:firstLineChars="200"/>
        <w:rPr>
          <w:rFonts w:ascii="仿宋" w:hAnsi="仿宋" w:eastAsia="仿宋" w:cs="仿宋"/>
          <w:color w:val="000000" w:themeColor="text1"/>
          <w:sz w:val="36"/>
          <w:szCs w:val="36"/>
        </w:rPr>
      </w:pPr>
      <w:r>
        <w:rPr>
          <w:rFonts w:hint="eastAsia" w:ascii="仿宋" w:hAnsi="仿宋" w:eastAsia="仿宋" w:cs="仿宋"/>
          <w:color w:val="000000" w:themeColor="text1"/>
          <w:sz w:val="36"/>
          <w:szCs w:val="36"/>
        </w:rPr>
        <w:t xml:space="preserve">2017年度玛纳斯县广东地乡学校部门决算公开说明 </w:t>
      </w:r>
    </w:p>
    <w:p>
      <w:pPr>
        <w:spacing w:after="0" w:line="520" w:lineRule="exact"/>
        <w:ind w:firstLine="643" w:firstLineChars="200"/>
        <w:jc w:val="center"/>
        <w:rPr>
          <w:rFonts w:ascii="仿宋" w:hAnsi="仿宋" w:eastAsia="仿宋" w:cs="仿宋"/>
          <w:b/>
          <w:color w:val="000000" w:themeColor="text1"/>
          <w:sz w:val="32"/>
          <w:szCs w:val="32"/>
        </w:rPr>
      </w:pPr>
    </w:p>
    <w:p>
      <w:pPr>
        <w:spacing w:after="0" w:line="520" w:lineRule="exact"/>
        <w:ind w:firstLine="643" w:firstLineChars="200"/>
        <w:jc w:val="center"/>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目  录</w:t>
      </w:r>
    </w:p>
    <w:p>
      <w:pPr>
        <w:spacing w:after="0" w:line="520" w:lineRule="exact"/>
        <w:ind w:firstLine="643" w:firstLineChars="200"/>
        <w:jc w:val="center"/>
        <w:rPr>
          <w:rFonts w:ascii="仿宋" w:hAnsi="仿宋" w:eastAsia="仿宋" w:cs="仿宋"/>
          <w:b/>
          <w:color w:val="000000" w:themeColor="text1"/>
          <w:sz w:val="32"/>
          <w:szCs w:val="32"/>
        </w:rPr>
      </w:pPr>
    </w:p>
    <w:p>
      <w:pPr>
        <w:spacing w:after="0" w:line="520" w:lineRule="exact"/>
        <w:ind w:firstLine="602" w:firstLineChars="200"/>
        <w:rPr>
          <w:rFonts w:ascii="仿宋" w:hAnsi="仿宋" w:eastAsia="仿宋" w:cs="仿宋"/>
          <w:b/>
          <w:bCs/>
          <w:color w:val="000000" w:themeColor="text1"/>
          <w:sz w:val="30"/>
          <w:szCs w:val="30"/>
        </w:rPr>
      </w:pPr>
      <w:r>
        <w:rPr>
          <w:rFonts w:hint="eastAsia" w:ascii="仿宋" w:hAnsi="仿宋" w:eastAsia="仿宋" w:cs="仿宋"/>
          <w:b/>
          <w:bCs/>
          <w:color w:val="000000" w:themeColor="text1"/>
          <w:sz w:val="30"/>
          <w:szCs w:val="30"/>
        </w:rPr>
        <w:t xml:space="preserve">第一部分玛纳斯县广东地乡学校概况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color w:val="000000" w:themeColor="text1"/>
          <w:sz w:val="30"/>
          <w:szCs w:val="30"/>
        </w:rPr>
        <w:t>一、主要职能、机构设置及人员</w:t>
      </w:r>
      <w:r>
        <w:rPr>
          <w:rFonts w:hint="eastAsia" w:ascii="仿宋" w:hAnsi="仿宋" w:eastAsia="仿宋" w:cs="仿宋"/>
          <w:sz w:val="30"/>
          <w:szCs w:val="30"/>
        </w:rPr>
        <w:t xml:space="preserve">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二、部门决算单位构成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第二部分 部门决算情况说明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一、部门收支总体情况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（一）部门收入支出决算总体情况说明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（二）部门收入总体情况说明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（三）部门支出总体情况说明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二、部门财政拨款收支情况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（一）财政拨款收支总体情况说明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（二）一般公共预算支出决算情况说明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（三）政府性基金预算收支决算情况说明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（四）政府性基金预算支出决算情况说明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三、部门结转结余情况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四、一般公共预算“三公”经费支出情况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五、机关运行经费支出情况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六、政府采购情况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七、其他重要事项的情况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（一）国有资产占用情况说明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（二）国有资产收益征缴情况说明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（三）部门项目支出情况和项目绩效评价情况说明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第三部分 专业名词解释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第四部分 部门决算报表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一、报表封面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二、部门收支总体情况（11张）：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《行政事业类项目收入支出决算表》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《基本建设类项目收入支出决算表》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《财政专户管理资金收入支出决算表》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三、财政拨款收支情况（9张）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《财政拨款收入支出决算总表》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四、单位资产负责情况（1张）：《资产负债简表》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五、部门决算附表（5张）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《资产情况表》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《国有资产收益征缴情况表》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《基本数字表》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《机构人员情况表》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《非税收入征缴情况表》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六、填报说明附表（2张）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《部门决算相关信息统计表》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《政府采购情况表》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七、“三公”经费支出情况(1张)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w:t>
      </w:r>
      <w:r>
        <w:rPr>
          <w:rFonts w:hint="eastAsia" w:ascii="仿宋" w:hAnsi="仿宋" w:eastAsia="仿宋" w:cs="仿宋"/>
          <w:sz w:val="30"/>
          <w:szCs w:val="30"/>
          <w:lang w:val="en-US" w:eastAsia="zh-CN"/>
        </w:rPr>
        <w:t>2017</w:t>
      </w:r>
      <w:r>
        <w:rPr>
          <w:rFonts w:hint="eastAsia" w:ascii="仿宋" w:hAnsi="仿宋" w:eastAsia="仿宋" w:cs="仿宋"/>
          <w:sz w:val="30"/>
          <w:szCs w:val="30"/>
        </w:rPr>
        <w:t xml:space="preserve">年度一般公共预算“三公”经费支出情况表》 </w:t>
      </w: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after="0" w:line="520" w:lineRule="exact"/>
        <w:jc w:val="center"/>
        <w:rPr>
          <w:rFonts w:ascii="仿宋" w:hAnsi="仿宋" w:eastAsia="仿宋" w:cs="仿宋"/>
          <w:b/>
          <w:bCs/>
          <w:sz w:val="30"/>
          <w:szCs w:val="30"/>
        </w:rPr>
      </w:pPr>
      <w:r>
        <w:rPr>
          <w:rFonts w:hint="eastAsia" w:ascii="仿宋" w:hAnsi="仿宋" w:eastAsia="仿宋" w:cs="仿宋"/>
          <w:b/>
          <w:bCs/>
          <w:sz w:val="30"/>
          <w:szCs w:val="30"/>
        </w:rPr>
        <w:t>第一部分 部门单位概况</w:t>
      </w:r>
    </w:p>
    <w:p>
      <w:pPr>
        <w:spacing w:after="0" w:line="520" w:lineRule="exact"/>
        <w:ind w:left="600"/>
        <w:rPr>
          <w:rFonts w:cs="宋体" w:asciiTheme="minorEastAsia" w:hAnsiTheme="minorEastAsia" w:eastAsiaTheme="minorEastAsia"/>
          <w:color w:val="333333"/>
          <w:sz w:val="28"/>
          <w:szCs w:val="28"/>
        </w:rPr>
      </w:pPr>
      <w:r>
        <w:rPr>
          <w:rFonts w:hint="eastAsia" w:cs="宋体" w:asciiTheme="minorEastAsia" w:hAnsiTheme="minorEastAsia" w:eastAsiaTheme="minorEastAsia"/>
          <w:color w:val="333333"/>
          <w:sz w:val="28"/>
          <w:szCs w:val="28"/>
        </w:rPr>
        <w:t>一、部门单位基本情况：</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玛纳斯县广东地乡学校位于位于距县城北郊5公里处，学校占地面积33312.5平方米，校舍建筑总面积3627平方米。学校共有编制教职工13名，年末实有人数23人，学校共有111名学生。</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玛纳斯县广东地乡学校设置主要部门如下：校党支部、办公室、总务处、校党支部及其主要职能是：</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一、认真抓好学校党的思想、组织、作风建设，加强党的教育、管理，努力提高党员的素质，充分发挥党支部和党员的先锋模范作用。</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二、保证、监督校长正确贯彻执行党和国家的教育方针、政策、法规，保证办学的社会主义方向。</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三、对学校行政工作的重大问题提出意见和建议， 参与决策，支持校长充分行使职权。</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四、发挥党员以身作则作用； 做好全体教职员工的思想政治工作，配合校长抓好学校的德育工作。</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五、坚持党管干部的原则，加强对学校后备干部、中层干部的教育、培养、考察。</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六、根据党章规定，做好发展党员工作，做好党员的评议、鉴定工作。</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七、领导学校工会、共青团、等群众组织。工会的工作职能</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一、充分发挥工会的教育职能，努力抓好教职工队伍建设</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二、充分发挥工会的监督职能，积极完善校园民主政治制度建设</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三、充分发挥工会的维权职能，切实维护教职工的合法利益</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四、充分发挥工会的协调职能，努力促进校园和谐</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2、办公室及其工作职能</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玛纳斯县广东地乡学校办公室是学校行政的综合办事机构。 其主要职能是围绕学校中心工作，积极发挥参谋助手作用，负责综合协调、信息枢纽、督促检查等工作。</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一、参谋职能：全面及时掌握全校情况和动态，做好全校日常行政管理工作，负责全校年度工作计划、总结。围绕学校重大事项和中心工作开展调查研究工作，分析、研究并提意见。</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二、承办职能：负责上级下发的公文及校内请示、报告的处理工作，负责各种人事档案，资料的整理、归档工作，负责图书、报刊、杂志征订及资料印刷支出的审核和分发工作。计划，承办学校行政会议的组织准备工作和会议记录整理、保密工作。</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三、管理职能：参与全校管理事务，负责教职工聘用、工资审核等工作，做好岗位考勤统计、审核工作，配合总务处做好有关的资金核算工作。负责对中层干部的选拔聘用、考核及考核资料的搜集、 汇总和登记工作。</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四、协调职能：主要抓好纵向协调、横向协调和内部协调，严格执行学校的规章制度，明确各处室职权，协调各处室、教职员工等方面关系，正确有效处理有关矛盾。教务处的工作职能教务处是学校教学的直接管理部门， 负责计划、组织、实施、管理教学工作的全过程。教务处需要协助校长确定教学管理的重点，并具体负责监督执行教学计划方案， 具体负责教学检查的组织实施，落实教学计划，确保学校教学不受干扰地正常进行。对学校的教学活动达到最有效的控制， 使学校内部各种与教学有关的机制协调运行，达到教和教学目标。</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其主要职能是：</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（1）行政职能，教务处对校长负责，根据党和国家有关方针政策要求和教学大纲、教计划、教科书的要求，制定本学校的教务计划，并组织实行；</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（2）参谋职能，对教务方面的重大改革提出方案，进行论证；</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（3）研究职能，对教务工作的重要课题、突破性课题、探索性课题、疑难性课题进行研究和实验；</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（4）服务性职能，在教育教学方面为教师、学生服务，从教材、实验设备、图书资料、教材教法、理论研究、教育规律探讨等方面，支持第一线教师的工作；</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5）视导职能，为教务工作的各个方面制定质量、数量标准，对工作进展情况和工作质量进行了解、分析与评估，根据评估情况进行调整指导，推动教务工作按规律高效率地运转。政教处的工作职能政教处是校长领导全校德育工作的得力助手。 其主要职责是全面负责学校对学生的常规管理、 思想教育、日常行为规范的养成及学校有关的大型活动的组织工作， 促进学生良好行为习惯的养成及思想道德水平的提高。</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一、学生日常行为规范管理</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1、检查仪表仪态</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2、随时掌握学生思想、操行动态</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3、处理</w:t>
      </w:r>
      <w:r>
        <w:rPr>
          <w:rFonts w:hint="eastAsia" w:ascii="仿宋" w:hAnsi="仿宋" w:eastAsia="仿宋" w:cs="仿宋"/>
          <w:sz w:val="30"/>
          <w:szCs w:val="30"/>
          <w:lang w:val="en-US" w:eastAsia="zh-CN"/>
        </w:rPr>
        <w:t>学生</w:t>
      </w:r>
      <w:r>
        <w:rPr>
          <w:rFonts w:hint="eastAsia" w:ascii="仿宋" w:hAnsi="仿宋" w:eastAsia="仿宋" w:cs="仿宋"/>
          <w:sz w:val="30"/>
          <w:szCs w:val="30"/>
        </w:rPr>
        <w:t>违纪现象</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4、开展德育课题</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5、加强学生政治思想教育</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二、学生安全健康工作</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lang w:val="en-US" w:eastAsia="zh-CN"/>
        </w:rPr>
        <w:t>1</w:t>
      </w:r>
      <w:r>
        <w:rPr>
          <w:rFonts w:hint="eastAsia" w:ascii="仿宋" w:hAnsi="仿宋" w:eastAsia="仿宋" w:cs="仿宋"/>
          <w:sz w:val="30"/>
          <w:szCs w:val="30"/>
        </w:rPr>
        <w:t>、建立健全学校、社会、家庭相结合的教育网络</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lang w:val="en-US" w:eastAsia="zh-CN"/>
        </w:rPr>
        <w:t>2</w:t>
      </w:r>
      <w:r>
        <w:rPr>
          <w:rFonts w:hint="eastAsia" w:ascii="仿宋" w:hAnsi="仿宋" w:eastAsia="仿宋" w:cs="仿宋"/>
          <w:sz w:val="30"/>
          <w:szCs w:val="30"/>
        </w:rPr>
        <w:t>、加强学生心理教育和法制教育</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lang w:val="en-US" w:eastAsia="zh-CN"/>
        </w:rPr>
        <w:t>3</w:t>
      </w:r>
      <w:r>
        <w:rPr>
          <w:rFonts w:hint="eastAsia" w:ascii="仿宋" w:hAnsi="仿宋" w:eastAsia="仿宋" w:cs="仿宋"/>
          <w:sz w:val="30"/>
          <w:szCs w:val="30"/>
        </w:rPr>
        <w:t>、深化导师制管理制度</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三、班级管理工作</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1、加强对班级、班主任的管理</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2、班级九项竞赛评比</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3、负责实施奖惩条例</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4、做好贫困生资助工作</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总务处及其工作职能：</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总务处是在校长领导下负责校园校舍、 物资财产、生活福利等总务行政管理的职能处室。</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其主要职能是：</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1、规化职能：做好全校总务工作，编制学校总务工作计划并组织实施，配合学校教学任务的完成。</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2、财务职能：遵守财经纪律，执行财务管理制度。做好学校学费、培训费的收取工作，做好财务核算、费用报销及审核工作，做好有关考勤、考核等奖金、工资发放工作。合理使用经费，按期报好报表。</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3、管理职能：负责学校基建、卫生保健、教学物品采购工作，协调本部门与校内外有关部门工作联系。 负责全校各种设备、器具、财产的管理、保养和维修，指导有关部门和人员合理使用。</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4、服务职能：负责学校后勤工作，负责全校教学区、教职工生活区卫生保洁的各类设施维修、监督、管理等工作。关心师生生活，办好食堂和教职工集体福利事业。</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二、部门决算单位构成。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本级预算单位一个，无下属预算单位。</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从决算单位构成看，广东地乡学校部门决算包括：广东地乡学校部门本级决算、所属单位决算等。 </w:t>
      </w:r>
    </w:p>
    <w:p>
      <w:pPr>
        <w:spacing w:line="220" w:lineRule="atLeast"/>
        <w:ind w:firstLine="600" w:firstLineChars="200"/>
        <w:rPr>
          <w:rFonts w:ascii="仿宋" w:hAnsi="仿宋" w:eastAsia="仿宋" w:cs="仿宋"/>
          <w:sz w:val="30"/>
          <w:szCs w:val="30"/>
        </w:rPr>
      </w:pPr>
      <w:r>
        <w:rPr>
          <w:rFonts w:hint="eastAsia" w:ascii="仿宋" w:hAnsi="仿宋" w:eastAsia="仿宋" w:cs="仿宋"/>
          <w:sz w:val="30"/>
          <w:szCs w:val="30"/>
        </w:rPr>
        <w:t>纳入广东地乡学校</w:t>
      </w:r>
      <w:r>
        <w:rPr>
          <w:rFonts w:hint="eastAsia" w:ascii="仿宋" w:hAnsi="仿宋" w:eastAsia="仿宋" w:cs="仿宋"/>
          <w:sz w:val="30"/>
          <w:szCs w:val="30"/>
          <w:lang w:val="en-US" w:eastAsia="zh-CN"/>
        </w:rPr>
        <w:t>2017</w:t>
      </w:r>
      <w:r>
        <w:rPr>
          <w:rFonts w:hint="eastAsia" w:ascii="仿宋" w:hAnsi="仿宋" w:eastAsia="仿宋" w:cs="仿宋"/>
          <w:sz w:val="30"/>
          <w:szCs w:val="30"/>
        </w:rPr>
        <w:t xml:space="preserve">年部门决算编制范围的单位名单见下表： </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5"/>
        <w:gridCol w:w="4440"/>
        <w:gridCol w:w="2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825"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序号</w:t>
            </w:r>
          </w:p>
        </w:tc>
        <w:tc>
          <w:tcPr>
            <w:tcW w:w="4440"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单位名称</w:t>
            </w:r>
          </w:p>
        </w:tc>
        <w:tc>
          <w:tcPr>
            <w:tcW w:w="2257"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25"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1</w:t>
            </w:r>
          </w:p>
        </w:tc>
        <w:tc>
          <w:tcPr>
            <w:tcW w:w="4440"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广东地乡学校单位本级</w:t>
            </w:r>
          </w:p>
        </w:tc>
        <w:tc>
          <w:tcPr>
            <w:tcW w:w="2257" w:type="dxa"/>
          </w:tcPr>
          <w:p>
            <w:pPr>
              <w:widowControl w:val="0"/>
              <w:spacing w:line="220" w:lineRule="atLeast"/>
              <w:jc w:val="center"/>
              <w:rPr>
                <w:rFonts w:ascii="仿宋" w:hAnsi="仿宋" w:eastAsia="仿宋" w:cs="仿宋"/>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25" w:type="dxa"/>
          </w:tcPr>
          <w:p>
            <w:pPr>
              <w:widowControl w:val="0"/>
              <w:spacing w:line="220" w:lineRule="atLeast"/>
              <w:jc w:val="both"/>
              <w:rPr>
                <w:rFonts w:ascii="仿宋" w:hAnsi="仿宋" w:eastAsia="仿宋" w:cs="仿宋"/>
                <w:sz w:val="30"/>
                <w:szCs w:val="30"/>
              </w:rPr>
            </w:pPr>
          </w:p>
        </w:tc>
        <w:tc>
          <w:tcPr>
            <w:tcW w:w="4440" w:type="dxa"/>
          </w:tcPr>
          <w:p>
            <w:pPr>
              <w:widowControl w:val="0"/>
              <w:spacing w:line="220" w:lineRule="atLeast"/>
              <w:jc w:val="center"/>
              <w:rPr>
                <w:rFonts w:ascii="仿宋" w:hAnsi="仿宋" w:eastAsia="仿宋" w:cs="仿宋"/>
                <w:sz w:val="30"/>
                <w:szCs w:val="30"/>
              </w:rPr>
            </w:pPr>
          </w:p>
        </w:tc>
        <w:tc>
          <w:tcPr>
            <w:tcW w:w="2257" w:type="dxa"/>
          </w:tcPr>
          <w:p>
            <w:pPr>
              <w:widowControl w:val="0"/>
              <w:spacing w:line="220" w:lineRule="atLeast"/>
              <w:jc w:val="center"/>
              <w:rPr>
                <w:rFonts w:ascii="仿宋" w:hAnsi="仿宋" w:eastAsia="仿宋" w:cs="仿宋"/>
                <w:sz w:val="30"/>
                <w:szCs w:val="30"/>
              </w:rPr>
            </w:pPr>
          </w:p>
        </w:tc>
      </w:tr>
    </w:tbl>
    <w:p>
      <w:pPr>
        <w:spacing w:after="0" w:line="520" w:lineRule="exact"/>
        <w:jc w:val="both"/>
        <w:rPr>
          <w:rFonts w:hint="eastAsia" w:cs="仿宋" w:asciiTheme="minorEastAsia" w:hAnsiTheme="minorEastAsia" w:eastAsiaTheme="minorEastAsia"/>
          <w:b/>
          <w:bCs/>
          <w:color w:val="000000" w:themeColor="text1"/>
          <w:sz w:val="28"/>
          <w:szCs w:val="28"/>
        </w:rPr>
      </w:pPr>
    </w:p>
    <w:p>
      <w:pPr>
        <w:spacing w:after="0" w:line="520" w:lineRule="exact"/>
        <w:jc w:val="center"/>
        <w:rPr>
          <w:rFonts w:hint="eastAsia" w:cs="仿宋" w:asciiTheme="minorEastAsia" w:hAnsiTheme="minorEastAsia" w:eastAsiaTheme="minorEastAsia"/>
          <w:b/>
          <w:bCs/>
          <w:color w:val="000000" w:themeColor="text1"/>
          <w:sz w:val="28"/>
          <w:szCs w:val="28"/>
        </w:rPr>
      </w:pPr>
    </w:p>
    <w:p>
      <w:pPr>
        <w:spacing w:after="0" w:line="520" w:lineRule="exact"/>
        <w:jc w:val="center"/>
        <w:rPr>
          <w:rFonts w:hint="eastAsia" w:cs="仿宋" w:asciiTheme="minorEastAsia" w:hAnsiTheme="minorEastAsia" w:eastAsiaTheme="minorEastAsia"/>
          <w:b/>
          <w:bCs/>
          <w:color w:val="000000" w:themeColor="text1"/>
          <w:sz w:val="28"/>
          <w:szCs w:val="28"/>
        </w:rPr>
      </w:pPr>
    </w:p>
    <w:p>
      <w:pPr>
        <w:spacing w:after="0" w:line="520" w:lineRule="exact"/>
        <w:jc w:val="center"/>
        <w:rPr>
          <w:rFonts w:cs="仿宋" w:asciiTheme="minorEastAsia" w:hAnsiTheme="minorEastAsia" w:eastAsiaTheme="minorEastAsia"/>
          <w:b/>
          <w:bCs/>
          <w:color w:val="000000" w:themeColor="text1"/>
          <w:sz w:val="28"/>
          <w:szCs w:val="28"/>
        </w:rPr>
      </w:pPr>
      <w:r>
        <w:rPr>
          <w:rFonts w:hint="eastAsia" w:cs="仿宋" w:asciiTheme="minorEastAsia" w:hAnsiTheme="minorEastAsia" w:eastAsiaTheme="minorEastAsia"/>
          <w:b/>
          <w:bCs/>
          <w:color w:val="000000" w:themeColor="text1"/>
          <w:sz w:val="28"/>
          <w:szCs w:val="28"/>
        </w:rPr>
        <w:t>第二部分 部门决算情况说明</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一、部门收支总体情况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（一）部门收入支出决算总体情况说明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2017年度决算收入420.24万元,与上年相比，减少58.79万元，</w:t>
      </w:r>
      <w:r>
        <w:rPr>
          <w:rFonts w:hint="eastAsia" w:ascii="仿宋" w:hAnsi="仿宋" w:eastAsia="仿宋" w:cs="仿宋"/>
          <w:color w:val="000000" w:themeColor="text1"/>
          <w:sz w:val="30"/>
          <w:szCs w:val="30"/>
          <w:lang w:eastAsia="zh-CN"/>
        </w:rPr>
        <w:t>降低</w:t>
      </w:r>
      <w:r>
        <w:rPr>
          <w:rFonts w:hint="eastAsia" w:ascii="仿宋" w:hAnsi="仿宋" w:eastAsia="仿宋" w:cs="仿宋"/>
          <w:color w:val="000000" w:themeColor="text1"/>
          <w:sz w:val="30"/>
          <w:szCs w:val="30"/>
        </w:rPr>
        <w:t>13.99%，支出420.24万元,与上年相比，减少58.79万元，</w:t>
      </w:r>
      <w:r>
        <w:rPr>
          <w:rFonts w:hint="eastAsia" w:ascii="仿宋" w:hAnsi="仿宋" w:eastAsia="仿宋" w:cs="仿宋"/>
          <w:color w:val="000000" w:themeColor="text1"/>
          <w:sz w:val="30"/>
          <w:szCs w:val="30"/>
          <w:lang w:eastAsia="zh-CN"/>
        </w:rPr>
        <w:t>降低</w:t>
      </w:r>
      <w:r>
        <w:rPr>
          <w:rFonts w:hint="eastAsia" w:ascii="仿宋" w:hAnsi="仿宋" w:eastAsia="仿宋" w:cs="仿宋"/>
          <w:color w:val="000000" w:themeColor="text1"/>
          <w:sz w:val="30"/>
          <w:szCs w:val="30"/>
        </w:rPr>
        <w:t xml:space="preserve">13.99%。增减变化主要原因是：收入支出减少变化原因为人员减少导致拨款及人员开支相应减少。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与预算相比情况。</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2017年度决算收入420.24万元（含其他收入），预算收入388.13万元，相差32.11万元，决算支出420.24万元，预算支出388.13万元，相差32.11万元，决算收入和支出大于预算原因为：人员经费减少。</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其他有关说明内容。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无</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（二）部门收入总体情况说明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 本年收入合计420.24万元，其中：财政拨款收入420.18万元，占99.99%；其他收入0.06万元，占0.01%。增减变化的主要原因是：由于人员减少导致相应财政拨款减少。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color w:val="000000" w:themeColor="text1"/>
          <w:sz w:val="30"/>
          <w:szCs w:val="30"/>
        </w:rPr>
        <w:t>与预算相比情况</w:t>
      </w:r>
      <w:r>
        <w:rPr>
          <w:rFonts w:hint="eastAsia" w:ascii="仿宋" w:hAnsi="仿宋" w:eastAsia="仿宋" w:cs="仿宋"/>
          <w:sz w:val="30"/>
          <w:szCs w:val="30"/>
        </w:rPr>
        <w:t>。</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2017年预算收入为388.13万元，2017年度决算收入420.24万元，决算比预算收入增加32.11万元</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其他有关说明内容。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（三）部门支出总体情况说明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本年支出合计420.24万元，其中：基本支出374.58万元，占89.14%；项目支出45.66万元，占10.86%  。增减变化的主要原因是：由于人员减少导致相应支出减少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与预算相比情况。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color w:val="000000" w:themeColor="text1"/>
          <w:sz w:val="30"/>
          <w:szCs w:val="30"/>
        </w:rPr>
        <w:t>决算支出420.24万元，预算支出388.13万元，相差32.11万元，决算收入和支出大于预算原因为：增加学前教师工资</w:t>
      </w:r>
      <w:r>
        <w:rPr>
          <w:rFonts w:hint="eastAsia" w:ascii="仿宋" w:hAnsi="仿宋" w:eastAsia="仿宋" w:cs="仿宋"/>
          <w:sz w:val="30"/>
          <w:szCs w:val="30"/>
        </w:rPr>
        <w:t>。</w:t>
      </w:r>
      <w:bookmarkStart w:id="0" w:name="_GoBack"/>
      <w:bookmarkEnd w:id="0"/>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其他有关说明内容。 无</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二、部门财政拨款收支情况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（一）财政拨款收支总体情况说明 </w:t>
      </w:r>
    </w:p>
    <w:p>
      <w:pPr>
        <w:spacing w:after="0" w:line="520" w:lineRule="exact"/>
        <w:ind w:firstLine="600" w:firstLineChars="200"/>
        <w:rPr>
          <w:rFonts w:hint="eastAsia" w:ascii="仿宋" w:hAnsi="仿宋" w:eastAsia="仿宋" w:cs="仿宋"/>
          <w:color w:val="FF0000"/>
          <w:sz w:val="30"/>
          <w:szCs w:val="30"/>
        </w:rPr>
      </w:pPr>
      <w:r>
        <w:rPr>
          <w:rFonts w:hint="eastAsia" w:ascii="仿宋" w:hAnsi="仿宋" w:eastAsia="仿宋" w:cs="仿宋"/>
          <w:color w:val="000000" w:themeColor="text1"/>
          <w:sz w:val="30"/>
          <w:szCs w:val="30"/>
        </w:rPr>
        <w:t>2017年度财政拨款收入420.18万元，与上年479.02万元相比，减少58.84万元，</w:t>
      </w:r>
      <w:r>
        <w:rPr>
          <w:rFonts w:hint="eastAsia" w:ascii="仿宋" w:hAnsi="仿宋" w:eastAsia="仿宋" w:cs="仿宋"/>
          <w:color w:val="000000" w:themeColor="text1"/>
          <w:sz w:val="30"/>
          <w:szCs w:val="30"/>
          <w:lang w:eastAsia="zh-CN"/>
        </w:rPr>
        <w:t>降低</w:t>
      </w:r>
      <w:r>
        <w:rPr>
          <w:rFonts w:hint="eastAsia" w:ascii="仿宋" w:hAnsi="仿宋" w:eastAsia="仿宋" w:cs="仿宋"/>
          <w:color w:val="000000" w:themeColor="text1"/>
          <w:sz w:val="30"/>
          <w:szCs w:val="30"/>
        </w:rPr>
        <w:t>14%。增减变化的主要原因是：由于人员减少导致相应支出减少 。财政拨款支出420.24万元，与上年479.03相比，减少58.79万元，</w:t>
      </w:r>
      <w:r>
        <w:rPr>
          <w:rFonts w:hint="eastAsia" w:ascii="仿宋" w:hAnsi="仿宋" w:eastAsia="仿宋" w:cs="仿宋"/>
          <w:color w:val="000000" w:themeColor="text1"/>
          <w:sz w:val="30"/>
          <w:szCs w:val="30"/>
          <w:lang w:eastAsia="zh-CN"/>
        </w:rPr>
        <w:t>降低</w:t>
      </w:r>
      <w:r>
        <w:rPr>
          <w:rFonts w:hint="eastAsia" w:ascii="仿宋" w:hAnsi="仿宋" w:eastAsia="仿宋" w:cs="仿宋"/>
          <w:color w:val="000000" w:themeColor="text1"/>
          <w:sz w:val="30"/>
          <w:szCs w:val="30"/>
        </w:rPr>
        <w:t>13.99%。</w:t>
      </w:r>
      <w:r>
        <w:rPr>
          <w:rFonts w:hint="eastAsia" w:ascii="仿宋" w:hAnsi="仿宋" w:eastAsia="仿宋" w:cs="仿宋"/>
          <w:sz w:val="30"/>
          <w:szCs w:val="30"/>
        </w:rPr>
        <w:t>其中：基本支出</w:t>
      </w:r>
      <w:r>
        <w:rPr>
          <w:rFonts w:hint="eastAsia" w:ascii="仿宋" w:hAnsi="仿宋" w:eastAsia="仿宋" w:cs="仿宋"/>
          <w:color w:val="000000" w:themeColor="text1"/>
          <w:sz w:val="30"/>
          <w:szCs w:val="30"/>
        </w:rPr>
        <w:t>374.58</w:t>
      </w:r>
      <w:r>
        <w:rPr>
          <w:rFonts w:hint="eastAsia" w:ascii="仿宋" w:hAnsi="仿宋" w:eastAsia="仿宋" w:cs="仿宋"/>
          <w:sz w:val="30"/>
          <w:szCs w:val="30"/>
        </w:rPr>
        <w:t>万元，项目支出</w:t>
      </w:r>
      <w:r>
        <w:rPr>
          <w:rFonts w:hint="eastAsia" w:ascii="仿宋" w:hAnsi="仿宋" w:eastAsia="仿宋" w:cs="仿宋"/>
          <w:color w:val="000000" w:themeColor="text1"/>
          <w:sz w:val="30"/>
          <w:szCs w:val="30"/>
        </w:rPr>
        <w:t>45.66</w:t>
      </w:r>
      <w:r>
        <w:rPr>
          <w:rFonts w:hint="eastAsia" w:ascii="仿宋" w:hAnsi="仿宋" w:eastAsia="仿宋" w:cs="仿宋"/>
          <w:sz w:val="30"/>
          <w:szCs w:val="30"/>
        </w:rPr>
        <w:t xml:space="preserve">万元。增减变化的主要原因是：人员经费减少。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与预算相比情况。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2017年决算财政拨款收入420.18万元，2017年预算收入为388.13万元，相差32.05万元</w:t>
      </w:r>
      <w:r>
        <w:rPr>
          <w:rFonts w:hint="eastAsia" w:ascii="仿宋" w:hAnsi="仿宋" w:eastAsia="仿宋" w:cs="仿宋"/>
          <w:color w:val="000000" w:themeColor="text1"/>
          <w:sz w:val="30"/>
          <w:szCs w:val="30"/>
          <w:lang w:eastAsia="zh-CN"/>
        </w:rPr>
        <w:t>，</w:t>
      </w:r>
      <w:r>
        <w:rPr>
          <w:rFonts w:hint="eastAsia" w:ascii="仿宋" w:hAnsi="仿宋" w:eastAsia="仿宋" w:cs="仿宋"/>
          <w:color w:val="000000" w:themeColor="text1"/>
          <w:sz w:val="30"/>
          <w:szCs w:val="30"/>
        </w:rPr>
        <w:t>其中社会保障和就业支出及工资福利支出占主要超支。</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其他有关说明内容。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 （二）一般公共预算支出决算情况说明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2017年度一般公共预算财政拨款支出420.24万元。与上年数479.03万元相比，减少58.79万元，</w:t>
      </w:r>
      <w:r>
        <w:rPr>
          <w:rFonts w:hint="eastAsia" w:ascii="仿宋" w:hAnsi="仿宋" w:eastAsia="仿宋" w:cs="仿宋"/>
          <w:color w:val="000000" w:themeColor="text1"/>
          <w:sz w:val="30"/>
          <w:szCs w:val="30"/>
          <w:lang w:eastAsia="zh-CN"/>
        </w:rPr>
        <w:t>降低</w:t>
      </w:r>
      <w:r>
        <w:rPr>
          <w:rFonts w:hint="eastAsia" w:ascii="仿宋" w:hAnsi="仿宋" w:eastAsia="仿宋" w:cs="仿宋"/>
          <w:color w:val="000000" w:themeColor="text1"/>
          <w:sz w:val="30"/>
          <w:szCs w:val="30"/>
        </w:rPr>
        <w:t xml:space="preserve">13.99%。增减变化的主要原因是：各项费用均有减少，主要为人员经费的减少。其中：按功能分类科目，教育支出338.03万元，社会保障和就业支出36.55万元。按经济分类科目，工资福利支出262.35万元，商品和服务支出28.19万元，对个人和家庭的补助38.64万元，其他资本性支出8.85万元。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与预算相比情况。</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sz w:val="30"/>
          <w:szCs w:val="30"/>
        </w:rPr>
        <w:t xml:space="preserve"> 2</w:t>
      </w:r>
      <w:r>
        <w:rPr>
          <w:rFonts w:hint="eastAsia" w:ascii="仿宋" w:hAnsi="仿宋" w:eastAsia="仿宋" w:cs="仿宋"/>
          <w:color w:val="000000" w:themeColor="text1"/>
          <w:sz w:val="30"/>
          <w:szCs w:val="30"/>
        </w:rPr>
        <w:t>017年度一般公共预算财政拨款支出420.24万元，与年初预算388.13万元相差32.11万元，超支0.08%，其中社会保障和就业支出及工资福利支出占主要超支。</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其他有关说明内容。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（三）政府性基金预算收支决算情况说明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eastAsia="zh-CN"/>
        </w:rPr>
        <w:t>2017年</w:t>
      </w:r>
      <w:r>
        <w:rPr>
          <w:rFonts w:hint="eastAsia" w:ascii="仿宋" w:hAnsi="仿宋" w:eastAsia="仿宋" w:cs="仿宋"/>
          <w:sz w:val="30"/>
          <w:szCs w:val="30"/>
        </w:rPr>
        <w:t>度政府性基金预算财政拨款收入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%。增减变化的主要原因是：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。政府性基金预算财政拨款支出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%。增减变化的主要原因是：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 xml:space="preserve">。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与预算相比情况。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lang w:eastAsia="zh-CN"/>
        </w:rPr>
        <w:t>2017年</w:t>
      </w:r>
      <w:r>
        <w:rPr>
          <w:rFonts w:hint="eastAsia" w:ascii="仿宋" w:hAnsi="仿宋" w:eastAsia="仿宋" w:cs="仿宋"/>
          <w:sz w:val="30"/>
          <w:szCs w:val="30"/>
        </w:rPr>
        <w:t>度政府性基金预算财政拨款收入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万元，与</w:t>
      </w:r>
      <w:r>
        <w:rPr>
          <w:rFonts w:hint="eastAsia" w:ascii="仿宋" w:hAnsi="仿宋" w:eastAsia="仿宋" w:cs="仿宋"/>
          <w:sz w:val="30"/>
          <w:szCs w:val="30"/>
          <w:lang w:eastAsia="zh-CN"/>
        </w:rPr>
        <w:t>预算</w:t>
      </w:r>
      <w:r>
        <w:rPr>
          <w:rFonts w:hint="eastAsia" w:ascii="仿宋" w:hAnsi="仿宋" w:eastAsia="仿宋" w:cs="仿宋"/>
          <w:sz w:val="30"/>
          <w:szCs w:val="30"/>
        </w:rPr>
        <w:t>相比，增加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%。增减变化的主要原因是：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。政府性基金预算财政拨款支出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万元，与</w:t>
      </w:r>
      <w:r>
        <w:rPr>
          <w:rFonts w:hint="eastAsia" w:ascii="仿宋" w:hAnsi="仿宋" w:eastAsia="仿宋" w:cs="仿宋"/>
          <w:sz w:val="30"/>
          <w:szCs w:val="30"/>
          <w:lang w:eastAsia="zh-CN"/>
        </w:rPr>
        <w:t>预算</w:t>
      </w:r>
      <w:r>
        <w:rPr>
          <w:rFonts w:hint="eastAsia" w:ascii="仿宋" w:hAnsi="仿宋" w:eastAsia="仿宋" w:cs="仿宋"/>
          <w:sz w:val="30"/>
          <w:szCs w:val="30"/>
        </w:rPr>
        <w:t>相比，增加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%。增减变化的主要原因是：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其他有关说明内容。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lang w:eastAsia="zh-CN"/>
        </w:rPr>
        <w:t>无</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（四）政府性基金预算支出决算情况说明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sz w:val="30"/>
          <w:szCs w:val="30"/>
          <w:lang w:eastAsia="zh-CN"/>
        </w:rPr>
        <w:t>2017年</w:t>
      </w:r>
      <w:r>
        <w:rPr>
          <w:rFonts w:hint="eastAsia" w:ascii="仿宋" w:hAnsi="仿宋" w:eastAsia="仿宋" w:cs="仿宋"/>
          <w:sz w:val="30"/>
          <w:szCs w:val="30"/>
        </w:rPr>
        <w:t>度政府性基金预算支出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%。增减变化的主要原因是：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。其中：按功能分类科目，</w:t>
      </w:r>
      <w:r>
        <w:rPr>
          <w:rFonts w:hint="eastAsia" w:ascii="仿宋" w:hAnsi="仿宋" w:eastAsia="仿宋" w:cs="仿宋"/>
          <w:color w:val="000000" w:themeColor="text1"/>
          <w:sz w:val="30"/>
          <w:szCs w:val="30"/>
        </w:rPr>
        <w:t>教育支出</w:t>
      </w:r>
      <w:r>
        <w:rPr>
          <w:rFonts w:hint="eastAsia" w:ascii="仿宋" w:hAnsi="仿宋" w:eastAsia="仿宋" w:cs="仿宋"/>
          <w:color w:val="000000" w:themeColor="text1"/>
          <w:sz w:val="30"/>
          <w:szCs w:val="30"/>
          <w:lang w:val="en-US" w:eastAsia="zh-CN"/>
        </w:rPr>
        <w:t>0</w:t>
      </w:r>
      <w:r>
        <w:rPr>
          <w:rFonts w:hint="eastAsia" w:ascii="仿宋" w:hAnsi="仿宋" w:eastAsia="仿宋" w:cs="仿宋"/>
          <w:color w:val="000000" w:themeColor="text1"/>
          <w:sz w:val="30"/>
          <w:szCs w:val="30"/>
        </w:rPr>
        <w:t>万元，社会保障和就业支出</w:t>
      </w:r>
      <w:r>
        <w:rPr>
          <w:rFonts w:hint="eastAsia" w:ascii="仿宋" w:hAnsi="仿宋" w:eastAsia="仿宋" w:cs="仿宋"/>
          <w:color w:val="000000" w:themeColor="text1"/>
          <w:sz w:val="30"/>
          <w:szCs w:val="30"/>
          <w:lang w:val="en-US" w:eastAsia="zh-CN"/>
        </w:rPr>
        <w:t>0</w:t>
      </w:r>
      <w:r>
        <w:rPr>
          <w:rFonts w:hint="eastAsia" w:ascii="仿宋" w:hAnsi="仿宋" w:eastAsia="仿宋" w:cs="仿宋"/>
          <w:color w:val="000000" w:themeColor="text1"/>
          <w:sz w:val="30"/>
          <w:szCs w:val="30"/>
        </w:rPr>
        <w:t>万元。按经济分类科目，工资福利支出</w:t>
      </w:r>
      <w:r>
        <w:rPr>
          <w:rFonts w:hint="eastAsia" w:ascii="仿宋" w:hAnsi="仿宋" w:eastAsia="仿宋" w:cs="仿宋"/>
          <w:color w:val="000000" w:themeColor="text1"/>
          <w:sz w:val="30"/>
          <w:szCs w:val="30"/>
          <w:lang w:val="en-US" w:eastAsia="zh-CN"/>
        </w:rPr>
        <w:t>0</w:t>
      </w:r>
      <w:r>
        <w:rPr>
          <w:rFonts w:hint="eastAsia" w:ascii="仿宋" w:hAnsi="仿宋" w:eastAsia="仿宋" w:cs="仿宋"/>
          <w:color w:val="000000" w:themeColor="text1"/>
          <w:sz w:val="30"/>
          <w:szCs w:val="30"/>
        </w:rPr>
        <w:t>万元，商品和服务支出</w:t>
      </w:r>
      <w:r>
        <w:rPr>
          <w:rFonts w:hint="eastAsia" w:ascii="仿宋" w:hAnsi="仿宋" w:eastAsia="仿宋" w:cs="仿宋"/>
          <w:color w:val="000000" w:themeColor="text1"/>
          <w:sz w:val="30"/>
          <w:szCs w:val="30"/>
          <w:lang w:val="en-US" w:eastAsia="zh-CN"/>
        </w:rPr>
        <w:t>0</w:t>
      </w:r>
      <w:r>
        <w:rPr>
          <w:rFonts w:hint="eastAsia" w:ascii="仿宋" w:hAnsi="仿宋" w:eastAsia="仿宋" w:cs="仿宋"/>
          <w:color w:val="000000" w:themeColor="text1"/>
          <w:sz w:val="30"/>
          <w:szCs w:val="30"/>
        </w:rPr>
        <w:t>万元，对个人和家庭的补助</w:t>
      </w:r>
      <w:r>
        <w:rPr>
          <w:rFonts w:hint="eastAsia" w:ascii="仿宋" w:hAnsi="仿宋" w:eastAsia="仿宋" w:cs="仿宋"/>
          <w:color w:val="000000" w:themeColor="text1"/>
          <w:sz w:val="30"/>
          <w:szCs w:val="30"/>
          <w:lang w:val="en-US" w:eastAsia="zh-CN"/>
        </w:rPr>
        <w:t>0</w:t>
      </w:r>
      <w:r>
        <w:rPr>
          <w:rFonts w:hint="eastAsia" w:ascii="仿宋" w:hAnsi="仿宋" w:eastAsia="仿宋" w:cs="仿宋"/>
          <w:color w:val="000000" w:themeColor="text1"/>
          <w:sz w:val="30"/>
          <w:szCs w:val="30"/>
        </w:rPr>
        <w:t>万元，其他资本性支出</w:t>
      </w:r>
      <w:r>
        <w:rPr>
          <w:rFonts w:hint="eastAsia" w:ascii="仿宋" w:hAnsi="仿宋" w:eastAsia="仿宋" w:cs="仿宋"/>
          <w:color w:val="000000" w:themeColor="text1"/>
          <w:sz w:val="30"/>
          <w:szCs w:val="30"/>
          <w:lang w:val="en-US" w:eastAsia="zh-CN"/>
        </w:rPr>
        <w:t>0</w:t>
      </w:r>
      <w:r>
        <w:rPr>
          <w:rFonts w:hint="eastAsia" w:ascii="仿宋" w:hAnsi="仿宋" w:eastAsia="仿宋" w:cs="仿宋"/>
          <w:color w:val="000000" w:themeColor="text1"/>
          <w:sz w:val="30"/>
          <w:szCs w:val="30"/>
        </w:rPr>
        <w:t xml:space="preserve">万元。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lang w:eastAsia="zh-CN"/>
        </w:rPr>
        <w:t>2017年</w:t>
      </w:r>
      <w:r>
        <w:rPr>
          <w:rFonts w:hint="eastAsia" w:ascii="仿宋" w:hAnsi="仿宋" w:eastAsia="仿宋" w:cs="仿宋"/>
          <w:sz w:val="30"/>
          <w:szCs w:val="30"/>
        </w:rPr>
        <w:t>度政府性基金预算财政拨款收入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%。增减变化的主要原因是：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。政府性基金预算财政拨款支出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%。增减变化的主要原因是：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其他有关说明内容。 </w:t>
      </w:r>
    </w:p>
    <w:p>
      <w:pPr>
        <w:spacing w:after="0"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eastAsia="zh-CN"/>
        </w:rPr>
        <w:t>无</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三、部门结转结余情况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年末结转结余</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其中财政拨款结转结余</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其他有关说明内容。</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无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四、一般公共预算“三公”经费支出情况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eastAsia="zh-CN"/>
        </w:rPr>
        <w:t>2017年</w:t>
      </w:r>
      <w:r>
        <w:rPr>
          <w:rFonts w:hint="eastAsia" w:ascii="仿宋" w:hAnsi="仿宋" w:eastAsia="仿宋" w:cs="仿宋"/>
          <w:sz w:val="30"/>
          <w:szCs w:val="30"/>
        </w:rPr>
        <w:t>度一般公共预算“三公”经费支出决算</w:t>
      </w:r>
      <w:r>
        <w:rPr>
          <w:rFonts w:hint="eastAsia" w:ascii="仿宋" w:hAnsi="仿宋" w:eastAsia="仿宋" w:cs="仿宋"/>
          <w:sz w:val="30"/>
          <w:szCs w:val="30"/>
          <w:lang w:val="en-US" w:eastAsia="zh-CN"/>
        </w:rPr>
        <w:t>0</w:t>
      </w:r>
      <w:r>
        <w:rPr>
          <w:rFonts w:hint="eastAsia" w:ascii="仿宋" w:hAnsi="仿宋" w:eastAsia="仿宋" w:cs="仿宋"/>
          <w:sz w:val="30"/>
          <w:szCs w:val="30"/>
        </w:rPr>
        <w:t>万元，比上年增加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%，增加原因是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。其中，因公出国（境）费支出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%，比上年增加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%，增加原因是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；公务用车购置及运行维护费支出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%，比上年增加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%，增加原因是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；公务接待费支出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%，比上年增加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%，增加原因是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 xml:space="preserve">。具体情况如下：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因公出国（境）费支出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万元。单位全年使用一般公共预算财政拨款安排的出国（境）团组</w:t>
      </w:r>
      <w:r>
        <w:rPr>
          <w:rFonts w:hint="eastAsia" w:ascii="仿宋" w:hAnsi="仿宋" w:eastAsia="仿宋" w:cs="仿宋"/>
          <w:sz w:val="30"/>
          <w:szCs w:val="30"/>
          <w:lang w:val="en-US" w:eastAsia="zh-CN"/>
        </w:rPr>
        <w:t>0</w:t>
      </w:r>
      <w:r>
        <w:rPr>
          <w:rFonts w:hint="eastAsia" w:ascii="仿宋" w:hAnsi="仿宋" w:eastAsia="仿宋" w:cs="仿宋"/>
          <w:sz w:val="30"/>
          <w:szCs w:val="30"/>
        </w:rPr>
        <w:t>个，累计</w:t>
      </w:r>
      <w:r>
        <w:rPr>
          <w:rFonts w:hint="eastAsia" w:ascii="仿宋" w:hAnsi="仿宋" w:eastAsia="仿宋" w:cs="仿宋"/>
          <w:sz w:val="30"/>
          <w:szCs w:val="30"/>
          <w:lang w:val="en-US" w:eastAsia="zh-CN"/>
        </w:rPr>
        <w:t>0</w:t>
      </w:r>
      <w:r>
        <w:rPr>
          <w:rFonts w:hint="eastAsia" w:ascii="仿宋" w:hAnsi="仿宋" w:eastAsia="仿宋" w:cs="仿宋"/>
          <w:sz w:val="30"/>
          <w:szCs w:val="30"/>
        </w:rPr>
        <w:t>人次。开支内容包括：</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公务用车购置及运行维护费</w:t>
      </w:r>
      <w:r>
        <w:rPr>
          <w:rFonts w:hint="eastAsia" w:ascii="仿宋" w:hAnsi="仿宋" w:eastAsia="仿宋" w:cs="仿宋"/>
          <w:sz w:val="30"/>
          <w:szCs w:val="30"/>
          <w:lang w:val="en-US" w:eastAsia="zh-CN"/>
        </w:rPr>
        <w:t>0</w:t>
      </w:r>
      <w:r>
        <w:rPr>
          <w:rFonts w:hint="eastAsia" w:ascii="仿宋" w:hAnsi="仿宋" w:eastAsia="仿宋" w:cs="仿宋"/>
          <w:sz w:val="30"/>
          <w:szCs w:val="30"/>
        </w:rPr>
        <w:t>万元,其中，公务用车购置</w:t>
      </w:r>
      <w:r>
        <w:rPr>
          <w:rFonts w:hint="eastAsia" w:ascii="仿宋" w:hAnsi="仿宋" w:eastAsia="仿宋" w:cs="仿宋"/>
          <w:sz w:val="30"/>
          <w:szCs w:val="30"/>
          <w:lang w:val="en-US" w:eastAsia="zh-CN"/>
        </w:rPr>
        <w:t>0</w:t>
      </w:r>
      <w:r>
        <w:rPr>
          <w:rFonts w:hint="eastAsia" w:ascii="仿宋" w:hAnsi="仿宋" w:eastAsia="仿宋" w:cs="仿宋"/>
          <w:sz w:val="30"/>
          <w:szCs w:val="30"/>
        </w:rPr>
        <w:t>万元，公务用车运行维护费</w:t>
      </w:r>
      <w:r>
        <w:rPr>
          <w:rFonts w:hint="eastAsia" w:ascii="仿宋" w:hAnsi="仿宋" w:eastAsia="仿宋" w:cs="仿宋"/>
          <w:sz w:val="30"/>
          <w:szCs w:val="30"/>
          <w:lang w:val="en-US" w:eastAsia="zh-CN"/>
        </w:rPr>
        <w:t>0</w:t>
      </w:r>
      <w:r>
        <w:rPr>
          <w:rFonts w:hint="eastAsia" w:ascii="仿宋" w:hAnsi="仿宋" w:eastAsia="仿宋" w:cs="仿宋"/>
          <w:sz w:val="30"/>
          <w:szCs w:val="30"/>
        </w:rPr>
        <w:t>万元。主要用于</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等。</w:t>
      </w:r>
      <w:r>
        <w:rPr>
          <w:rFonts w:hint="eastAsia" w:ascii="仿宋" w:hAnsi="仿宋" w:eastAsia="仿宋" w:cs="仿宋"/>
          <w:sz w:val="30"/>
          <w:szCs w:val="30"/>
          <w:lang w:eastAsia="zh-CN"/>
        </w:rPr>
        <w:t>2017年</w:t>
      </w:r>
      <w:r>
        <w:rPr>
          <w:rFonts w:hint="eastAsia" w:ascii="仿宋" w:hAnsi="仿宋" w:eastAsia="仿宋" w:cs="仿宋"/>
          <w:sz w:val="30"/>
          <w:szCs w:val="30"/>
        </w:rPr>
        <w:t>，单位一般公共财政拨款安排的公务用车购置量</w:t>
      </w:r>
      <w:r>
        <w:rPr>
          <w:rFonts w:hint="eastAsia" w:ascii="仿宋" w:hAnsi="仿宋" w:eastAsia="仿宋" w:cs="仿宋"/>
          <w:sz w:val="30"/>
          <w:szCs w:val="30"/>
          <w:lang w:val="en-US" w:eastAsia="zh-CN"/>
        </w:rPr>
        <w:t>0</w:t>
      </w:r>
      <w:r>
        <w:rPr>
          <w:rFonts w:hint="eastAsia" w:ascii="仿宋" w:hAnsi="仿宋" w:eastAsia="仿宋" w:cs="仿宋"/>
          <w:sz w:val="30"/>
          <w:szCs w:val="30"/>
        </w:rPr>
        <w:t>辆，保有量为</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辆。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公务接待费</w:t>
      </w:r>
      <w:r>
        <w:rPr>
          <w:rFonts w:hint="eastAsia" w:ascii="仿宋" w:hAnsi="仿宋" w:eastAsia="仿宋" w:cs="仿宋"/>
          <w:sz w:val="30"/>
          <w:szCs w:val="30"/>
          <w:lang w:val="en-US" w:eastAsia="zh-CN"/>
        </w:rPr>
        <w:t>0</w:t>
      </w:r>
      <w:r>
        <w:rPr>
          <w:rFonts w:hint="eastAsia" w:ascii="仿宋" w:hAnsi="仿宋" w:eastAsia="仿宋" w:cs="仿宋"/>
          <w:sz w:val="30"/>
          <w:szCs w:val="30"/>
        </w:rPr>
        <w:t>万元。具体是：国内公务接待支出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万元，主要是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等。单位国内公务接待</w:t>
      </w:r>
      <w:r>
        <w:rPr>
          <w:rFonts w:hint="eastAsia" w:ascii="仿宋" w:hAnsi="仿宋" w:eastAsia="仿宋" w:cs="仿宋"/>
          <w:sz w:val="30"/>
          <w:szCs w:val="30"/>
          <w:lang w:val="en-US" w:eastAsia="zh-CN"/>
        </w:rPr>
        <w:t>0</w:t>
      </w:r>
      <w:r>
        <w:rPr>
          <w:rFonts w:hint="eastAsia" w:ascii="仿宋" w:hAnsi="仿宋" w:eastAsia="仿宋" w:cs="仿宋"/>
          <w:sz w:val="30"/>
          <w:szCs w:val="30"/>
        </w:rPr>
        <w:t>批次，</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人次。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lang w:eastAsia="zh-CN"/>
        </w:rPr>
        <w:t>2017年</w:t>
      </w:r>
      <w:r>
        <w:rPr>
          <w:rFonts w:hint="eastAsia" w:ascii="仿宋" w:hAnsi="仿宋" w:eastAsia="仿宋" w:cs="仿宋"/>
          <w:sz w:val="30"/>
          <w:szCs w:val="30"/>
        </w:rPr>
        <w:t>度</w:t>
      </w:r>
      <w:r>
        <w:rPr>
          <w:rFonts w:hint="eastAsia" w:ascii="仿宋" w:hAnsi="仿宋" w:eastAsia="仿宋" w:cs="仿宋"/>
          <w:sz w:val="30"/>
          <w:szCs w:val="30"/>
          <w:lang w:val="en-US" w:eastAsia="zh-CN"/>
        </w:rPr>
        <w:t>年初</w:t>
      </w:r>
      <w:r>
        <w:rPr>
          <w:rFonts w:hint="eastAsia" w:ascii="仿宋" w:hAnsi="仿宋" w:eastAsia="仿宋" w:cs="仿宋"/>
          <w:sz w:val="30"/>
          <w:szCs w:val="30"/>
        </w:rPr>
        <w:t>一般公共预算“三公”经费支出决算</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r>
        <w:rPr>
          <w:rFonts w:hint="eastAsia" w:ascii="仿宋" w:hAnsi="仿宋" w:eastAsia="仿宋" w:cs="仿宋"/>
          <w:sz w:val="30"/>
          <w:szCs w:val="30"/>
          <w:lang w:val="en-US" w:eastAsia="zh-CN"/>
        </w:rPr>
        <w:t>决算</w:t>
      </w:r>
      <w:r>
        <w:rPr>
          <w:rFonts w:hint="eastAsia" w:ascii="仿宋" w:hAnsi="仿宋" w:eastAsia="仿宋" w:cs="仿宋"/>
          <w:sz w:val="30"/>
          <w:szCs w:val="30"/>
        </w:rPr>
        <w:t>比</w:t>
      </w:r>
      <w:r>
        <w:rPr>
          <w:rFonts w:hint="eastAsia" w:ascii="仿宋" w:hAnsi="仿宋" w:eastAsia="仿宋" w:cs="仿宋"/>
          <w:sz w:val="30"/>
          <w:szCs w:val="30"/>
          <w:lang w:val="en-US" w:eastAsia="zh-CN"/>
        </w:rPr>
        <w:t>预算</w:t>
      </w:r>
      <w:r>
        <w:rPr>
          <w:rFonts w:hint="eastAsia" w:ascii="仿宋" w:hAnsi="仿宋" w:eastAsia="仿宋" w:cs="仿宋"/>
          <w:sz w:val="30"/>
          <w:szCs w:val="30"/>
        </w:rPr>
        <w:t>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%，增加原因是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。其中，因公出国（境）费支出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w:t>
      </w:r>
      <w:r>
        <w:rPr>
          <w:rFonts w:hint="eastAsia" w:ascii="仿宋" w:hAnsi="仿宋" w:eastAsia="仿宋" w:cs="仿宋"/>
          <w:sz w:val="30"/>
          <w:szCs w:val="30"/>
          <w:lang w:val="en-US" w:eastAsia="zh-CN"/>
        </w:rPr>
        <w:t>决算</w:t>
      </w:r>
      <w:r>
        <w:rPr>
          <w:rFonts w:hint="eastAsia" w:ascii="仿宋" w:hAnsi="仿宋" w:eastAsia="仿宋" w:cs="仿宋"/>
          <w:sz w:val="30"/>
          <w:szCs w:val="30"/>
        </w:rPr>
        <w:t>比</w:t>
      </w:r>
      <w:r>
        <w:rPr>
          <w:rFonts w:hint="eastAsia" w:ascii="仿宋" w:hAnsi="仿宋" w:eastAsia="仿宋" w:cs="仿宋"/>
          <w:sz w:val="30"/>
          <w:szCs w:val="30"/>
          <w:lang w:val="en-US" w:eastAsia="zh-CN"/>
        </w:rPr>
        <w:t>预算</w:t>
      </w:r>
      <w:r>
        <w:rPr>
          <w:rFonts w:hint="eastAsia" w:ascii="仿宋" w:hAnsi="仿宋" w:eastAsia="仿宋" w:cs="仿宋"/>
          <w:sz w:val="30"/>
          <w:szCs w:val="30"/>
        </w:rPr>
        <w:t>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%，增加原因是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；公务用车购置及运行维护费支出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w:t>
      </w:r>
      <w:r>
        <w:rPr>
          <w:rFonts w:hint="eastAsia" w:ascii="仿宋" w:hAnsi="仿宋" w:eastAsia="仿宋" w:cs="仿宋"/>
          <w:sz w:val="30"/>
          <w:szCs w:val="30"/>
          <w:lang w:val="en-US" w:eastAsia="zh-CN"/>
        </w:rPr>
        <w:t>决算</w:t>
      </w:r>
      <w:r>
        <w:rPr>
          <w:rFonts w:hint="eastAsia" w:ascii="仿宋" w:hAnsi="仿宋" w:eastAsia="仿宋" w:cs="仿宋"/>
          <w:sz w:val="30"/>
          <w:szCs w:val="30"/>
        </w:rPr>
        <w:t>比</w:t>
      </w:r>
      <w:r>
        <w:rPr>
          <w:rFonts w:hint="eastAsia" w:ascii="仿宋" w:hAnsi="仿宋" w:eastAsia="仿宋" w:cs="仿宋"/>
          <w:sz w:val="30"/>
          <w:szCs w:val="30"/>
          <w:lang w:val="en-US" w:eastAsia="zh-CN"/>
        </w:rPr>
        <w:t>预算</w:t>
      </w:r>
      <w:r>
        <w:rPr>
          <w:rFonts w:hint="eastAsia" w:ascii="仿宋" w:hAnsi="仿宋" w:eastAsia="仿宋" w:cs="仿宋"/>
          <w:sz w:val="30"/>
          <w:szCs w:val="30"/>
        </w:rPr>
        <w:t>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%，增加原因是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；公务接待费支出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w:t>
      </w:r>
      <w:r>
        <w:rPr>
          <w:rFonts w:hint="eastAsia" w:ascii="仿宋" w:hAnsi="仿宋" w:eastAsia="仿宋" w:cs="仿宋"/>
          <w:sz w:val="30"/>
          <w:szCs w:val="30"/>
          <w:lang w:val="en-US" w:eastAsia="zh-CN"/>
        </w:rPr>
        <w:t>决算</w:t>
      </w:r>
      <w:r>
        <w:rPr>
          <w:rFonts w:hint="eastAsia" w:ascii="仿宋" w:hAnsi="仿宋" w:eastAsia="仿宋" w:cs="仿宋"/>
          <w:sz w:val="30"/>
          <w:szCs w:val="30"/>
        </w:rPr>
        <w:t>比</w:t>
      </w:r>
      <w:r>
        <w:rPr>
          <w:rFonts w:hint="eastAsia" w:ascii="仿宋" w:hAnsi="仿宋" w:eastAsia="仿宋" w:cs="仿宋"/>
          <w:sz w:val="30"/>
          <w:szCs w:val="30"/>
          <w:lang w:val="en-US" w:eastAsia="zh-CN"/>
        </w:rPr>
        <w:t>预算</w:t>
      </w:r>
      <w:r>
        <w:rPr>
          <w:rFonts w:hint="eastAsia" w:ascii="仿宋" w:hAnsi="仿宋" w:eastAsia="仿宋" w:cs="仿宋"/>
          <w:sz w:val="30"/>
          <w:szCs w:val="30"/>
        </w:rPr>
        <w:t>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%，增加原因是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 其他有关说明内容。</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lang w:eastAsia="zh-CN"/>
        </w:rPr>
        <w:t>无</w:t>
      </w:r>
      <w:r>
        <w:rPr>
          <w:rFonts w:hint="eastAsia" w:ascii="仿宋" w:hAnsi="仿宋" w:eastAsia="仿宋" w:cs="仿宋"/>
          <w:sz w:val="30"/>
          <w:szCs w:val="30"/>
        </w:rPr>
        <w:t xml:space="preserve">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五、机关运行经费支出情况 </w:t>
      </w:r>
    </w:p>
    <w:p>
      <w:pPr>
        <w:spacing w:after="0" w:line="520" w:lineRule="exact"/>
        <w:ind w:firstLine="600" w:firstLineChars="200"/>
        <w:rPr>
          <w:rFonts w:hint="eastAsia" w:ascii="仿宋" w:hAnsi="仿宋" w:eastAsia="仿宋" w:cs="仿宋"/>
          <w:color w:val="auto"/>
          <w:sz w:val="30"/>
          <w:szCs w:val="30"/>
          <w:lang w:eastAsia="zh-CN"/>
        </w:rPr>
      </w:pPr>
      <w:r>
        <w:rPr>
          <w:rFonts w:hint="eastAsia" w:ascii="仿宋" w:hAnsi="仿宋" w:eastAsia="仿宋" w:cs="仿宋"/>
          <w:color w:val="auto"/>
          <w:sz w:val="30"/>
          <w:szCs w:val="30"/>
          <w:lang w:val="en-US" w:eastAsia="zh-CN"/>
        </w:rPr>
        <w:t>本单位为事业单位，有事业运行经费为44.3万元，</w:t>
      </w:r>
      <w:r>
        <w:rPr>
          <w:rFonts w:hint="eastAsia" w:ascii="仿宋" w:hAnsi="仿宋" w:eastAsia="仿宋" w:cs="仿宋"/>
          <w:color w:val="auto"/>
          <w:sz w:val="30"/>
          <w:szCs w:val="30"/>
        </w:rPr>
        <w:t>比上年增加</w:t>
      </w:r>
      <w:r>
        <w:rPr>
          <w:rFonts w:hint="eastAsia" w:ascii="仿宋" w:hAnsi="仿宋" w:eastAsia="仿宋" w:cs="仿宋"/>
          <w:color w:val="auto"/>
          <w:sz w:val="30"/>
          <w:szCs w:val="30"/>
          <w:lang w:val="en-US" w:eastAsia="zh-CN"/>
        </w:rPr>
        <w:t>6.7</w:t>
      </w:r>
      <w:r>
        <w:rPr>
          <w:rFonts w:hint="eastAsia" w:ascii="仿宋" w:hAnsi="仿宋" w:eastAsia="仿宋" w:cs="仿宋"/>
          <w:color w:val="auto"/>
          <w:sz w:val="30"/>
          <w:szCs w:val="30"/>
        </w:rPr>
        <w:t>万元，增长</w:t>
      </w:r>
      <w:r>
        <w:rPr>
          <w:rFonts w:hint="eastAsia" w:ascii="仿宋" w:hAnsi="仿宋" w:eastAsia="仿宋" w:cs="仿宋"/>
          <w:color w:val="auto"/>
          <w:sz w:val="30"/>
          <w:szCs w:val="30"/>
          <w:lang w:val="en-US" w:eastAsia="zh-CN"/>
        </w:rPr>
        <w:t>18</w:t>
      </w:r>
      <w:r>
        <w:rPr>
          <w:rFonts w:hint="eastAsia" w:ascii="仿宋" w:hAnsi="仿宋" w:eastAsia="仿宋" w:cs="仿宋"/>
          <w:color w:val="auto"/>
          <w:sz w:val="30"/>
          <w:szCs w:val="30"/>
        </w:rPr>
        <w:t>%，</w:t>
      </w:r>
      <w:r>
        <w:rPr>
          <w:rFonts w:hint="eastAsia" w:ascii="仿宋" w:hAnsi="仿宋" w:eastAsia="仿宋" w:cs="仿宋"/>
          <w:color w:val="auto"/>
          <w:sz w:val="30"/>
          <w:szCs w:val="30"/>
          <w:lang w:eastAsia="zh-CN"/>
        </w:rPr>
        <w:t>财政追加采暖费支出</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其他有关说明内容。 </w:t>
      </w:r>
    </w:p>
    <w:p>
      <w:pPr>
        <w:spacing w:after="0"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eastAsia="zh-CN"/>
        </w:rPr>
        <w:t>无</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六、政府采购情况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单位政府采购计划</w:t>
      </w:r>
      <w:r>
        <w:rPr>
          <w:rFonts w:hint="eastAsia" w:ascii="仿宋" w:hAnsi="仿宋" w:eastAsia="仿宋" w:cs="仿宋"/>
          <w:sz w:val="30"/>
          <w:szCs w:val="30"/>
          <w:lang w:val="en-US" w:eastAsia="zh-CN"/>
        </w:rPr>
        <w:t>0</w:t>
      </w:r>
      <w:r>
        <w:rPr>
          <w:rFonts w:hint="eastAsia" w:ascii="仿宋" w:hAnsi="仿宋" w:eastAsia="仿宋" w:cs="仿宋"/>
          <w:sz w:val="30"/>
          <w:szCs w:val="30"/>
        </w:rPr>
        <w:t>万元，其中：政府采购货物支出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万元、政府采购工程支出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万元、政府采购服务支出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万元；实际采购</w:t>
      </w:r>
      <w:r>
        <w:rPr>
          <w:rFonts w:hint="eastAsia" w:ascii="仿宋" w:hAnsi="仿宋" w:eastAsia="仿宋" w:cs="仿宋"/>
          <w:sz w:val="30"/>
          <w:szCs w:val="30"/>
          <w:lang w:val="en-US" w:eastAsia="zh-CN"/>
        </w:rPr>
        <w:t>0</w:t>
      </w:r>
      <w:r>
        <w:rPr>
          <w:rFonts w:hint="eastAsia" w:ascii="仿宋" w:hAnsi="仿宋" w:eastAsia="仿宋" w:cs="仿宋"/>
          <w:sz w:val="30"/>
          <w:szCs w:val="30"/>
        </w:rPr>
        <w:t>万元，其中：政府采购货物支出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万元、政府采购工程支出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万元、政府采购服务支出</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万元。 </w:t>
      </w:r>
    </w:p>
    <w:p>
      <w:pPr>
        <w:spacing w:after="0"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无</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七、其他重要事项的情况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（一）国有资产占用情况说明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color w:val="000000" w:themeColor="text1"/>
          <w:sz w:val="30"/>
          <w:szCs w:val="30"/>
        </w:rPr>
        <w:t>截至2017年12月31日，资产总计318.11万元，其中：流动资产37.65万元，固定资产280.46万元，其中：房屋5067（平方米），价值119.3万元，共有车辆0辆，价值0万元，其中：部级领导干部用车0辆、一般公务用车0辆、一般执法执勤用车0辆、特种专业技术用车0辆、其他用车0辆</w:t>
      </w:r>
      <w:r>
        <w:rPr>
          <w:rFonts w:hint="eastAsia" w:ascii="仿宋" w:hAnsi="仿宋" w:eastAsia="仿宋" w:cs="仿宋"/>
          <w:sz w:val="30"/>
          <w:szCs w:val="30"/>
        </w:rPr>
        <w:t>；单位价值50万元以上通用设备0台（套）、单位价值100万元以上专用设备0台（套），其他</w:t>
      </w:r>
      <w:r>
        <w:rPr>
          <w:rFonts w:hint="eastAsia" w:ascii="仿宋" w:hAnsi="仿宋" w:eastAsia="仿宋" w:cs="仿宋"/>
          <w:color w:val="000000" w:themeColor="text1"/>
          <w:sz w:val="30"/>
          <w:szCs w:val="30"/>
        </w:rPr>
        <w:t xml:space="preserve">固定资产价值280.46万元。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其他有关说明内容。无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（二）国有资产收益征缴情况说明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截至</w:t>
      </w:r>
      <w:r>
        <w:rPr>
          <w:rFonts w:hint="eastAsia" w:ascii="仿宋" w:hAnsi="仿宋" w:eastAsia="仿宋" w:cs="仿宋"/>
          <w:sz w:val="30"/>
          <w:szCs w:val="30"/>
          <w:lang w:eastAsia="zh-CN"/>
        </w:rPr>
        <w:t>2017年</w:t>
      </w:r>
      <w:r>
        <w:rPr>
          <w:rFonts w:hint="eastAsia" w:ascii="仿宋" w:hAnsi="仿宋" w:eastAsia="仿宋" w:cs="仿宋"/>
          <w:sz w:val="30"/>
          <w:szCs w:val="30"/>
        </w:rPr>
        <w:t>12月31日，</w:t>
      </w:r>
      <w:r>
        <w:rPr>
          <w:rFonts w:hint="eastAsia" w:ascii="仿宋" w:hAnsi="仿宋" w:eastAsia="仿宋" w:cs="仿宋"/>
          <w:sz w:val="30"/>
          <w:szCs w:val="30"/>
          <w:lang w:eastAsia="zh-CN"/>
        </w:rPr>
        <w:t>玛纳斯县广东地乡学校</w:t>
      </w:r>
      <w:r>
        <w:rPr>
          <w:rFonts w:hint="eastAsia" w:ascii="仿宋" w:hAnsi="仿宋" w:eastAsia="仿宋" w:cs="仿宋"/>
          <w:sz w:val="30"/>
          <w:szCs w:val="30"/>
        </w:rPr>
        <w:t>单位资产有偿使用收入合计</w:t>
      </w:r>
      <w:r>
        <w:rPr>
          <w:rFonts w:hint="eastAsia" w:ascii="仿宋" w:hAnsi="仿宋" w:eastAsia="仿宋" w:cs="仿宋"/>
          <w:sz w:val="30"/>
          <w:szCs w:val="30"/>
          <w:lang w:val="en-US" w:eastAsia="zh-CN"/>
        </w:rPr>
        <w:t>0</w:t>
      </w:r>
      <w:r>
        <w:rPr>
          <w:rFonts w:hint="eastAsia" w:ascii="仿宋" w:hAnsi="仿宋" w:eastAsia="仿宋" w:cs="仿宋"/>
          <w:sz w:val="30"/>
          <w:szCs w:val="30"/>
        </w:rPr>
        <w:t>万元，资产处置收入合计</w:t>
      </w:r>
      <w:r>
        <w:rPr>
          <w:rFonts w:hint="eastAsia" w:ascii="仿宋" w:hAnsi="仿宋" w:eastAsia="仿宋" w:cs="仿宋"/>
          <w:sz w:val="30"/>
          <w:szCs w:val="30"/>
          <w:lang w:val="en-US" w:eastAsia="zh-CN"/>
        </w:rPr>
        <w:t>0</w:t>
      </w:r>
      <w:r>
        <w:rPr>
          <w:rFonts w:hint="eastAsia" w:ascii="仿宋" w:hAnsi="仿宋" w:eastAsia="仿宋" w:cs="仿宋"/>
          <w:sz w:val="30"/>
          <w:szCs w:val="30"/>
        </w:rPr>
        <w:t>万元。其中：已缴国库</w:t>
      </w:r>
      <w:r>
        <w:rPr>
          <w:rFonts w:hint="eastAsia" w:ascii="仿宋" w:hAnsi="仿宋" w:eastAsia="仿宋" w:cs="仿宋"/>
          <w:sz w:val="30"/>
          <w:szCs w:val="30"/>
          <w:lang w:val="en-US" w:eastAsia="zh-CN"/>
        </w:rPr>
        <w:t>0</w:t>
      </w:r>
      <w:r>
        <w:rPr>
          <w:rFonts w:hint="eastAsia" w:ascii="仿宋" w:hAnsi="仿宋" w:eastAsia="仿宋" w:cs="仿宋"/>
          <w:sz w:val="30"/>
          <w:szCs w:val="30"/>
        </w:rPr>
        <w:t>万元， 已缴财政专户</w:t>
      </w:r>
      <w:r>
        <w:rPr>
          <w:rFonts w:hint="eastAsia" w:ascii="仿宋" w:hAnsi="仿宋" w:eastAsia="仿宋" w:cs="仿宋"/>
          <w:sz w:val="30"/>
          <w:szCs w:val="30"/>
          <w:lang w:val="en-US" w:eastAsia="zh-CN"/>
        </w:rPr>
        <w:t>0</w:t>
      </w:r>
      <w:r>
        <w:rPr>
          <w:rFonts w:hint="eastAsia" w:ascii="仿宋" w:hAnsi="仿宋" w:eastAsia="仿宋" w:cs="仿宋"/>
          <w:sz w:val="30"/>
          <w:szCs w:val="30"/>
        </w:rPr>
        <w:t>万元，应缴未缴</w:t>
      </w:r>
      <w:r>
        <w:rPr>
          <w:rFonts w:hint="eastAsia" w:ascii="仿宋" w:hAnsi="仿宋" w:eastAsia="仿宋" w:cs="仿宋"/>
          <w:sz w:val="30"/>
          <w:szCs w:val="30"/>
          <w:lang w:val="en-US" w:eastAsia="zh-CN"/>
        </w:rPr>
        <w:t>0</w:t>
      </w:r>
      <w:r>
        <w:rPr>
          <w:rFonts w:hint="eastAsia" w:ascii="仿宋" w:hAnsi="仿宋" w:eastAsia="仿宋" w:cs="仿宋"/>
          <w:sz w:val="30"/>
          <w:szCs w:val="30"/>
        </w:rPr>
        <w:t>万元，单位留用</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其他有关说明内容。 无</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（三）部门项目支出情况和项目绩效评价情况说明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val="en-US" w:eastAsia="zh-CN"/>
        </w:rPr>
        <w:t>2017</w:t>
      </w:r>
      <w:r>
        <w:rPr>
          <w:rFonts w:hint="eastAsia" w:ascii="仿宋" w:hAnsi="仿宋" w:eastAsia="仿宋" w:cs="仿宋"/>
          <w:sz w:val="30"/>
          <w:szCs w:val="30"/>
        </w:rPr>
        <w:t>年度，本部门单位实行绩效管理的项目</w:t>
      </w:r>
      <w:r>
        <w:rPr>
          <w:rFonts w:hint="eastAsia" w:ascii="仿宋" w:hAnsi="仿宋" w:eastAsia="仿宋" w:cs="仿宋"/>
          <w:sz w:val="30"/>
          <w:szCs w:val="30"/>
          <w:lang w:val="en-US" w:eastAsia="zh-CN"/>
        </w:rPr>
        <w:t>0</w:t>
      </w:r>
      <w:r>
        <w:rPr>
          <w:rFonts w:hint="eastAsia" w:ascii="仿宋" w:hAnsi="仿宋" w:eastAsia="仿宋" w:cs="仿宋"/>
          <w:sz w:val="30"/>
          <w:szCs w:val="30"/>
        </w:rPr>
        <w:t>个，涉及预算</w:t>
      </w:r>
      <w:r>
        <w:rPr>
          <w:rFonts w:hint="eastAsia" w:ascii="仿宋" w:hAnsi="仿宋" w:eastAsia="仿宋" w:cs="仿宋"/>
          <w:sz w:val="30"/>
          <w:szCs w:val="30"/>
          <w:lang w:val="en-US" w:eastAsia="zh-CN"/>
        </w:rPr>
        <w:t>0</w:t>
      </w:r>
      <w:r>
        <w:rPr>
          <w:rFonts w:hint="eastAsia" w:ascii="仿宋" w:hAnsi="仿宋" w:eastAsia="仿宋" w:cs="仿宋"/>
          <w:sz w:val="30"/>
          <w:szCs w:val="30"/>
        </w:rPr>
        <w:t>万元，项目支出决算</w:t>
      </w:r>
      <w:r>
        <w:rPr>
          <w:rFonts w:hint="eastAsia" w:ascii="仿宋" w:hAnsi="仿宋" w:eastAsia="仿宋" w:cs="仿宋"/>
          <w:sz w:val="30"/>
          <w:szCs w:val="30"/>
          <w:lang w:val="en-US" w:eastAsia="zh-CN"/>
        </w:rPr>
        <w:t>45.6</w:t>
      </w:r>
      <w:r>
        <w:rPr>
          <w:rFonts w:hint="eastAsia" w:ascii="仿宋" w:hAnsi="仿宋" w:eastAsia="仿宋" w:cs="仿宋"/>
          <w:sz w:val="30"/>
          <w:szCs w:val="30"/>
        </w:rPr>
        <w:t>万元。</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其他有关说明</w:t>
      </w:r>
    </w:p>
    <w:p>
      <w:pPr>
        <w:spacing w:after="0"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eastAsia="zh-CN"/>
        </w:rPr>
        <w:t>无</w:t>
      </w:r>
    </w:p>
    <w:p>
      <w:pPr>
        <w:spacing w:after="0" w:line="520" w:lineRule="exact"/>
        <w:ind w:firstLine="600" w:firstLineChars="200"/>
        <w:rPr>
          <w:rFonts w:hint="eastAsia" w:ascii="仿宋" w:hAnsi="仿宋" w:eastAsia="仿宋" w:cs="仿宋"/>
          <w:sz w:val="30"/>
          <w:szCs w:val="30"/>
        </w:rPr>
      </w:pPr>
    </w:p>
    <w:p>
      <w:pPr>
        <w:spacing w:after="0" w:line="520" w:lineRule="exact"/>
        <w:ind w:firstLine="600" w:firstLineChars="200"/>
        <w:rPr>
          <w:rFonts w:hint="eastAsia" w:ascii="仿宋" w:hAnsi="仿宋" w:eastAsia="仿宋" w:cs="仿宋"/>
          <w:sz w:val="30"/>
          <w:szCs w:val="30"/>
        </w:rPr>
      </w:pPr>
    </w:p>
    <w:p>
      <w:pPr>
        <w:spacing w:after="0" w:line="520" w:lineRule="exact"/>
        <w:ind w:firstLine="600" w:firstLineChars="200"/>
        <w:rPr>
          <w:rFonts w:hint="eastAsia" w:ascii="仿宋" w:hAnsi="仿宋" w:eastAsia="仿宋" w:cs="仿宋"/>
          <w:sz w:val="30"/>
          <w:szCs w:val="30"/>
        </w:rPr>
      </w:pPr>
    </w:p>
    <w:p>
      <w:pPr>
        <w:spacing w:after="0" w:line="520" w:lineRule="exact"/>
        <w:ind w:firstLine="600" w:firstLineChars="200"/>
        <w:rPr>
          <w:rFonts w:hint="eastAsia" w:ascii="仿宋" w:hAnsi="仿宋" w:eastAsia="仿宋" w:cs="仿宋"/>
          <w:sz w:val="30"/>
          <w:szCs w:val="30"/>
        </w:rPr>
      </w:pPr>
    </w:p>
    <w:p>
      <w:pPr>
        <w:spacing w:after="0" w:line="520" w:lineRule="exact"/>
        <w:ind w:firstLine="600" w:firstLineChars="200"/>
        <w:rPr>
          <w:rFonts w:hint="eastAsia" w:ascii="仿宋" w:hAnsi="仿宋" w:eastAsia="仿宋" w:cs="仿宋"/>
          <w:sz w:val="30"/>
          <w:szCs w:val="30"/>
        </w:rPr>
      </w:pPr>
    </w:p>
    <w:p>
      <w:pPr>
        <w:spacing w:after="0" w:line="520" w:lineRule="exact"/>
        <w:rPr>
          <w:rFonts w:cs="仿宋" w:asciiTheme="minorEastAsia" w:hAnsiTheme="minorEastAsia" w:eastAsiaTheme="minorEastAsia"/>
          <w:sz w:val="28"/>
          <w:szCs w:val="28"/>
        </w:rPr>
      </w:pPr>
    </w:p>
    <w:p>
      <w:pPr>
        <w:spacing w:after="0" w:line="520" w:lineRule="exact"/>
        <w:rPr>
          <w:rFonts w:cs="仿宋" w:asciiTheme="minorEastAsia" w:hAnsiTheme="minorEastAsia" w:eastAsiaTheme="minorEastAsia"/>
          <w:sz w:val="28"/>
          <w:szCs w:val="28"/>
        </w:rPr>
      </w:pPr>
    </w:p>
    <w:p>
      <w:pPr>
        <w:spacing w:after="0" w:line="520" w:lineRule="exact"/>
        <w:rPr>
          <w:rFonts w:cs="仿宋" w:asciiTheme="minorEastAsia" w:hAnsiTheme="minorEastAsia" w:eastAsiaTheme="minorEastAsia"/>
          <w:sz w:val="28"/>
          <w:szCs w:val="28"/>
        </w:rPr>
      </w:pPr>
    </w:p>
    <w:p>
      <w:pPr>
        <w:spacing w:after="0" w:line="520" w:lineRule="exact"/>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 xml:space="preserve"> </w:t>
      </w:r>
    </w:p>
    <w:p>
      <w:pPr>
        <w:spacing w:line="220" w:lineRule="atLeast"/>
        <w:ind w:firstLine="602" w:firstLineChars="200"/>
        <w:jc w:val="center"/>
        <w:rPr>
          <w:rFonts w:ascii="仿宋" w:hAnsi="仿宋" w:eastAsia="仿宋" w:cs="仿宋"/>
          <w:b/>
          <w:bCs/>
          <w:sz w:val="30"/>
          <w:szCs w:val="30"/>
        </w:rPr>
      </w:pPr>
      <w:r>
        <w:rPr>
          <w:rFonts w:hint="eastAsia" w:ascii="仿宋" w:hAnsi="仿宋" w:eastAsia="仿宋" w:cs="仿宋"/>
          <w:b/>
          <w:bCs/>
          <w:sz w:val="30"/>
          <w:szCs w:val="30"/>
        </w:rPr>
        <w:t>第三部分 专业名词解释</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财政拨款收入：指同级财政当年拨付的资金。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上级补助收入：指事业单位从主管部门和上级单位取得的非财政补助收入。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事业收入：指事业单位开展专业业务活动及其辅助活动所取得的收入。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经营收入：指事业单位在专业业务活动及其辅助活动之外开展非独立核算经营活动取得的收入。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附属单位缴款：指事业单位附属的独立核算单位按有关规定上缴的收入。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其他收入：指除上述“财政拨款收入”、“事业收入”、“经营收入”、“附属单位缴款”等之外取得的收入。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用事业基金弥补收支差额：指事业单位在当年的“财政拨款 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上年结转和结余：指以前年度支出预算因客观条件变化未执行完毕、结转到本年度按有关规定继续使用的资金，既包括财政拨款结转和结余，也包括事业收入、经营收入、其他收入的结转和结余。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结余分配：反映单位当年结余的分配情况。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年末结转和结余：指本年度或以前年度预算安排、因客观条件发生变化无法按原计划实施，需要延迟到以后年度按有关规定继续使用的资金，既包括财政拨款结转和结余，也包括事业收入、经营收入、其他收入的结转和结余。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基本支出：指为保障机构正常运转、完成日常工作任务而发生的人员支出和公用支出。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项目支出：指在基本支出之外为完成特定行政任务和事业发展目标所发生的支出。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经营支出：指事业单位在专业业务活动及其辅助活动之外开展非独立核算经营活动发生的支出。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对附属单位补助支出：指事业单位发生的用非财政预算资金对附属单位的补助支出。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“三公”经费：指用一般公共预算财政拨款安排的因公出国（境）费、公务用车购置及运行费和公务接待费。其中，因公出国（境）费反映单位公务出国（境）的住宿费、旅费、伙食补助 费、杂费、培训费等支出；公务用车购置及运行费反映单位公务用车购置费及租用费、燃料费、维修费、过路过桥费、保险费、安全奖励费用等支出；公务接待费反映单位按规定开支的各类公务接待（含外宾接待）支出。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本单位支出功能分类说明。2050202：指小学教育；2050201：指学前教育；2050299：指其他普通教育支出；2080505：指机关事业单位基本养老保险缴费支出。</w:t>
      </w:r>
    </w:p>
    <w:p>
      <w:pPr>
        <w:spacing w:line="220" w:lineRule="atLeast"/>
        <w:ind w:firstLine="600" w:firstLineChars="200"/>
        <w:rPr>
          <w:rFonts w:hint="eastAsia" w:ascii="仿宋" w:hAnsi="仿宋" w:eastAsia="仿宋" w:cs="仿宋"/>
          <w:sz w:val="30"/>
          <w:szCs w:val="30"/>
        </w:rPr>
      </w:pPr>
    </w:p>
    <w:p>
      <w:pPr>
        <w:spacing w:line="220" w:lineRule="atLeast"/>
        <w:ind w:firstLine="600" w:firstLineChars="200"/>
        <w:rPr>
          <w:rFonts w:hint="eastAsia" w:ascii="仿宋" w:hAnsi="仿宋" w:eastAsia="仿宋" w:cs="仿宋"/>
          <w:sz w:val="30"/>
          <w:szCs w:val="30"/>
        </w:rPr>
      </w:pPr>
    </w:p>
    <w:p>
      <w:pPr>
        <w:spacing w:line="220" w:lineRule="atLeast"/>
        <w:ind w:firstLine="602" w:firstLineChars="200"/>
        <w:jc w:val="center"/>
        <w:rPr>
          <w:rFonts w:hint="eastAsia" w:ascii="仿宋" w:hAnsi="仿宋" w:eastAsia="仿宋" w:cs="仿宋"/>
          <w:b/>
          <w:bCs/>
          <w:sz w:val="30"/>
          <w:szCs w:val="30"/>
        </w:rPr>
      </w:pPr>
    </w:p>
    <w:p>
      <w:pPr>
        <w:spacing w:line="220" w:lineRule="atLeast"/>
        <w:ind w:firstLine="602" w:firstLineChars="200"/>
        <w:jc w:val="center"/>
        <w:rPr>
          <w:rFonts w:hint="eastAsia" w:ascii="仿宋" w:hAnsi="仿宋" w:eastAsia="仿宋" w:cs="仿宋"/>
          <w:b/>
          <w:bCs/>
          <w:sz w:val="30"/>
          <w:szCs w:val="30"/>
        </w:rPr>
      </w:pPr>
    </w:p>
    <w:p>
      <w:pPr>
        <w:spacing w:line="220" w:lineRule="atLeast"/>
        <w:jc w:val="both"/>
        <w:rPr>
          <w:rFonts w:hint="eastAsia" w:ascii="仿宋" w:hAnsi="仿宋" w:eastAsia="仿宋" w:cs="仿宋"/>
          <w:b/>
          <w:bCs/>
          <w:sz w:val="30"/>
          <w:szCs w:val="30"/>
        </w:rPr>
      </w:pPr>
    </w:p>
    <w:p>
      <w:pPr>
        <w:spacing w:line="220" w:lineRule="atLeast"/>
        <w:ind w:firstLine="602" w:firstLineChars="200"/>
        <w:jc w:val="center"/>
        <w:rPr>
          <w:rFonts w:hint="eastAsia"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r>
        <w:rPr>
          <w:rFonts w:hint="eastAsia" w:ascii="仿宋" w:hAnsi="仿宋" w:eastAsia="仿宋" w:cs="仿宋"/>
          <w:b/>
          <w:bCs/>
          <w:sz w:val="30"/>
          <w:szCs w:val="30"/>
        </w:rPr>
        <w:t>第四部分 部门决算报表（见附表）</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一、报表封面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二、《收入支出决算总表》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三、《收入决算表》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四、《支出决算表》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五、《收入支出决算表》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六、《项目收入支出决算表》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七、《行政事业类项目收入支出决算表》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八、《基本建设类项目收入支出决算表》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九、《支出决算明细表》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十、《基本支出决算明细表》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十一、《项目支出决算明细表》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十二、《财政专户管理资金收入支出决算表》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十三、《财政拨款收入支出决算总表》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十四、《一般公共预算财政拨款收入支出决算表》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十五、《一般公共预算财政拨款支出决算明细表》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十六、《一般公共预算财政拨款基本支出决算明细表》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十七、《一般公共预算财政拨款项目支出决算明细表》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十八、《政府性基金预算财政拨款收入支出决算表》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十九、《政府性基金预算财政拨款支出决算明细表》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二十、《政府性基金预算财政拨款基本支出决算明细表》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二十一、《政府性基金预算财政拨款项目支出决算明细表》。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二十二、《资产负债简表》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二十三、《资产情况表》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二十四、《国有资产收益征缴情况表》、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二十五、《基本数字表》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二十六、《机构人员情况表》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二十七、《非税收入征缴情况表》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二十八、《部门决算相关信息统计表》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二十九、《政府采购情况表》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三十、《2017年度一般公共预算“三公”经费支出情况表》 </w:t>
      </w:r>
    </w:p>
    <w:sectPr>
      <w:pgSz w:w="11906" w:h="16838"/>
      <w:pgMar w:top="1440" w:right="991" w:bottom="1135" w:left="1276"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7240"/>
    <w:rsid w:val="000828D5"/>
    <w:rsid w:val="000908BF"/>
    <w:rsid w:val="000A052B"/>
    <w:rsid w:val="000C6CCB"/>
    <w:rsid w:val="000D0E5B"/>
    <w:rsid w:val="000E02FA"/>
    <w:rsid w:val="0010769C"/>
    <w:rsid w:val="0011222F"/>
    <w:rsid w:val="00120F83"/>
    <w:rsid w:val="00124956"/>
    <w:rsid w:val="00143C15"/>
    <w:rsid w:val="001A100E"/>
    <w:rsid w:val="00201816"/>
    <w:rsid w:val="0023560C"/>
    <w:rsid w:val="00262593"/>
    <w:rsid w:val="002C030E"/>
    <w:rsid w:val="003132C7"/>
    <w:rsid w:val="003B6905"/>
    <w:rsid w:val="003C0280"/>
    <w:rsid w:val="0040469C"/>
    <w:rsid w:val="00407608"/>
    <w:rsid w:val="0041757F"/>
    <w:rsid w:val="004229A0"/>
    <w:rsid w:val="0044054A"/>
    <w:rsid w:val="00442A8F"/>
    <w:rsid w:val="00465E1E"/>
    <w:rsid w:val="00472A92"/>
    <w:rsid w:val="004747AE"/>
    <w:rsid w:val="004C3161"/>
    <w:rsid w:val="004F0E8A"/>
    <w:rsid w:val="00501668"/>
    <w:rsid w:val="00585825"/>
    <w:rsid w:val="005A6966"/>
    <w:rsid w:val="005B6B4A"/>
    <w:rsid w:val="005D3EEE"/>
    <w:rsid w:val="005F0E36"/>
    <w:rsid w:val="005F21F0"/>
    <w:rsid w:val="005F7240"/>
    <w:rsid w:val="006058FD"/>
    <w:rsid w:val="006127BC"/>
    <w:rsid w:val="0061564B"/>
    <w:rsid w:val="00621B2F"/>
    <w:rsid w:val="0062359F"/>
    <w:rsid w:val="0063241F"/>
    <w:rsid w:val="00646EEF"/>
    <w:rsid w:val="006659A7"/>
    <w:rsid w:val="00695E62"/>
    <w:rsid w:val="006D7B5F"/>
    <w:rsid w:val="00732C5D"/>
    <w:rsid w:val="0073594C"/>
    <w:rsid w:val="007603E0"/>
    <w:rsid w:val="0083549F"/>
    <w:rsid w:val="00844BF5"/>
    <w:rsid w:val="0088086F"/>
    <w:rsid w:val="008F657E"/>
    <w:rsid w:val="009B7CEF"/>
    <w:rsid w:val="009E673E"/>
    <w:rsid w:val="009F2137"/>
    <w:rsid w:val="00A06553"/>
    <w:rsid w:val="00A07488"/>
    <w:rsid w:val="00A6350E"/>
    <w:rsid w:val="00A71F5B"/>
    <w:rsid w:val="00A93702"/>
    <w:rsid w:val="00AA6BEA"/>
    <w:rsid w:val="00B01980"/>
    <w:rsid w:val="00B4643F"/>
    <w:rsid w:val="00BC61F7"/>
    <w:rsid w:val="00C11481"/>
    <w:rsid w:val="00C15994"/>
    <w:rsid w:val="00C63DB3"/>
    <w:rsid w:val="00CD2411"/>
    <w:rsid w:val="00CD6B51"/>
    <w:rsid w:val="00D13FC1"/>
    <w:rsid w:val="00D2523E"/>
    <w:rsid w:val="00DF6DF4"/>
    <w:rsid w:val="00DF75C6"/>
    <w:rsid w:val="00E61534"/>
    <w:rsid w:val="00E80332"/>
    <w:rsid w:val="00E80DAC"/>
    <w:rsid w:val="00E85CEE"/>
    <w:rsid w:val="00EB5523"/>
    <w:rsid w:val="00F06E72"/>
    <w:rsid w:val="00F207CB"/>
    <w:rsid w:val="00F23093"/>
    <w:rsid w:val="00F5593C"/>
    <w:rsid w:val="00F7564E"/>
    <w:rsid w:val="00F960B3"/>
    <w:rsid w:val="00FD7172"/>
    <w:rsid w:val="00FE1FCA"/>
    <w:rsid w:val="00FE2B8B"/>
    <w:rsid w:val="07EE797E"/>
    <w:rsid w:val="135F2D1B"/>
    <w:rsid w:val="15426EE1"/>
    <w:rsid w:val="163C3425"/>
    <w:rsid w:val="1B19052D"/>
    <w:rsid w:val="22762ADE"/>
    <w:rsid w:val="28796FC9"/>
    <w:rsid w:val="33892136"/>
    <w:rsid w:val="394E36BA"/>
    <w:rsid w:val="48E02411"/>
    <w:rsid w:val="499E0E69"/>
    <w:rsid w:val="49A824DC"/>
    <w:rsid w:val="51C31DCC"/>
    <w:rsid w:val="5A185C0B"/>
    <w:rsid w:val="5A1D0774"/>
    <w:rsid w:val="5C1C12EF"/>
    <w:rsid w:val="6AD024D3"/>
    <w:rsid w:val="71966709"/>
    <w:rsid w:val="776703CA"/>
    <w:rsid w:val="780C159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kern w:val="0"/>
      <w:sz w:val="22"/>
      <w:szCs w:val="22"/>
      <w:lang w:val="en-US" w:eastAsia="zh-CN" w:bidi="ar-SA"/>
    </w:rPr>
  </w:style>
  <w:style w:type="character" w:default="1" w:styleId="7">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1"/>
    <w:unhideWhenUsed/>
    <w:qFormat/>
    <w:uiPriority w:val="99"/>
    <w:pPr>
      <w:tabs>
        <w:tab w:val="center" w:pos="4153"/>
        <w:tab w:val="right" w:pos="8306"/>
      </w:tabs>
    </w:pPr>
    <w:rPr>
      <w:sz w:val="18"/>
      <w:szCs w:val="18"/>
    </w:rPr>
  </w:style>
  <w:style w:type="paragraph" w:styleId="3">
    <w:name w:val="header"/>
    <w:basedOn w:val="1"/>
    <w:link w:val="10"/>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unhideWhenUsed/>
    <w:qFormat/>
    <w:uiPriority w:val="99"/>
    <w:pPr>
      <w:adjustRightInd/>
      <w:snapToGrid/>
      <w:spacing w:before="100" w:beforeAutospacing="1" w:after="100" w:afterAutospacing="1"/>
    </w:pPr>
    <w:rPr>
      <w:rFonts w:ascii="宋体" w:hAnsi="宋体" w:eastAsia="宋体" w:cs="宋体"/>
      <w:sz w:val="24"/>
      <w:szCs w:val="24"/>
    </w:rPr>
  </w:style>
  <w:style w:type="table" w:styleId="6">
    <w:name w:val="Table Grid"/>
    <w:basedOn w:val="5"/>
    <w:qFormat/>
    <w:uiPriority w:val="59"/>
    <w:pPr>
      <w:widowControl w:val="0"/>
      <w:jc w:val="both"/>
    </w:pPr>
    <w:rPr>
      <w:rFonts w:eastAsia="微软雅黑"/>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8">
    <w:name w:val="Hyperlink"/>
    <w:basedOn w:val="7"/>
    <w:unhideWhenUsed/>
    <w:qFormat/>
    <w:uiPriority w:val="99"/>
    <w:rPr>
      <w:color w:val="136EC2"/>
      <w:u w:val="none"/>
    </w:rPr>
  </w:style>
  <w:style w:type="paragraph" w:customStyle="1" w:styleId="9">
    <w:name w:val="List Paragraph"/>
    <w:basedOn w:val="1"/>
    <w:qFormat/>
    <w:uiPriority w:val="34"/>
    <w:pPr>
      <w:ind w:firstLine="420" w:firstLineChars="200"/>
    </w:pPr>
  </w:style>
  <w:style w:type="character" w:customStyle="1" w:styleId="10">
    <w:name w:val="页眉 Char"/>
    <w:basedOn w:val="7"/>
    <w:link w:val="3"/>
    <w:semiHidden/>
    <w:qFormat/>
    <w:uiPriority w:val="99"/>
    <w:rPr>
      <w:rFonts w:ascii="Tahoma" w:hAnsi="Tahoma" w:eastAsia="微软雅黑"/>
      <w:kern w:val="0"/>
      <w:sz w:val="18"/>
      <w:szCs w:val="18"/>
    </w:rPr>
  </w:style>
  <w:style w:type="character" w:customStyle="1" w:styleId="11">
    <w:name w:val="页脚 Char"/>
    <w:basedOn w:val="7"/>
    <w:link w:val="2"/>
    <w:semiHidden/>
    <w:qFormat/>
    <w:uiPriority w:val="99"/>
    <w:rPr>
      <w:rFonts w:ascii="Tahoma" w:hAnsi="Tahoma" w:eastAsia="微软雅黑"/>
      <w:kern w:val="0"/>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丰华文化用品广场</Company>
  <Pages>14</Pages>
  <Words>1004</Words>
  <Characters>5726</Characters>
  <Lines>47</Lines>
  <Paragraphs>13</Paragraphs>
  <TotalTime>11</TotalTime>
  <ScaleCrop>false</ScaleCrop>
  <LinksUpToDate>false</LinksUpToDate>
  <CharactersWithSpaces>6717</CharactersWithSpaces>
  <Application>WPS Office_11.1.0.8661_F1E327BC-269C-435d-A152-05C5408002CA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2018-07-10T10:05:00Z</dcterms:created>
  <dc:creator>丰华网络</dc:creator>
  <cp:lastModifiedBy>慧慧</cp:lastModifiedBy>
  <dcterms:modified xsi:type="dcterms:W3CDTF">2019-05-06T04:16:48Z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