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napToGrid w:val="0"/>
        <w:spacing w:line="500" w:lineRule="exact"/>
        <w:rPr>
          <w:rFonts w:ascii="仿宋" w:hAnsi="仿宋" w:eastAsia="仿宋"/>
          <w:sz w:val="28"/>
          <w:szCs w:val="28"/>
        </w:rPr>
      </w:pPr>
      <w:r>
        <w:rPr>
          <w:rFonts w:ascii="仿宋" w:hAnsi="仿宋" w:eastAsia="仿宋"/>
          <w:sz w:val="28"/>
          <w:szCs w:val="28"/>
        </w:rPr>
        <w:t xml:space="preserve">附件1： </w:t>
      </w:r>
    </w:p>
    <w:p>
      <w:pPr>
        <w:snapToGrid w:val="0"/>
        <w:spacing w:after="200" w:line="500" w:lineRule="exact"/>
        <w:ind w:firstLine="600"/>
        <w:rPr>
          <w:rFonts w:ascii="仿宋" w:hAnsi="仿宋" w:eastAsia="仿宋"/>
          <w:sz w:val="28"/>
          <w:szCs w:val="28"/>
        </w:rPr>
      </w:pPr>
    </w:p>
    <w:p>
      <w:pPr>
        <w:snapToGrid w:val="0"/>
        <w:spacing w:line="500" w:lineRule="exact"/>
        <w:ind w:firstLine="1080" w:firstLineChars="300"/>
        <w:rPr>
          <w:rFonts w:ascii="微软雅黑" w:hAnsi="微软雅黑" w:cs="微软雅黑"/>
          <w:sz w:val="36"/>
          <w:szCs w:val="36"/>
        </w:rPr>
      </w:pPr>
      <w:r>
        <w:rPr>
          <w:rFonts w:hint="eastAsia" w:ascii="微软雅黑" w:hAnsi="微软雅黑" w:cs="微软雅黑"/>
          <w:sz w:val="36"/>
          <w:szCs w:val="36"/>
        </w:rPr>
        <w:t xml:space="preserve">2017年度玛纳斯县民政局决算公开说明 </w:t>
      </w:r>
    </w:p>
    <w:p>
      <w:pPr>
        <w:snapToGrid w:val="0"/>
        <w:spacing w:after="200" w:line="500" w:lineRule="exact"/>
        <w:ind w:firstLine="600"/>
        <w:rPr>
          <w:rFonts w:ascii="仿宋" w:hAnsi="仿宋" w:eastAsia="仿宋"/>
          <w:sz w:val="28"/>
          <w:szCs w:val="28"/>
        </w:rPr>
      </w:pPr>
    </w:p>
    <w:p>
      <w:pPr>
        <w:snapToGrid w:val="0"/>
        <w:spacing w:line="500" w:lineRule="exact"/>
        <w:ind w:firstLine="640"/>
        <w:jc w:val="center"/>
        <w:rPr>
          <w:rFonts w:ascii="仿宋" w:hAnsi="仿宋" w:eastAsia="仿宋" w:cs="仿宋"/>
          <w:sz w:val="30"/>
          <w:szCs w:val="30"/>
        </w:rPr>
      </w:pPr>
      <w:r>
        <w:rPr>
          <w:rFonts w:hint="eastAsia" w:ascii="仿宋" w:hAnsi="仿宋" w:eastAsia="仿宋" w:cs="仿宋"/>
          <w:sz w:val="30"/>
          <w:szCs w:val="30"/>
        </w:rPr>
        <w:t>目  录</w:t>
      </w:r>
    </w:p>
    <w:p>
      <w:pPr>
        <w:snapToGrid w:val="0"/>
        <w:spacing w:after="200" w:line="500" w:lineRule="exact"/>
        <w:ind w:firstLine="600"/>
        <w:rPr>
          <w:rFonts w:ascii="仿宋" w:hAnsi="仿宋" w:eastAsia="仿宋" w:cs="仿宋"/>
          <w:sz w:val="30"/>
          <w:szCs w:val="30"/>
        </w:rPr>
      </w:pP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第一部分 玛纳斯县民政局部门单位概况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一、主要职能、机构设置及人员情况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二、部门决算单位构成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第二部分 部门决算情况说明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一、部门收支总体情况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（二）一般公共预算支出决算情况说明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三、部门结转结余情况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六、政府采购情况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第三部分 专业名词解释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第四部分 部门决算报表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一、报表封面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二、部门收支总体情况（11张）：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《收入支出决算总表》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《收入决算表》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《支出决算表》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《收入支出决算表》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《项目收入支出决算表》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《行政事业类项目收入支出决算表》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《基本建设类项目收入支出决算表》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《支出决算明细表》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《基本支出决算明细表》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《项目支出决算明细表》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《财政专户管理资金收入支出决算表》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三、财政拨款收支情况（9张）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《财政拨款收入支出决算总表》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《一般公共预算财政拨款收入支出决算表》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《一般公共预算财政拨款支出决算明细表》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《一般公共预算财政拨款基本支出决算明细表》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《一般公共预算财政拨款项目支出决算明细表》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《政府性基金预算财政拨款收入支出决算表》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《政府性基金预算财政拨款支出决算明细表》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《政府性基金预算财政拨款基本支出决算明细表》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《政府性基金预算财政拨款项目支出决算明细表》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四、单位资产负责情况（1张）：《资产负债简表》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五、部门决算附表（5张）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《资产情况表》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《国有资产收益征缴情况表》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《基本数字表》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《机构人员情况表》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《非税收入征缴情况表》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六、填报说明附表（2张）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《部门决算相关信息统计表》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《政府采购情况表》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七、“三公”经费支出情况(1张)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《2017年度一般公共预算“三公”经费支出情况表》</w:t>
      </w:r>
    </w:p>
    <w:p>
      <w:pPr>
        <w:snapToGrid w:val="0"/>
        <w:spacing w:line="500" w:lineRule="exact"/>
        <w:ind w:firstLine="600"/>
        <w:rPr>
          <w:rFonts w:ascii="仿宋" w:hAnsi="仿宋" w:eastAsia="仿宋" w:cs="仿宋"/>
          <w:sz w:val="30"/>
          <w:szCs w:val="30"/>
        </w:rPr>
      </w:pPr>
    </w:p>
    <w:p>
      <w:pPr>
        <w:snapToGrid w:val="0"/>
        <w:spacing w:line="500" w:lineRule="exact"/>
        <w:ind w:firstLine="600"/>
        <w:rPr>
          <w:rFonts w:ascii="仿宋" w:hAnsi="仿宋" w:eastAsia="仿宋" w:cs="仿宋"/>
          <w:sz w:val="30"/>
          <w:szCs w:val="30"/>
        </w:rPr>
      </w:pPr>
    </w:p>
    <w:p>
      <w:pPr>
        <w:snapToGrid w:val="0"/>
        <w:spacing w:line="500" w:lineRule="exact"/>
        <w:ind w:firstLine="600"/>
        <w:rPr>
          <w:rFonts w:ascii="仿宋" w:hAnsi="仿宋" w:eastAsia="仿宋" w:cs="仿宋"/>
          <w:sz w:val="30"/>
          <w:szCs w:val="30"/>
        </w:rPr>
      </w:pPr>
    </w:p>
    <w:p>
      <w:pPr>
        <w:snapToGrid w:val="0"/>
        <w:spacing w:line="500" w:lineRule="exact"/>
        <w:ind w:firstLine="600"/>
        <w:rPr>
          <w:rFonts w:ascii="仿宋" w:hAnsi="仿宋" w:eastAsia="仿宋" w:cs="仿宋"/>
          <w:sz w:val="30"/>
          <w:szCs w:val="30"/>
        </w:rPr>
      </w:pPr>
    </w:p>
    <w:p>
      <w:pPr>
        <w:snapToGrid w:val="0"/>
        <w:spacing w:line="500" w:lineRule="exact"/>
        <w:ind w:firstLine="600"/>
        <w:rPr>
          <w:rFonts w:ascii="仿宋" w:hAnsi="仿宋" w:eastAsia="仿宋" w:cs="仿宋"/>
          <w:sz w:val="30"/>
          <w:szCs w:val="30"/>
        </w:rPr>
      </w:pPr>
    </w:p>
    <w:p>
      <w:pPr>
        <w:snapToGrid w:val="0"/>
        <w:spacing w:line="500" w:lineRule="exact"/>
        <w:ind w:firstLine="600"/>
        <w:rPr>
          <w:rFonts w:ascii="仿宋" w:hAnsi="仿宋" w:eastAsia="仿宋" w:cs="仿宋"/>
          <w:sz w:val="30"/>
          <w:szCs w:val="30"/>
        </w:rPr>
      </w:pPr>
    </w:p>
    <w:p>
      <w:pPr>
        <w:snapToGrid w:val="0"/>
        <w:spacing w:line="500" w:lineRule="exact"/>
        <w:ind w:firstLine="600"/>
        <w:rPr>
          <w:rFonts w:ascii="仿宋" w:hAnsi="仿宋" w:eastAsia="仿宋" w:cs="仿宋"/>
          <w:sz w:val="30"/>
          <w:szCs w:val="30"/>
        </w:rPr>
      </w:pPr>
    </w:p>
    <w:p>
      <w:pPr>
        <w:snapToGrid w:val="0"/>
        <w:spacing w:line="500" w:lineRule="exact"/>
        <w:ind w:firstLine="600"/>
        <w:rPr>
          <w:rFonts w:ascii="仿宋" w:hAnsi="仿宋" w:eastAsia="仿宋" w:cs="仿宋"/>
          <w:sz w:val="30"/>
          <w:szCs w:val="30"/>
        </w:rPr>
      </w:pPr>
    </w:p>
    <w:p>
      <w:pPr>
        <w:snapToGrid w:val="0"/>
        <w:spacing w:line="500" w:lineRule="exact"/>
        <w:ind w:firstLine="600"/>
        <w:rPr>
          <w:rFonts w:ascii="仿宋" w:hAnsi="仿宋" w:eastAsia="仿宋" w:cs="仿宋"/>
          <w:sz w:val="30"/>
          <w:szCs w:val="30"/>
        </w:rPr>
      </w:pPr>
    </w:p>
    <w:p>
      <w:pPr>
        <w:snapToGrid w:val="0"/>
        <w:spacing w:line="500" w:lineRule="exact"/>
        <w:ind w:firstLine="600"/>
        <w:rPr>
          <w:rFonts w:ascii="仿宋" w:hAnsi="仿宋" w:eastAsia="仿宋" w:cs="仿宋"/>
          <w:sz w:val="30"/>
          <w:szCs w:val="30"/>
        </w:rPr>
      </w:pPr>
    </w:p>
    <w:p>
      <w:pPr>
        <w:snapToGrid w:val="0"/>
        <w:spacing w:line="500" w:lineRule="exact"/>
        <w:ind w:firstLine="600"/>
        <w:rPr>
          <w:rFonts w:ascii="仿宋" w:hAnsi="仿宋" w:eastAsia="仿宋" w:cs="仿宋"/>
          <w:sz w:val="30"/>
          <w:szCs w:val="30"/>
        </w:rPr>
      </w:pPr>
    </w:p>
    <w:p>
      <w:pPr>
        <w:snapToGrid w:val="0"/>
        <w:spacing w:line="500" w:lineRule="exact"/>
        <w:ind w:firstLine="600"/>
        <w:rPr>
          <w:rFonts w:ascii="仿宋" w:hAnsi="仿宋" w:eastAsia="仿宋" w:cs="仿宋"/>
          <w:sz w:val="30"/>
          <w:szCs w:val="30"/>
        </w:rPr>
      </w:pP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 </w:t>
      </w:r>
    </w:p>
    <w:p>
      <w:pPr>
        <w:snapToGrid w:val="0"/>
        <w:spacing w:after="200" w:line="500" w:lineRule="exact"/>
        <w:ind w:firstLine="600"/>
        <w:rPr>
          <w:rFonts w:ascii="仿宋" w:hAnsi="仿宋" w:eastAsia="仿宋" w:cs="仿宋"/>
          <w:sz w:val="30"/>
          <w:szCs w:val="30"/>
        </w:rPr>
      </w:pPr>
    </w:p>
    <w:p>
      <w:pPr>
        <w:snapToGrid w:val="0"/>
        <w:spacing w:line="500" w:lineRule="exact"/>
        <w:jc w:val="center"/>
        <w:rPr>
          <w:rFonts w:ascii="仿宋" w:hAnsi="仿宋" w:eastAsia="仿宋" w:cs="仿宋"/>
          <w:sz w:val="30"/>
          <w:szCs w:val="30"/>
        </w:rPr>
      </w:pPr>
    </w:p>
    <w:p>
      <w:pPr>
        <w:snapToGrid w:val="0"/>
        <w:spacing w:line="500" w:lineRule="exact"/>
        <w:jc w:val="center"/>
        <w:rPr>
          <w:rFonts w:ascii="仿宋" w:hAnsi="仿宋" w:eastAsia="仿宋" w:cs="仿宋"/>
          <w:sz w:val="30"/>
          <w:szCs w:val="30"/>
        </w:rPr>
      </w:pPr>
    </w:p>
    <w:p>
      <w:pPr>
        <w:snapToGrid w:val="0"/>
        <w:spacing w:line="500" w:lineRule="exact"/>
        <w:jc w:val="center"/>
        <w:rPr>
          <w:rFonts w:ascii="仿宋" w:hAnsi="仿宋" w:eastAsia="仿宋" w:cs="仿宋"/>
          <w:sz w:val="30"/>
          <w:szCs w:val="30"/>
        </w:rPr>
      </w:pPr>
    </w:p>
    <w:p>
      <w:pPr>
        <w:numPr>
          <w:ilvl w:val="0"/>
          <w:numId w:val="1"/>
        </w:numPr>
        <w:snapToGrid w:val="0"/>
        <w:spacing w:line="500" w:lineRule="exact"/>
        <w:jc w:val="center"/>
        <w:rPr>
          <w:rFonts w:ascii="仿宋" w:hAnsi="仿宋" w:eastAsia="仿宋" w:cs="仿宋"/>
          <w:b/>
          <w:bCs/>
          <w:sz w:val="30"/>
          <w:szCs w:val="30"/>
        </w:rPr>
      </w:pPr>
      <w:r>
        <w:rPr>
          <w:rFonts w:hint="eastAsia" w:ascii="仿宋" w:hAnsi="仿宋" w:eastAsia="仿宋" w:cs="仿宋"/>
          <w:b/>
          <w:bCs/>
          <w:sz w:val="30"/>
          <w:szCs w:val="30"/>
        </w:rPr>
        <w:t>部门单位概况</w:t>
      </w:r>
    </w:p>
    <w:p>
      <w:pPr>
        <w:snapToGrid w:val="0"/>
        <w:spacing w:line="500" w:lineRule="exact"/>
        <w:jc w:val="both"/>
        <w:rPr>
          <w:rFonts w:ascii="仿宋" w:hAnsi="仿宋" w:eastAsia="仿宋" w:cs="仿宋"/>
          <w:b/>
          <w:bCs/>
          <w:sz w:val="30"/>
          <w:szCs w:val="30"/>
        </w:rPr>
      </w:pPr>
    </w:p>
    <w:p>
      <w:pPr>
        <w:pStyle w:val="37"/>
        <w:numPr>
          <w:ilvl w:val="0"/>
          <w:numId w:val="2"/>
        </w:numPr>
        <w:snapToGrid w:val="0"/>
        <w:spacing w:line="500" w:lineRule="exact"/>
        <w:jc w:val="left"/>
        <w:rPr>
          <w:rFonts w:ascii="仿宋" w:hAnsi="仿宋" w:eastAsia="仿宋" w:cs="仿宋"/>
          <w:sz w:val="30"/>
          <w:szCs w:val="30"/>
        </w:rPr>
      </w:pPr>
      <w:r>
        <w:rPr>
          <w:rFonts w:hint="eastAsia" w:ascii="仿宋" w:hAnsi="仿宋" w:eastAsia="仿宋" w:cs="仿宋"/>
          <w:sz w:val="30"/>
          <w:szCs w:val="30"/>
        </w:rPr>
        <w:t>部门单位基本情况。</w:t>
      </w:r>
    </w:p>
    <w:p>
      <w:pPr>
        <w:pStyle w:val="37"/>
        <w:snapToGrid w:val="0"/>
        <w:spacing w:after="200" w:line="500" w:lineRule="exact"/>
        <w:rPr>
          <w:rFonts w:ascii="仿宋" w:hAnsi="仿宋" w:eastAsia="仿宋" w:cs="仿宋"/>
          <w:sz w:val="30"/>
          <w:szCs w:val="30"/>
        </w:rPr>
      </w:pPr>
      <w:r>
        <w:rPr>
          <w:rFonts w:hint="eastAsia" w:ascii="仿宋" w:hAnsi="仿宋" w:eastAsia="仿宋" w:cs="仿宋"/>
          <w:sz w:val="30"/>
          <w:szCs w:val="30"/>
        </w:rPr>
        <w:t>1．主要职能。</w:t>
      </w:r>
    </w:p>
    <w:p>
      <w:pPr>
        <w:pStyle w:val="37"/>
        <w:snapToGrid w:val="0"/>
        <w:spacing w:after="200" w:line="500" w:lineRule="exact"/>
        <w:rPr>
          <w:rFonts w:ascii="仿宋" w:hAnsi="仿宋" w:eastAsia="仿宋" w:cs="仿宋"/>
          <w:sz w:val="30"/>
          <w:szCs w:val="30"/>
        </w:rPr>
      </w:pPr>
      <w:r>
        <w:rPr>
          <w:rFonts w:hint="eastAsia" w:ascii="仿宋" w:hAnsi="仿宋" w:eastAsia="仿宋" w:cs="仿宋"/>
          <w:sz w:val="30"/>
          <w:szCs w:val="30"/>
        </w:rPr>
        <w:t>（一）贯彻执行国家关于民政工作的方针、政策和法律、法规，研究制定全市民政事业中、长期规划和年度计划并组织实施和监督检查。</w:t>
      </w:r>
      <w:r>
        <w:rPr>
          <w:rFonts w:hint="eastAsia" w:ascii="仿宋" w:hAnsi="仿宋" w:eastAsia="仿宋" w:cs="仿宋"/>
          <w:sz w:val="30"/>
          <w:szCs w:val="30"/>
        </w:rPr>
        <w:br w:type="textWrapping"/>
      </w:r>
      <w:r>
        <w:rPr>
          <w:rFonts w:hint="eastAsia" w:ascii="仿宋" w:hAnsi="仿宋" w:eastAsia="仿宋" w:cs="仿宋"/>
          <w:sz w:val="30"/>
          <w:szCs w:val="30"/>
        </w:rPr>
        <w:t xml:space="preserve">   （二）负责拥军优属、优待抚恤工作，负责革命烈士审核、报批、褒扬和革命伤残人员残废等级评定的审核报批工作。</w:t>
      </w:r>
      <w:r>
        <w:rPr>
          <w:rFonts w:hint="eastAsia" w:ascii="仿宋" w:hAnsi="仿宋" w:eastAsia="仿宋" w:cs="仿宋"/>
          <w:sz w:val="30"/>
          <w:szCs w:val="30"/>
        </w:rPr>
        <w:br w:type="textWrapping"/>
      </w:r>
      <w:r>
        <w:rPr>
          <w:rFonts w:hint="eastAsia" w:ascii="仿宋" w:hAnsi="仿宋" w:eastAsia="仿宋" w:cs="仿宋"/>
          <w:sz w:val="30"/>
          <w:szCs w:val="30"/>
        </w:rPr>
        <w:t xml:space="preserve">   （三）负责退伍义务兵、转业志愿兵、军队复员干部的接收安置工作；负责军队离退休干部，无军籍退休退职职工的接收安置、服务管理工作；指导移交地方管理的军队离退休干部休养所的工作；指导和协调全市军供站的工作。</w:t>
      </w:r>
      <w:r>
        <w:rPr>
          <w:rFonts w:hint="eastAsia" w:ascii="仿宋" w:hAnsi="仿宋" w:eastAsia="仿宋" w:cs="仿宋"/>
          <w:sz w:val="30"/>
          <w:szCs w:val="30"/>
        </w:rPr>
        <w:br w:type="textWrapping"/>
      </w:r>
      <w:r>
        <w:rPr>
          <w:rFonts w:hint="eastAsia" w:ascii="仿宋" w:hAnsi="仿宋" w:eastAsia="仿宋" w:cs="仿宋"/>
          <w:sz w:val="30"/>
          <w:szCs w:val="30"/>
        </w:rPr>
        <w:t xml:space="preserve">   （四）组织救灾工作，掌握和发布灾情，拨放救灾款物；组织接收、分配救灾捐赠；检查、监督救灾款物使用情况，指导灾区开展生产自救；指导农村救灾合作保险，开展减灾活动。</w:t>
      </w:r>
      <w:r>
        <w:rPr>
          <w:rFonts w:hint="eastAsia" w:ascii="仿宋" w:hAnsi="仿宋" w:eastAsia="仿宋" w:cs="仿宋"/>
          <w:sz w:val="30"/>
          <w:szCs w:val="30"/>
        </w:rPr>
        <w:br w:type="textWrapping"/>
      </w:r>
      <w:r>
        <w:rPr>
          <w:rFonts w:hint="eastAsia" w:ascii="仿宋" w:hAnsi="仿宋" w:eastAsia="仿宋" w:cs="仿宋"/>
          <w:sz w:val="30"/>
          <w:szCs w:val="30"/>
        </w:rPr>
        <w:t xml:space="preserve">   （五）负责社会救济工作，制定农村五保户供养和城乡社会困难户定期救济、临时救济以及其他特殊救济对象的救济政策、标准并监督实施；会同有关部门制定城市居民最低生活保障标准，并组织救济工作；负责符合社会救济条件的失业救济期满尚未再就业职工的救济工作；负责扶贫工作。</w:t>
      </w:r>
      <w:r>
        <w:rPr>
          <w:rFonts w:hint="eastAsia" w:ascii="仿宋" w:hAnsi="仿宋" w:eastAsia="仿宋" w:cs="仿宋"/>
          <w:sz w:val="30"/>
          <w:szCs w:val="30"/>
        </w:rPr>
        <w:br w:type="textWrapping"/>
      </w:r>
      <w:r>
        <w:rPr>
          <w:rFonts w:hint="eastAsia" w:ascii="仿宋" w:hAnsi="仿宋" w:eastAsia="仿宋" w:cs="仿宋"/>
          <w:sz w:val="30"/>
          <w:szCs w:val="30"/>
        </w:rPr>
        <w:t xml:space="preserve">   （六）主管农村养老保险工作。建立和完善农村社会养老保险制度，指导和监督农村养老保险基金的管理和使用。</w:t>
      </w:r>
      <w:r>
        <w:rPr>
          <w:rFonts w:hint="eastAsia" w:ascii="仿宋" w:hAnsi="仿宋" w:eastAsia="仿宋" w:cs="仿宋"/>
          <w:sz w:val="30"/>
          <w:szCs w:val="30"/>
        </w:rPr>
        <w:br w:type="textWrapping"/>
      </w:r>
      <w:r>
        <w:rPr>
          <w:rFonts w:hint="eastAsia" w:ascii="仿宋" w:hAnsi="仿宋" w:eastAsia="仿宋" w:cs="仿宋"/>
          <w:sz w:val="30"/>
          <w:szCs w:val="30"/>
        </w:rPr>
        <w:t xml:space="preserve">   （七）制定并组织实施社会福利事业发展规划，指导社会福利事业单位管理和城市社区服务工作，建立和完善社会福利服务体系。</w:t>
      </w:r>
      <w:r>
        <w:rPr>
          <w:rFonts w:hint="eastAsia" w:ascii="仿宋" w:hAnsi="仿宋" w:eastAsia="仿宋" w:cs="仿宋"/>
          <w:sz w:val="30"/>
          <w:szCs w:val="30"/>
        </w:rPr>
        <w:br w:type="textWrapping"/>
      </w:r>
      <w:r>
        <w:rPr>
          <w:rFonts w:hint="eastAsia" w:ascii="仿宋" w:hAnsi="仿宋" w:eastAsia="仿宋" w:cs="仿宋"/>
          <w:sz w:val="30"/>
          <w:szCs w:val="30"/>
        </w:rPr>
        <w:t xml:space="preserve">   （八）指导老年人和残疾人的权益保护工作，会同有关部门制定并监督实施残疾人就业和社会福利生产的扶持保护政策，指导社会福利生产，审批和管理城乡社会福利企业。</w:t>
      </w:r>
      <w:r>
        <w:rPr>
          <w:rFonts w:hint="eastAsia" w:ascii="仿宋" w:hAnsi="仿宋" w:eastAsia="仿宋" w:cs="仿宋"/>
          <w:sz w:val="30"/>
          <w:szCs w:val="30"/>
        </w:rPr>
        <w:br w:type="textWrapping"/>
      </w:r>
      <w:r>
        <w:rPr>
          <w:rFonts w:hint="eastAsia" w:ascii="仿宋" w:hAnsi="仿宋" w:eastAsia="仿宋" w:cs="仿宋"/>
          <w:sz w:val="30"/>
          <w:szCs w:val="30"/>
        </w:rPr>
        <w:t xml:space="preserve">   （九）负责城乡基层政权建设和基层群众自治组织建设，开展村民、居民自治活动。</w:t>
      </w:r>
    </w:p>
    <w:p>
      <w:pPr>
        <w:pStyle w:val="37"/>
        <w:snapToGrid w:val="0"/>
        <w:spacing w:after="200" w:line="500" w:lineRule="exact"/>
        <w:rPr>
          <w:rFonts w:ascii="仿宋" w:hAnsi="仿宋" w:eastAsia="仿宋" w:cs="仿宋"/>
          <w:sz w:val="30"/>
          <w:szCs w:val="30"/>
          <w:highlight w:val="yellow"/>
        </w:rPr>
      </w:pPr>
      <w:r>
        <w:rPr>
          <w:rFonts w:hint="eastAsia" w:ascii="仿宋" w:hAnsi="仿宋" w:eastAsia="仿宋" w:cs="仿宋"/>
          <w:sz w:val="30"/>
          <w:szCs w:val="30"/>
        </w:rPr>
        <w:t>（十）拟订行政区域规划，负责市、区、乡镇、街道办事处行政区域的设立、撤销、更名和界线变更的审核报批工作。</w:t>
      </w:r>
      <w:r>
        <w:rPr>
          <w:rFonts w:hint="eastAsia" w:ascii="仿宋" w:hAnsi="仿宋" w:eastAsia="仿宋" w:cs="仿宋"/>
          <w:sz w:val="30"/>
          <w:szCs w:val="30"/>
        </w:rPr>
        <w:br w:type="textWrapping"/>
      </w:r>
      <w:r>
        <w:rPr>
          <w:rFonts w:hint="eastAsia" w:ascii="仿宋" w:hAnsi="仿宋" w:eastAsia="仿宋" w:cs="仿宋"/>
          <w:sz w:val="30"/>
          <w:szCs w:val="30"/>
        </w:rPr>
        <w:t xml:space="preserve">   （十一）负责全市行政区划名称和重要自然地理实体的命名、更名和地名标志的规划、设立管理等工作。</w:t>
      </w:r>
      <w:r>
        <w:rPr>
          <w:rFonts w:hint="eastAsia" w:ascii="仿宋" w:hAnsi="仿宋" w:eastAsia="仿宋" w:cs="仿宋"/>
          <w:sz w:val="30"/>
          <w:szCs w:val="30"/>
        </w:rPr>
        <w:br w:type="textWrapping"/>
      </w:r>
      <w:r>
        <w:rPr>
          <w:rFonts w:hint="eastAsia" w:ascii="仿宋" w:hAnsi="仿宋" w:eastAsia="仿宋" w:cs="仿宋"/>
          <w:sz w:val="30"/>
          <w:szCs w:val="30"/>
        </w:rPr>
        <w:t xml:space="preserve">   （十二）研究拟订社团管理法规并组织实施；负责全市性社团组织和涉外社团的审批登记和管理工作；指导县（市）、区社团管理工作。</w:t>
      </w:r>
      <w:r>
        <w:rPr>
          <w:rFonts w:hint="eastAsia" w:ascii="仿宋" w:hAnsi="仿宋" w:eastAsia="仿宋" w:cs="仿宋"/>
          <w:sz w:val="30"/>
          <w:szCs w:val="30"/>
        </w:rPr>
        <w:br w:type="textWrapping"/>
      </w:r>
      <w:r>
        <w:rPr>
          <w:rFonts w:hint="eastAsia" w:ascii="仿宋" w:hAnsi="仿宋" w:eastAsia="仿宋" w:cs="仿宋"/>
          <w:sz w:val="30"/>
          <w:szCs w:val="30"/>
        </w:rPr>
        <w:t xml:space="preserve">   （十三）主管婚姻登记和儿童收养工作；负责殡葬和公墓事业管理工作。</w:t>
      </w:r>
      <w:r>
        <w:rPr>
          <w:rFonts w:hint="eastAsia" w:ascii="仿宋" w:hAnsi="仿宋" w:eastAsia="仿宋" w:cs="仿宋"/>
          <w:sz w:val="30"/>
          <w:szCs w:val="30"/>
        </w:rPr>
        <w:br w:type="textWrapping"/>
      </w:r>
      <w:r>
        <w:rPr>
          <w:rFonts w:hint="eastAsia" w:ascii="仿宋" w:hAnsi="仿宋" w:eastAsia="仿宋" w:cs="仿宋"/>
          <w:sz w:val="30"/>
          <w:szCs w:val="30"/>
        </w:rPr>
        <w:t xml:space="preserve">   （十四）负责城市流浪乞讨人员的收容、管理、教育、遣送工作；指导收容遣送站的建设和管理工作。</w:t>
      </w:r>
      <w:r>
        <w:rPr>
          <w:rFonts w:hint="eastAsia" w:ascii="仿宋" w:hAnsi="仿宋" w:eastAsia="仿宋" w:cs="仿宋"/>
          <w:sz w:val="30"/>
          <w:szCs w:val="30"/>
        </w:rPr>
        <w:br w:type="textWrapping"/>
      </w:r>
      <w:r>
        <w:rPr>
          <w:rFonts w:hint="eastAsia" w:ascii="仿宋" w:hAnsi="仿宋" w:eastAsia="仿宋" w:cs="仿宋"/>
          <w:sz w:val="30"/>
          <w:szCs w:val="30"/>
        </w:rPr>
        <w:t xml:space="preserve">   （十五）主管全市社会福利有奖募捐工作；管理，指导和监督有奖募捐福利基金的使用。</w:t>
      </w:r>
      <w:r>
        <w:rPr>
          <w:rFonts w:hint="eastAsia" w:ascii="仿宋" w:hAnsi="仿宋" w:eastAsia="仿宋" w:cs="仿宋"/>
          <w:sz w:val="30"/>
          <w:szCs w:val="30"/>
        </w:rPr>
        <w:br w:type="textWrapping"/>
      </w:r>
      <w:r>
        <w:rPr>
          <w:rFonts w:hint="eastAsia" w:ascii="仿宋" w:hAnsi="仿宋" w:eastAsia="仿宋" w:cs="仿宋"/>
          <w:sz w:val="30"/>
          <w:szCs w:val="30"/>
        </w:rPr>
        <w:t xml:space="preserve">   （十六）承办市委、市政府交办的其他事项。</w:t>
      </w:r>
    </w:p>
    <w:p>
      <w:pPr>
        <w:snapToGrid w:val="0"/>
        <w:spacing w:after="200" w:line="500" w:lineRule="exact"/>
        <w:ind w:left="600"/>
        <w:rPr>
          <w:rFonts w:ascii="仿宋" w:hAnsi="仿宋" w:eastAsia="仿宋" w:cs="仿宋"/>
          <w:sz w:val="30"/>
          <w:szCs w:val="30"/>
        </w:rPr>
      </w:pPr>
      <w:r>
        <w:rPr>
          <w:rFonts w:hint="eastAsia" w:ascii="仿宋" w:hAnsi="仿宋" w:eastAsia="仿宋" w:cs="仿宋"/>
          <w:sz w:val="30"/>
          <w:szCs w:val="30"/>
        </w:rPr>
        <w:t>2．机构情况和人员编制</w:t>
      </w:r>
    </w:p>
    <w:p>
      <w:pPr>
        <w:snapToGrid w:val="0"/>
        <w:spacing w:after="200" w:line="500" w:lineRule="exact"/>
        <w:ind w:firstLine="600" w:firstLineChars="200"/>
        <w:rPr>
          <w:rFonts w:ascii="仿宋" w:hAnsi="仿宋" w:eastAsia="仿宋" w:cs="仿宋"/>
          <w:sz w:val="30"/>
          <w:szCs w:val="30"/>
        </w:rPr>
      </w:pPr>
      <w:r>
        <w:rPr>
          <w:rFonts w:hint="eastAsia" w:ascii="仿宋" w:hAnsi="仿宋" w:eastAsia="仿宋" w:cs="仿宋"/>
          <w:sz w:val="30"/>
          <w:szCs w:val="30"/>
        </w:rPr>
        <w:t>目前，民政局机关内设6个科室，即：行政办公室（含财务室）、社会保障办公室（救灾救济、城乡低保、城乡解困、医疗救助等）、双拥优抚安置办公室、基层政权社区建设办公室、社会事务管理办公室（含婚姻登记、殡葬管理、社会福利服务等）、行政区划和地名办公室。下属事业单位2个：社会福利园区、殡葬管理所和殡仪馆。</w:t>
      </w:r>
    </w:p>
    <w:p>
      <w:pPr>
        <w:snapToGrid w:val="0"/>
        <w:spacing w:after="200" w:line="500" w:lineRule="exact"/>
        <w:ind w:left="600" w:firstLine="640"/>
        <w:rPr>
          <w:rFonts w:ascii="仿宋" w:hAnsi="仿宋" w:eastAsia="仿宋" w:cs="仿宋"/>
          <w:sz w:val="30"/>
          <w:szCs w:val="30"/>
        </w:rPr>
      </w:pPr>
      <w:r>
        <w:rPr>
          <w:rFonts w:hint="eastAsia" w:ascii="仿宋" w:hAnsi="仿宋" w:eastAsia="仿宋" w:cs="仿宋"/>
          <w:sz w:val="30"/>
          <w:szCs w:val="30"/>
        </w:rPr>
        <w:t>民政局核定编制30名，其中：行政编制9人，事业编制19人，自收自支编制2人，年末实际在岗30人。</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二、部门决算单位构成。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从决算单位构成看，玛纳斯县民政局部门决算包括：玛纳斯县民政局部门本级决算、所属单位决算等。 </w:t>
      </w:r>
    </w:p>
    <w:p>
      <w:pPr>
        <w:snapToGrid w:val="0"/>
        <w:spacing w:after="200" w:line="500" w:lineRule="exact"/>
        <w:ind w:firstLine="600"/>
        <w:rPr>
          <w:rFonts w:ascii="仿宋" w:hAnsi="仿宋" w:eastAsia="仿宋" w:cs="仿宋"/>
          <w:sz w:val="30"/>
          <w:szCs w:val="30"/>
        </w:rPr>
      </w:pPr>
      <w:r>
        <w:rPr>
          <w:rFonts w:hint="eastAsia" w:ascii="仿宋" w:hAnsi="仿宋" w:eastAsia="仿宋" w:cs="仿宋"/>
          <w:sz w:val="30"/>
          <w:szCs w:val="30"/>
        </w:rPr>
        <w:t xml:space="preserve">纳入玛纳斯县民政局2017年部门决算编制范围的单位名单见下表： </w:t>
      </w:r>
    </w:p>
    <w:tbl>
      <w:tblPr>
        <w:tblStyle w:val="2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3446"/>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5" w:type="dxa"/>
          </w:tcPr>
          <w:p>
            <w:pPr>
              <w:snapToGrid w:val="0"/>
              <w:spacing w:after="200" w:line="500" w:lineRule="exact"/>
              <w:jc w:val="center"/>
              <w:rPr>
                <w:rFonts w:ascii="仿宋" w:hAnsi="仿宋" w:eastAsia="仿宋" w:cs="仿宋"/>
                <w:sz w:val="30"/>
                <w:szCs w:val="30"/>
              </w:rPr>
            </w:pPr>
            <w:r>
              <w:rPr>
                <w:rFonts w:hint="eastAsia" w:ascii="仿宋" w:hAnsi="仿宋" w:eastAsia="仿宋" w:cs="仿宋"/>
                <w:sz w:val="30"/>
                <w:szCs w:val="30"/>
              </w:rPr>
              <w:t>序号</w:t>
            </w:r>
          </w:p>
        </w:tc>
        <w:tc>
          <w:tcPr>
            <w:tcW w:w="3446" w:type="dxa"/>
          </w:tcPr>
          <w:p>
            <w:pPr>
              <w:snapToGrid w:val="0"/>
              <w:spacing w:after="200" w:line="500" w:lineRule="exact"/>
              <w:jc w:val="center"/>
              <w:rPr>
                <w:rFonts w:ascii="仿宋" w:hAnsi="仿宋" w:eastAsia="仿宋" w:cs="仿宋"/>
                <w:sz w:val="30"/>
                <w:szCs w:val="30"/>
              </w:rPr>
            </w:pPr>
            <w:r>
              <w:rPr>
                <w:rFonts w:hint="eastAsia" w:ascii="仿宋" w:hAnsi="仿宋" w:eastAsia="仿宋" w:cs="仿宋"/>
                <w:sz w:val="30"/>
                <w:szCs w:val="30"/>
              </w:rPr>
              <w:t>单位名称</w:t>
            </w:r>
          </w:p>
        </w:tc>
        <w:tc>
          <w:tcPr>
            <w:tcW w:w="2841" w:type="dxa"/>
          </w:tcPr>
          <w:p>
            <w:pPr>
              <w:snapToGrid w:val="0"/>
              <w:spacing w:after="200" w:line="500" w:lineRule="exact"/>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5" w:type="dxa"/>
          </w:tcPr>
          <w:p>
            <w:pPr>
              <w:snapToGrid w:val="0"/>
              <w:spacing w:after="200" w:line="500" w:lineRule="exact"/>
              <w:jc w:val="center"/>
              <w:rPr>
                <w:rFonts w:ascii="仿宋" w:hAnsi="仿宋" w:eastAsia="仿宋" w:cs="仿宋"/>
                <w:sz w:val="30"/>
                <w:szCs w:val="30"/>
              </w:rPr>
            </w:pPr>
            <w:r>
              <w:rPr>
                <w:rFonts w:hint="eastAsia" w:ascii="仿宋" w:hAnsi="仿宋" w:eastAsia="仿宋" w:cs="仿宋"/>
                <w:sz w:val="30"/>
                <w:szCs w:val="30"/>
              </w:rPr>
              <w:t>1</w:t>
            </w:r>
          </w:p>
        </w:tc>
        <w:tc>
          <w:tcPr>
            <w:tcW w:w="3446" w:type="dxa"/>
          </w:tcPr>
          <w:p>
            <w:pPr>
              <w:snapToGrid w:val="0"/>
              <w:spacing w:after="200" w:line="500" w:lineRule="exact"/>
              <w:jc w:val="center"/>
              <w:rPr>
                <w:rFonts w:ascii="仿宋" w:hAnsi="仿宋" w:eastAsia="仿宋" w:cs="仿宋"/>
                <w:sz w:val="30"/>
                <w:szCs w:val="30"/>
              </w:rPr>
            </w:pPr>
            <w:r>
              <w:rPr>
                <w:rFonts w:hint="eastAsia" w:ascii="仿宋" w:hAnsi="仿宋" w:eastAsia="仿宋" w:cs="仿宋"/>
                <w:sz w:val="30"/>
                <w:szCs w:val="30"/>
              </w:rPr>
              <w:t>玛纳斯县民政局本级</w:t>
            </w:r>
          </w:p>
        </w:tc>
        <w:tc>
          <w:tcPr>
            <w:tcW w:w="2841" w:type="dxa"/>
          </w:tcPr>
          <w:p>
            <w:pPr>
              <w:snapToGrid w:val="0"/>
              <w:spacing w:after="200" w:line="500" w:lineRule="exact"/>
              <w:jc w:val="center"/>
              <w:rPr>
                <w:rFonts w:ascii="仿宋" w:hAnsi="仿宋" w:eastAsia="仿宋" w:cs="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5" w:type="dxa"/>
          </w:tcPr>
          <w:p>
            <w:pPr>
              <w:snapToGrid w:val="0"/>
              <w:spacing w:after="200" w:line="500" w:lineRule="exact"/>
              <w:jc w:val="center"/>
              <w:rPr>
                <w:rFonts w:ascii="仿宋" w:hAnsi="仿宋" w:eastAsia="仿宋" w:cs="仿宋"/>
                <w:sz w:val="30"/>
                <w:szCs w:val="30"/>
              </w:rPr>
            </w:pPr>
          </w:p>
        </w:tc>
        <w:tc>
          <w:tcPr>
            <w:tcW w:w="3446" w:type="dxa"/>
          </w:tcPr>
          <w:p>
            <w:pPr>
              <w:snapToGrid w:val="0"/>
              <w:spacing w:after="200" w:line="500" w:lineRule="exact"/>
              <w:jc w:val="center"/>
              <w:rPr>
                <w:rFonts w:ascii="仿宋" w:hAnsi="仿宋" w:eastAsia="仿宋" w:cs="仿宋"/>
                <w:sz w:val="30"/>
                <w:szCs w:val="30"/>
              </w:rPr>
            </w:pPr>
          </w:p>
        </w:tc>
        <w:tc>
          <w:tcPr>
            <w:tcW w:w="2841" w:type="dxa"/>
          </w:tcPr>
          <w:p>
            <w:pPr>
              <w:snapToGrid w:val="0"/>
              <w:spacing w:after="200" w:line="500" w:lineRule="exact"/>
              <w:jc w:val="center"/>
              <w:rPr>
                <w:rFonts w:ascii="仿宋" w:hAnsi="仿宋" w:eastAsia="仿宋" w:cs="仿宋"/>
                <w:sz w:val="30"/>
                <w:szCs w:val="30"/>
              </w:rPr>
            </w:pPr>
          </w:p>
        </w:tc>
      </w:tr>
    </w:tbl>
    <w:p>
      <w:pPr>
        <w:snapToGrid w:val="0"/>
        <w:spacing w:line="500" w:lineRule="exact"/>
        <w:jc w:val="center"/>
        <w:rPr>
          <w:rFonts w:ascii="仿宋" w:hAnsi="仿宋" w:eastAsia="仿宋" w:cs="仿宋"/>
          <w:sz w:val="30"/>
          <w:szCs w:val="30"/>
        </w:rPr>
      </w:pPr>
    </w:p>
    <w:p>
      <w:pPr>
        <w:snapToGrid w:val="0"/>
        <w:spacing w:line="500" w:lineRule="exact"/>
        <w:jc w:val="center"/>
        <w:rPr>
          <w:rFonts w:ascii="仿宋" w:hAnsi="仿宋" w:eastAsia="仿宋" w:cs="仿宋"/>
          <w:sz w:val="30"/>
          <w:szCs w:val="30"/>
        </w:rPr>
      </w:pPr>
    </w:p>
    <w:p>
      <w:pPr>
        <w:snapToGrid w:val="0"/>
        <w:spacing w:line="500" w:lineRule="exact"/>
        <w:ind w:firstLine="2409" w:firstLineChars="800"/>
        <w:jc w:val="both"/>
        <w:rPr>
          <w:rFonts w:ascii="仿宋" w:hAnsi="仿宋" w:eastAsia="仿宋" w:cs="仿宋"/>
          <w:b/>
          <w:bCs/>
          <w:sz w:val="30"/>
          <w:szCs w:val="30"/>
        </w:rPr>
      </w:pPr>
      <w:r>
        <w:rPr>
          <w:rFonts w:hint="eastAsia" w:ascii="仿宋" w:hAnsi="仿宋" w:eastAsia="仿宋" w:cs="仿宋"/>
          <w:b/>
          <w:bCs/>
          <w:sz w:val="30"/>
          <w:szCs w:val="30"/>
        </w:rPr>
        <w:t>第二部分 部门决算情况说明</w:t>
      </w:r>
    </w:p>
    <w:p>
      <w:pPr>
        <w:snapToGrid w:val="0"/>
        <w:spacing w:line="500" w:lineRule="exact"/>
        <w:ind w:firstLine="600"/>
        <w:rPr>
          <w:rFonts w:ascii="仿宋" w:hAnsi="仿宋" w:eastAsia="仿宋" w:cs="仿宋"/>
          <w:sz w:val="30"/>
          <w:szCs w:val="30"/>
        </w:rPr>
      </w:pP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一、部门收支总体情况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2017年度收入5219.28万元,与上年相比，增加844.39万元，增长19.30%，支出5550.88万元,与上年相比，增加1072.06万元，增长23.95%，增加主要原因是：本年增加了老年养护院工程和救灾物资储备库工程建设。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与预算相比情况：</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2017年度决算收入5219.28万元（含其他收入），预算收入1350.02万元，决算比预算增加了3869.26 万元，决算支出5550.88万元，预算支出1350.02万元，决算比预算增加了4200.86万元，决算收入和支出大于预算原因为：本年增加了老年养护院工程和救灾物资储备库工程建设未列入年初预算。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无其他有关说明内容。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 本年收入合计5219.28万元，其中：财政拨款收入5218.19万元，占99.97%；其他收入1.08万元，占0.03%。增加的主要原因是：本年财政拨款收入增加了老年养护院工程和救灾物资储备库工程建设资金未列入年初预算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 与预算相比情况：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2017年度决算收入5219.28万元，2017年预算收入为1350.02万元，决算比预算收入增加3869.26万元，增长原因是：本年增加了老年养护院工程和救灾物资储备库工程建设未列入年初预算。 </w:t>
      </w:r>
    </w:p>
    <w:p>
      <w:pPr>
        <w:spacing w:line="500" w:lineRule="exact"/>
        <w:ind w:firstLine="560"/>
        <w:rPr>
          <w:rFonts w:ascii="仿宋" w:hAnsi="仿宋" w:eastAsia="仿宋" w:cs="仿宋"/>
          <w:sz w:val="30"/>
          <w:szCs w:val="30"/>
        </w:rPr>
      </w:pPr>
      <w:r>
        <w:rPr>
          <w:rFonts w:hint="eastAsia" w:ascii="仿宋" w:hAnsi="仿宋" w:eastAsia="仿宋" w:cs="仿宋"/>
          <w:sz w:val="30"/>
          <w:szCs w:val="30"/>
        </w:rPr>
        <w:t xml:space="preserve">无其他有关说明内容。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本年支出合计5550.88万元，其中：基本支出751.51万元，占13.54%；项目支出4799.37万元，占86.46%；增加的主要原因是：由于工程项目的增加，使项目支出大幅增加。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与预算相比情况：</w:t>
      </w:r>
    </w:p>
    <w:p>
      <w:pPr>
        <w:spacing w:line="500" w:lineRule="exact"/>
        <w:ind w:firstLine="560"/>
        <w:rPr>
          <w:rFonts w:ascii="仿宋" w:hAnsi="仿宋" w:eastAsia="仿宋" w:cs="仿宋"/>
          <w:sz w:val="30"/>
          <w:szCs w:val="30"/>
        </w:rPr>
      </w:pPr>
      <w:r>
        <w:rPr>
          <w:rFonts w:hint="eastAsia" w:ascii="仿宋" w:hAnsi="仿宋" w:eastAsia="仿宋" w:cs="仿宋"/>
          <w:sz w:val="30"/>
          <w:szCs w:val="30"/>
        </w:rPr>
        <w:t>决算支出5550.88万元，预算支出1350.02万元，决算比预算增加了4200.86万元，决算收入和支出大于预算收入支出原因为：老年养护院工程和救灾物资储备库工程建设支出年初未列入预算支出。</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无其他有关说明内容。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2017年度财政拨款收入5218.19万元，与上年相比，增加843.30万元，增长19.27%。增加的主要原因是：由于老年养护院工程和救灾物资储备库工程建设项目的增加。财政拨款支出5549.79万元，与上年相比，增加1070.97万元，增长23.91%。其中：基本支出751.51万元，项目支出4798.28万元。增加的主要原因是：老年养护院工程和救灾物资储备库工程建设项目的增加。</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与预算相比情况：</w:t>
      </w:r>
    </w:p>
    <w:p>
      <w:pPr>
        <w:spacing w:line="500" w:lineRule="exact"/>
        <w:ind w:firstLine="560"/>
        <w:rPr>
          <w:rFonts w:ascii="仿宋" w:hAnsi="仿宋" w:eastAsia="仿宋" w:cs="仿宋"/>
          <w:sz w:val="30"/>
          <w:szCs w:val="30"/>
        </w:rPr>
      </w:pPr>
      <w:r>
        <w:rPr>
          <w:rFonts w:hint="eastAsia" w:ascii="仿宋" w:hAnsi="仿宋" w:eastAsia="仿宋" w:cs="仿宋"/>
          <w:sz w:val="30"/>
          <w:szCs w:val="30"/>
        </w:rPr>
        <w:t>2017年决算财政拨款收入5218.19万元，2017年预算收入为1350.02万元，增加了3868.17万元，决算收入支出大于预算收支的原因：老年养护院工程和救灾物资储备库工程建设支出年初未列入预算支出。</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无其他有关说明内容。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（二）一般公共预算支出决算情况说明 </w:t>
      </w:r>
    </w:p>
    <w:p>
      <w:pPr>
        <w:spacing w:line="500" w:lineRule="exact"/>
        <w:ind w:firstLine="560"/>
        <w:rPr>
          <w:rFonts w:ascii="仿宋" w:hAnsi="仿宋" w:eastAsia="仿宋" w:cs="仿宋"/>
          <w:sz w:val="30"/>
          <w:szCs w:val="30"/>
        </w:rPr>
      </w:pPr>
      <w:r>
        <w:rPr>
          <w:rFonts w:hint="eastAsia" w:ascii="仿宋" w:hAnsi="仿宋" w:eastAsia="仿宋" w:cs="仿宋"/>
          <w:sz w:val="30"/>
          <w:szCs w:val="30"/>
        </w:rPr>
        <w:t>2017年度一般公共预算财政拨款支出5346.70万元。与上年相比，增加867.88万元，增长19.38%。增加的主要原因是：老年养护院工程和救灾物资储备库工程建设项目资金的增加。</w:t>
      </w:r>
    </w:p>
    <w:p>
      <w:pPr>
        <w:spacing w:line="500" w:lineRule="exact"/>
        <w:ind w:firstLine="560"/>
        <w:rPr>
          <w:rFonts w:ascii="仿宋" w:hAnsi="仿宋" w:eastAsia="仿宋" w:cs="仿宋"/>
          <w:sz w:val="30"/>
          <w:szCs w:val="30"/>
        </w:rPr>
      </w:pPr>
      <w:r>
        <w:rPr>
          <w:rFonts w:hint="eastAsia" w:ascii="仿宋" w:hAnsi="仿宋" w:eastAsia="仿宋" w:cs="仿宋"/>
          <w:sz w:val="30"/>
          <w:szCs w:val="30"/>
        </w:rPr>
        <w:t>其中：</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按功能分类科目，社会保障和就业支出5128.15万元，医疗卫生与计划生育支出120.86万元，城乡社区支出47.27万元，债务还本支出50.42万元。</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按经济分类科目，工资福利支出377.91万元，商品和服务支出321.35万元，对个人和家庭的补助4549.75万元，其他资本性支出79.69万元。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与预算相比情况： 2017年度一般公共预算财政拨款支出5346.69万元，与年初预算1269.12万元增加了4077.57万元，超支321.29%，主要原因是上级拨入项目资金未列入年初预算。</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无其他有关说明内容。</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2017年度政府性基金财政拨款收入203.1万元，与上年相比，增加181.1万元，增长121.48%。增减变化的主要原因是：上级对社会福利的彩票公益金项目政府性基金补助增加。政府性基金预算财政拨款支出203.10万元，与上年相比增加了181.10万元，增长121.48%。增加的主要原因是：福利院用于安保、消防设施完善，以及“双集中”项目大幅增加支出。</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与预算相比情况：</w:t>
      </w:r>
    </w:p>
    <w:p>
      <w:pPr>
        <w:spacing w:line="500" w:lineRule="exact"/>
        <w:ind w:firstLine="560"/>
        <w:rPr>
          <w:rFonts w:ascii="仿宋" w:hAnsi="仿宋" w:eastAsia="仿宋" w:cs="仿宋"/>
          <w:sz w:val="30"/>
          <w:szCs w:val="30"/>
        </w:rPr>
      </w:pPr>
      <w:r>
        <w:rPr>
          <w:rFonts w:hint="eastAsia" w:ascii="仿宋" w:hAnsi="仿宋" w:eastAsia="仿宋" w:cs="仿宋"/>
          <w:sz w:val="30"/>
          <w:szCs w:val="30"/>
        </w:rPr>
        <w:t>2017年政府性基金预算收入80.9万元，决算收入203.1万元，决算比预算增加了122.2万元，增加的主要原因是年初未对社会福利的彩票公益金项目做预算；2017年政府性基金预算支出80.9万元，决算支出203.1万元，决算比预算增加了122.2万元，增加的主要原因是未对社会福利的彩票公益金项目未做预算。</w:t>
      </w:r>
    </w:p>
    <w:p>
      <w:pPr>
        <w:spacing w:line="500" w:lineRule="exact"/>
        <w:ind w:firstLine="560"/>
        <w:rPr>
          <w:rFonts w:ascii="仿宋" w:hAnsi="仿宋" w:eastAsia="仿宋" w:cs="仿宋"/>
          <w:sz w:val="30"/>
          <w:szCs w:val="30"/>
        </w:rPr>
      </w:pPr>
      <w:r>
        <w:rPr>
          <w:rFonts w:hint="eastAsia" w:ascii="仿宋" w:hAnsi="仿宋" w:eastAsia="仿宋" w:cs="仿宋"/>
          <w:sz w:val="30"/>
          <w:szCs w:val="30"/>
        </w:rPr>
        <w:t>无其他有关说明内容。</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2017年度政府性基金预算支出203.1万元。与上年相比，增加181.1万元，增长121.48%。增加的主要原因是：增加的主要原因是：福利院用于安保、消防设施完善，以及“双集中”项目大幅增加支出。其中：</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按功能分类科目，用于社会福利的彩票公益金支出203.10万元。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按经济分类科目，其他资本性支出203.1万元。</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与预算相比情况： 2017年度政府性基金预算支出80.90万元。2017年政府性基金决算支出203.10万元，增加了122.20元。增加的主要原因是：用于社会福利的彩票公益金支出年初未列入预算</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无其他有关说明内容。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三、部门结转结余情况</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年末结转结余5549.80万元。与上年相比，增加114.60万元，增长2.11%。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其中财政拨款结转结余18.05万元。与上年持平。</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无其他有关说明内容。</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line="500" w:lineRule="exact"/>
        <w:ind w:firstLine="600" w:firstLineChars="200"/>
        <w:rPr>
          <w:rFonts w:ascii="仿宋" w:hAnsi="仿宋" w:eastAsia="仿宋" w:cs="仿宋"/>
          <w:sz w:val="30"/>
          <w:szCs w:val="30"/>
        </w:rPr>
      </w:pPr>
      <w:r>
        <w:rPr>
          <w:rFonts w:hint="eastAsia" w:ascii="仿宋" w:hAnsi="仿宋" w:eastAsia="仿宋" w:cs="仿宋"/>
          <w:sz w:val="30"/>
          <w:szCs w:val="30"/>
        </w:rPr>
        <w:t>2017年度一般公共预算“三公”经费支出决算16.67万元，比上年减少4.09万元，减少了40.19%，增加原因是本年殡葬外出较多。其中，因公出国（境）费支出0万元。我单位全年使用一般公共预算财政拨款安排的出国（境）团组0个，累计0人次。</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公务用车购置及运行维护费支出15.27万元，占91.55%，比上年减少1.97万元，降低12.90%，减少原因是车辆外出减少；公务接待费支出1.41万元，占8.45%，比上年减少2.12万元，降低150.35%，减少原因是接待业务减少。具体情况如下：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公务用车购置及运行维护费15.27万元,其中，公务用车运行维护费15.27万元。主要用于车辆维修及车辆燃油等。</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公务接待费1.41万元。具体是：国内公务接待1.41万元。</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2017年度单位机关运行经费支出262.83万元，比上年增加79.7万元，增加30.32%，主要原因是平时的日常开支的增加。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无其他有关说明内容。</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六、政府采购情况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政府采购计划3.58万元，其中：政府采购货物支出3.58万元、政府采购工程支出0万元、政府采购服务支出0万元；实际采购3.58万元，其中：政府采购货物支出3.58万元、政府采购工程支出0万元、政府采购服务支出0万元。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无其他有关说明内容。</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截至2017年12月31日，资产总计11027.60万元，其中：流动资产9673.79万元，固定资产1230.85万元，其中：房屋3201.28（平方米），价值317.13万元，共有车辆3辆，价值72.82万元，其中：一般公务用车3辆；其他固定资产价值840.90万元。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无其他有关说明内容。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无国有资产收益征缴。</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无其他有关说明内容。</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napToGrid w:val="0"/>
        <w:spacing w:line="500" w:lineRule="exact"/>
        <w:ind w:firstLine="600" w:firstLineChars="200"/>
        <w:rPr>
          <w:rFonts w:ascii="仿宋" w:hAnsi="仿宋" w:eastAsia="仿宋" w:cs="仿宋"/>
          <w:sz w:val="30"/>
          <w:szCs w:val="30"/>
        </w:rPr>
      </w:pPr>
      <w:r>
        <w:rPr>
          <w:rFonts w:hint="eastAsia" w:ascii="仿宋" w:hAnsi="仿宋" w:eastAsia="仿宋" w:cs="仿宋"/>
          <w:sz w:val="30"/>
          <w:szCs w:val="30"/>
        </w:rPr>
        <w:t>2017年度，本部门单位实行绩效管理的项目0个，项目支出决算4799.38万元。</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1.创新机制，切实惠民，不断完善社会救助体系。</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一是着力建立和完善慈善帮扶长效机制。创新运营模式，扎实推进“慈善惠民超市”建设。</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二是最低生活保障坚决做到应保尽保。严格规范审批环节，执行低保标准，确保困难群众基本生活得到有效保障。</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 三是不断巩固和提升流浪乞讨人员救助管理工作机制创新成效。安排街道及社区各分站对市民进行宣传，发放《城市生活无着落流浪乞讨人员救助宣传资料》、《城市生活无着落的流浪乞讨人员救助办法实施细则》等宣传资料，让更多的群众参与到对流浪乞讨人员的救助工作中来。对桥梁、涵洞、交通枢纽等重点地区进行拉网式清查，对流浪人员采取实名登记制度。开展救助服务，及时将流浪乞讨人员送至市救助站。</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2.深化改革，完善制度，大力推进基层管理创新。</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一是强化专项资金管理，确保规范合理使用。根据社区户数变动情况，适时调整专项资金匹配额度，为专项资金合理使用、服务居民提供资金保障。组织街道、社区培训，对资金在使用范围、使用程序等方面进一步进行了明确和规范，并加强日常督查，及时反馈、总结专项资金在使用过程中出现的问题并妥善解决，确保资金规范、有效使用。</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二是健全组织、加强领导，指导换届工作顺利开展。成立了区民政局换届选举工作指导小组，切实加强对选举工作的指导。</w:t>
      </w:r>
    </w:p>
    <w:p>
      <w:pPr>
        <w:snapToGrid w:val="0"/>
        <w:spacing w:after="200" w:line="500" w:lineRule="exact"/>
        <w:ind w:firstLine="600"/>
        <w:rPr>
          <w:rFonts w:ascii="仿宋" w:hAnsi="仿宋" w:eastAsia="仿宋" w:cs="仿宋"/>
          <w:sz w:val="30"/>
          <w:szCs w:val="30"/>
        </w:rPr>
      </w:pPr>
      <w:r>
        <w:rPr>
          <w:rFonts w:hint="eastAsia" w:ascii="仿宋" w:hAnsi="仿宋" w:eastAsia="仿宋" w:cs="仿宋"/>
          <w:sz w:val="30"/>
          <w:szCs w:val="30"/>
        </w:rPr>
        <w:t xml:space="preserve">无其他有关说明内容。 </w:t>
      </w:r>
    </w:p>
    <w:p>
      <w:pPr>
        <w:snapToGrid w:val="0"/>
        <w:spacing w:after="200" w:line="500" w:lineRule="exact"/>
        <w:ind w:firstLine="600"/>
        <w:jc w:val="center"/>
        <w:rPr>
          <w:rFonts w:ascii="仿宋" w:hAnsi="仿宋" w:eastAsia="仿宋" w:cs="仿宋"/>
          <w:sz w:val="30"/>
          <w:szCs w:val="30"/>
        </w:rPr>
      </w:pPr>
    </w:p>
    <w:p>
      <w:pPr>
        <w:snapToGrid w:val="0"/>
        <w:spacing w:after="200" w:line="500" w:lineRule="exact"/>
        <w:ind w:firstLine="600"/>
        <w:jc w:val="center"/>
        <w:rPr>
          <w:rFonts w:ascii="仿宋" w:hAnsi="仿宋" w:eastAsia="仿宋" w:cs="仿宋"/>
          <w:sz w:val="30"/>
          <w:szCs w:val="30"/>
        </w:rPr>
      </w:pPr>
      <w:r>
        <w:rPr>
          <w:rFonts w:hint="eastAsia" w:ascii="仿宋" w:hAnsi="仿宋" w:eastAsia="仿宋" w:cs="仿宋"/>
          <w:sz w:val="30"/>
          <w:szCs w:val="30"/>
        </w:rPr>
        <w:t>第三部分 专业名词解释</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财政拨款收入：指同级财政当年拨付的资金。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上级补助收入：指事业单位从主管部门和上级单位取得的非财政补助收入。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事业收入：指事业单位开展专业业务活动及其辅助活动所取得的收入。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经营收入：指事业单位在专业业务活动及其辅助活动之外开展非独立核算经营活动取得的收入。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附属单位缴款：指事业单位附属的独立核算单位按有关规定上缴的收入。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其他收入：指除上述“财政拨款收入”、“事业收入”、“经营收入”、“附属单位缴款”等之外取得的收入。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结余分配：反映单位当年结余的分配情况。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基本支出：指为保障机构正常运转、完成日常工作任务而发生的人员支出和公用支出。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项目支出：指在基本支出之外为完成特定行政任务和事业发展目标所发生的支出。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经营支出：指事业单位在专业业务活动及其辅助活动之外开展非独立核算经营活动发生的支出。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对附属单位补助支出：指事业单位发生的用非财政预算资金对附属单位的补助支出。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napToGrid w:val="0"/>
        <w:spacing w:line="500" w:lineRule="exact"/>
        <w:ind w:firstLine="600"/>
        <w:rPr>
          <w:rFonts w:hint="eastAsia" w:ascii="仿宋" w:hAnsi="仿宋" w:eastAsia="仿宋" w:cs="仿宋"/>
          <w:sz w:val="30"/>
          <w:szCs w:val="30"/>
        </w:rPr>
      </w:pPr>
      <w:r>
        <w:rPr>
          <w:rFonts w:hint="eastAsia" w:ascii="仿宋" w:hAnsi="仿宋" w:eastAsia="仿宋" w:cs="仿宋"/>
          <w:sz w:val="30"/>
          <w:szCs w:val="30"/>
        </w:rPr>
        <w:t>本单位支出功能分类说明:</w:t>
      </w:r>
    </w:p>
    <w:p>
      <w:pPr>
        <w:snapToGrid w:val="0"/>
        <w:spacing w:line="500" w:lineRule="exact"/>
        <w:ind w:firstLine="600"/>
        <w:rPr>
          <w:rFonts w:hint="eastAsia" w:ascii="仿宋" w:hAnsi="仿宋" w:eastAsia="仿宋" w:cs="仿宋"/>
          <w:sz w:val="30"/>
          <w:szCs w:val="30"/>
          <w:lang w:eastAsia="zh-CN"/>
        </w:rPr>
      </w:pPr>
      <w:r>
        <w:rPr>
          <w:rFonts w:hint="eastAsia" w:ascii="仿宋" w:hAnsi="仿宋" w:eastAsia="仿宋" w:cs="仿宋"/>
          <w:sz w:val="30"/>
          <w:szCs w:val="30"/>
        </w:rPr>
        <w:t>拥军优属：开展拥军优属活动的支出</w:t>
      </w:r>
      <w:r>
        <w:rPr>
          <w:rFonts w:hint="eastAsia" w:ascii="仿宋" w:hAnsi="仿宋" w:eastAsia="仿宋" w:cs="仿宋"/>
          <w:sz w:val="30"/>
          <w:szCs w:val="30"/>
          <w:lang w:eastAsia="zh-CN"/>
        </w:rPr>
        <w:t>；</w:t>
      </w:r>
    </w:p>
    <w:p>
      <w:pPr>
        <w:snapToGrid w:val="0"/>
        <w:spacing w:line="500" w:lineRule="exact"/>
        <w:ind w:firstLine="600"/>
        <w:rPr>
          <w:rFonts w:hint="eastAsia" w:ascii="仿宋" w:hAnsi="仿宋" w:eastAsia="仿宋" w:cs="仿宋"/>
          <w:sz w:val="30"/>
          <w:szCs w:val="30"/>
          <w:lang w:eastAsia="zh-CN"/>
        </w:rPr>
      </w:pPr>
      <w:r>
        <w:rPr>
          <w:rFonts w:hint="eastAsia" w:ascii="仿宋" w:hAnsi="仿宋" w:eastAsia="仿宋" w:cs="仿宋"/>
          <w:sz w:val="30"/>
          <w:szCs w:val="30"/>
        </w:rPr>
        <w:t>优抚事业单位支出：反映民政管理的优抚事业单位的支出，对集体优抚事业单位的补助</w:t>
      </w:r>
      <w:r>
        <w:rPr>
          <w:rFonts w:hint="eastAsia" w:ascii="仿宋" w:hAnsi="仿宋" w:eastAsia="仿宋" w:cs="仿宋"/>
          <w:sz w:val="30"/>
          <w:szCs w:val="30"/>
          <w:lang w:eastAsia="zh-CN"/>
        </w:rPr>
        <w:t>；</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社会福利事业单位：反映民政部门举办的社会福利事业单位的支出，以及对集体社会福利事业单位的补助费。</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退役士兵安置：反映按规定用于伤残义务兵的一次性建房补助，对符合条件的退役士兵、转业士官的安置支出。</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自然灾害生活救助支出：反映用于自然灾害生活救助方面的支出。</w:t>
      </w:r>
    </w:p>
    <w:p>
      <w:pPr>
        <w:snapToGrid w:val="0"/>
        <w:spacing w:line="50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其他生活救助：反映除最低生活保障、临时救助、特困人员供养、自然灾害救助外，用于城乡生活困难居民生活救助的其他支出</w:t>
      </w:r>
      <w:r>
        <w:rPr>
          <w:rFonts w:hint="eastAsia" w:ascii="仿宋" w:hAnsi="仿宋" w:eastAsia="仿宋" w:cs="仿宋"/>
          <w:sz w:val="30"/>
          <w:szCs w:val="30"/>
          <w:lang w:eastAsia="zh-CN"/>
        </w:rPr>
        <w:t>；</w:t>
      </w:r>
    </w:p>
    <w:p>
      <w:pPr>
        <w:snapToGrid w:val="0"/>
        <w:spacing w:line="500" w:lineRule="exact"/>
        <w:ind w:firstLine="600" w:firstLineChars="200"/>
        <w:rPr>
          <w:rFonts w:ascii="仿宋" w:hAnsi="仿宋" w:eastAsia="仿宋" w:cs="仿宋"/>
          <w:sz w:val="30"/>
          <w:szCs w:val="30"/>
        </w:rPr>
      </w:pPr>
      <w:r>
        <w:rPr>
          <w:rFonts w:hint="eastAsia" w:ascii="仿宋" w:hAnsi="仿宋" w:eastAsia="仿宋" w:cs="仿宋"/>
          <w:sz w:val="30"/>
          <w:szCs w:val="30"/>
        </w:rPr>
        <w:t>2080505</w:t>
      </w:r>
      <w:r>
        <w:rPr>
          <w:rFonts w:hint="eastAsia" w:ascii="仿宋" w:hAnsi="仿宋" w:eastAsia="仿宋" w:cs="仿宋"/>
          <w:sz w:val="30"/>
          <w:szCs w:val="30"/>
          <w:lang w:eastAsia="zh-CN"/>
        </w:rPr>
        <w:t>（类款项）</w:t>
      </w:r>
      <w:r>
        <w:rPr>
          <w:rFonts w:hint="eastAsia" w:ascii="仿宋" w:hAnsi="仿宋" w:eastAsia="仿宋" w:cs="仿宋"/>
          <w:sz w:val="30"/>
          <w:szCs w:val="30"/>
        </w:rPr>
        <w:t>：指机关事业单位基本养老保险缴费支出</w:t>
      </w:r>
      <w:r>
        <w:rPr>
          <w:rFonts w:hint="eastAsia" w:ascii="仿宋" w:hAnsi="仿宋" w:eastAsia="仿宋" w:cs="仿宋"/>
          <w:sz w:val="30"/>
          <w:szCs w:val="30"/>
          <w:lang w:eastAsia="zh-CN"/>
        </w:rPr>
        <w:t>。</w:t>
      </w:r>
      <w:r>
        <w:rPr>
          <w:rFonts w:hint="eastAsia" w:ascii="仿宋" w:hAnsi="仿宋" w:eastAsia="仿宋" w:cs="仿宋"/>
          <w:sz w:val="30"/>
          <w:szCs w:val="30"/>
        </w:rPr>
        <w:t xml:space="preserve"> </w:t>
      </w:r>
    </w:p>
    <w:p>
      <w:pPr>
        <w:snapToGrid w:val="0"/>
        <w:spacing w:line="500" w:lineRule="exact"/>
        <w:ind w:firstLine="600"/>
        <w:rPr>
          <w:rFonts w:ascii="仿宋" w:hAnsi="仿宋" w:eastAsia="仿宋" w:cs="仿宋"/>
          <w:sz w:val="30"/>
          <w:szCs w:val="30"/>
        </w:rPr>
      </w:pPr>
      <w:bookmarkStart w:id="0" w:name="_GoBack"/>
      <w:bookmarkEnd w:id="0"/>
      <w:r>
        <w:rPr>
          <w:rFonts w:hint="eastAsia" w:ascii="仿宋" w:hAnsi="仿宋" w:eastAsia="仿宋" w:cs="仿宋"/>
          <w:sz w:val="30"/>
          <w:szCs w:val="30"/>
        </w:rPr>
        <w:t xml:space="preserve">无其他有关说明内容。 </w:t>
      </w:r>
    </w:p>
    <w:p>
      <w:pPr>
        <w:snapToGrid w:val="0"/>
        <w:spacing w:after="200" w:line="500" w:lineRule="exact"/>
        <w:ind w:firstLine="600"/>
        <w:rPr>
          <w:rFonts w:ascii="仿宋" w:hAnsi="仿宋" w:eastAsia="仿宋" w:cs="仿宋"/>
          <w:sz w:val="30"/>
          <w:szCs w:val="30"/>
        </w:rPr>
      </w:pPr>
    </w:p>
    <w:p>
      <w:pPr>
        <w:snapToGrid w:val="0"/>
        <w:spacing w:after="200" w:line="500" w:lineRule="exact"/>
        <w:ind w:firstLine="600"/>
        <w:jc w:val="center"/>
        <w:rPr>
          <w:rFonts w:ascii="仿宋" w:hAnsi="仿宋" w:eastAsia="仿宋" w:cs="仿宋"/>
          <w:sz w:val="30"/>
          <w:szCs w:val="30"/>
        </w:rPr>
      </w:pPr>
    </w:p>
    <w:p>
      <w:pPr>
        <w:snapToGrid w:val="0"/>
        <w:spacing w:after="200" w:line="500" w:lineRule="exact"/>
        <w:ind w:firstLine="600"/>
        <w:jc w:val="center"/>
        <w:rPr>
          <w:rFonts w:ascii="仿宋" w:hAnsi="仿宋" w:eastAsia="仿宋" w:cs="仿宋"/>
          <w:sz w:val="30"/>
          <w:szCs w:val="30"/>
        </w:rPr>
      </w:pPr>
    </w:p>
    <w:p>
      <w:pPr>
        <w:snapToGrid w:val="0"/>
        <w:spacing w:after="200" w:line="500" w:lineRule="exact"/>
        <w:ind w:firstLine="600"/>
        <w:jc w:val="center"/>
        <w:rPr>
          <w:rFonts w:ascii="仿宋" w:hAnsi="仿宋" w:eastAsia="仿宋" w:cs="仿宋"/>
          <w:sz w:val="30"/>
          <w:szCs w:val="30"/>
        </w:rPr>
      </w:pPr>
    </w:p>
    <w:p>
      <w:pPr>
        <w:snapToGrid w:val="0"/>
        <w:spacing w:after="200" w:line="500" w:lineRule="exact"/>
        <w:ind w:firstLine="600"/>
        <w:jc w:val="center"/>
        <w:rPr>
          <w:rFonts w:ascii="仿宋" w:hAnsi="仿宋" w:eastAsia="仿宋" w:cs="仿宋"/>
          <w:sz w:val="30"/>
          <w:szCs w:val="30"/>
        </w:rPr>
      </w:pPr>
      <w:r>
        <w:rPr>
          <w:rFonts w:hint="eastAsia" w:ascii="仿宋" w:hAnsi="仿宋" w:eastAsia="仿宋" w:cs="仿宋"/>
          <w:sz w:val="30"/>
          <w:szCs w:val="30"/>
        </w:rPr>
        <w:t>第四部分 部门决算报表（见附表）</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一、报表封面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二、《收入支出决算总表》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三、《收入决算表》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四、《支出决算表》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五、《收入支出决算表》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六、《项目收入支出决算表》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七、《行政事业类项目收入支出决算表》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八、《基本建设类项目收入支出决算表》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九、《支出决算明细表》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十、《基本支出决算明细表》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十一、《项目支出决算明细表》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十二、《财政专户管理资金收入支出决算表》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十三、《财政拨款收入支出决算总表》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十四、《一般公共预算财政拨款收入支出决算表》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十五、《一般公共预算财政拨款支出决算明细表》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十六、《一般公共预算财政拨款基本支出决算明细表》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十七、《一般公共预算财政拨款项目支出决算明细表》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十八、《政府性基金预算财政拨款收入支出决算表》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十九、《政府性基金预算财政拨款支出决算明细表》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二十、《政府性基金预算财政拨款基本支出决算明细表》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二十一、《政府性基金预算财政拨款项目支出决算明细表》。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二十二、《资产负债简表》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二十三、《资产情况表》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二十四、《国有资产收益征缴情况表》、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二十五、《基本数字表》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二十六、《机构人员情况表》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二十七、《非税收入征缴情况表》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二十八、《部门决算相关信息统计表》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二十九、《政府采购情况表》 </w:t>
      </w:r>
    </w:p>
    <w:p>
      <w:pPr>
        <w:snapToGrid w:val="0"/>
        <w:spacing w:line="500" w:lineRule="exact"/>
        <w:ind w:firstLine="600"/>
        <w:rPr>
          <w:rFonts w:ascii="仿宋" w:hAnsi="仿宋" w:eastAsia="仿宋" w:cs="仿宋"/>
          <w:sz w:val="30"/>
          <w:szCs w:val="30"/>
        </w:rPr>
      </w:pPr>
      <w:r>
        <w:rPr>
          <w:rFonts w:hint="eastAsia" w:ascii="仿宋" w:hAnsi="仿宋" w:eastAsia="仿宋" w:cs="仿宋"/>
          <w:sz w:val="30"/>
          <w:szCs w:val="30"/>
        </w:rPr>
        <w:t xml:space="preserve">三十、《2017年度一般公共预算“三公”经费支出情况表》 </w:t>
      </w:r>
    </w:p>
    <w:p>
      <w:pPr>
        <w:snapToGrid w:val="0"/>
        <w:spacing w:after="200" w:line="500" w:lineRule="exact"/>
        <w:rPr>
          <w:rFonts w:ascii="仿宋" w:hAnsi="仿宋" w:eastAsia="仿宋" w:cs="仿宋"/>
          <w:sz w:val="30"/>
          <w:szCs w:val="30"/>
        </w:rPr>
      </w:pPr>
    </w:p>
    <w:sectPr>
      <w:pgSz w:w="11906" w:h="16838"/>
      <w:pgMar w:top="1440" w:right="1800" w:bottom="1440" w:left="180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788529153">
    <w:nsid w:val="2F000001"/>
    <w:multiLevelType w:val="multilevel"/>
    <w:tmpl w:val="2F000001"/>
    <w:lvl w:ilvl="0" w:tentative="1">
      <w:start w:val="1"/>
      <w:numFmt w:val="japaneseCounting"/>
      <w:lvlText w:val="%1、"/>
      <w:lvlJc w:val="left"/>
      <w:pPr>
        <w:ind w:left="1320" w:hanging="720"/>
        <w:jc w:val="both"/>
      </w:pPr>
      <w:rPr>
        <w:w w:val="100"/>
        <w:sz w:val="20"/>
        <w:szCs w:val="20"/>
        <w:shd w:val="clear" w:color="auto" w:fill="auto"/>
      </w:rPr>
    </w:lvl>
    <w:lvl w:ilvl="1" w:tentative="1">
      <w:start w:val="1"/>
      <w:numFmt w:val="lowerLetter"/>
      <w:lvlText w:val="%2)"/>
      <w:lvlJc w:val="left"/>
      <w:pPr>
        <w:ind w:left="1440" w:hanging="420"/>
        <w:jc w:val="both"/>
      </w:pPr>
    </w:lvl>
    <w:lvl w:ilvl="2" w:tentative="1">
      <w:start w:val="1"/>
      <w:numFmt w:val="lowerRoman"/>
      <w:lvlText w:val="%3."/>
      <w:lvlJc w:val="right"/>
      <w:pPr>
        <w:ind w:left="1860" w:hanging="420"/>
        <w:jc w:val="both"/>
      </w:pPr>
    </w:lvl>
    <w:lvl w:ilvl="3" w:tentative="1">
      <w:start w:val="1"/>
      <w:numFmt w:val="decimal"/>
      <w:lvlText w:val="%4."/>
      <w:lvlJc w:val="left"/>
      <w:pPr>
        <w:ind w:left="2280" w:hanging="420"/>
        <w:jc w:val="both"/>
      </w:pPr>
    </w:lvl>
    <w:lvl w:ilvl="4" w:tentative="1">
      <w:start w:val="1"/>
      <w:numFmt w:val="lowerLetter"/>
      <w:lvlText w:val="%5)"/>
      <w:lvlJc w:val="left"/>
      <w:pPr>
        <w:ind w:left="2700" w:hanging="420"/>
        <w:jc w:val="both"/>
      </w:pPr>
    </w:lvl>
    <w:lvl w:ilvl="5" w:tentative="1">
      <w:start w:val="1"/>
      <w:numFmt w:val="lowerRoman"/>
      <w:lvlText w:val="%6."/>
      <w:lvlJc w:val="right"/>
      <w:pPr>
        <w:ind w:left="3120" w:hanging="420"/>
        <w:jc w:val="both"/>
      </w:pPr>
    </w:lvl>
    <w:lvl w:ilvl="6" w:tentative="1">
      <w:start w:val="1"/>
      <w:numFmt w:val="decimal"/>
      <w:lvlText w:val="%7."/>
      <w:lvlJc w:val="left"/>
      <w:pPr>
        <w:ind w:left="3540" w:hanging="420"/>
        <w:jc w:val="both"/>
      </w:pPr>
    </w:lvl>
    <w:lvl w:ilvl="7" w:tentative="1">
      <w:start w:val="1"/>
      <w:numFmt w:val="lowerLetter"/>
      <w:lvlText w:val="%8)"/>
      <w:lvlJc w:val="left"/>
      <w:pPr>
        <w:ind w:left="3960" w:hanging="420"/>
        <w:jc w:val="both"/>
      </w:pPr>
    </w:lvl>
    <w:lvl w:ilvl="8" w:tentative="1">
      <w:start w:val="1"/>
      <w:numFmt w:val="lowerRoman"/>
      <w:lvlText w:val="%9."/>
      <w:lvlJc w:val="right"/>
      <w:pPr>
        <w:ind w:left="4380" w:hanging="420"/>
        <w:jc w:val="both"/>
      </w:pPr>
    </w:lvl>
  </w:abstractNum>
  <w:abstractNum w:abstractNumId="4051190376">
    <w:nsid w:val="F1784268"/>
    <w:multiLevelType w:val="singleLevel"/>
    <w:tmpl w:val="F1784268"/>
    <w:lvl w:ilvl="0" w:tentative="1">
      <w:start w:val="1"/>
      <w:numFmt w:val="chineseCounting"/>
      <w:suff w:val="space"/>
      <w:lvlText w:val="第%1部分"/>
      <w:lvlJc w:val="left"/>
      <w:rPr>
        <w:rFonts w:hint="eastAsia"/>
      </w:rPr>
    </w:lvl>
  </w:abstractNum>
  <w:num w:numId="1">
    <w:abstractNumId w:val="4051190376"/>
  </w:num>
  <w:num w:numId="2">
    <w:abstractNumId w:val="7885291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isplayHorizontalDrawingGridEvery w:val="0"/>
  <w:displayVerticalDrawingGridEvery w:val="2"/>
  <w:characterSpacingControl w:val="compressPunctuation"/>
  <w:compat>
    <w:balanceSingleByteDoubleByteWidth/>
    <w:ulTrailSpace/>
    <w:adjustLineHeightInTable/>
    <w:useFELayout/>
    <w:compatSetting w:name="compatibilityMode" w:uri="http://schemas.microsoft.com/office/word" w:val="12"/>
  </w:compat>
  <w:rsids>
    <w:rsidRoot w:val="00BD4D8B"/>
    <w:rsid w:val="000E6217"/>
    <w:rsid w:val="00110488"/>
    <w:rsid w:val="00395825"/>
    <w:rsid w:val="003E37EF"/>
    <w:rsid w:val="00403B1C"/>
    <w:rsid w:val="00407B21"/>
    <w:rsid w:val="00423562"/>
    <w:rsid w:val="004900C4"/>
    <w:rsid w:val="006F7140"/>
    <w:rsid w:val="00722416"/>
    <w:rsid w:val="007A456E"/>
    <w:rsid w:val="008F2B83"/>
    <w:rsid w:val="00927011"/>
    <w:rsid w:val="00952D22"/>
    <w:rsid w:val="00B06F92"/>
    <w:rsid w:val="00B34650"/>
    <w:rsid w:val="00B41A28"/>
    <w:rsid w:val="00B8009D"/>
    <w:rsid w:val="00BD4D8B"/>
    <w:rsid w:val="00C7046E"/>
    <w:rsid w:val="00D35DD6"/>
    <w:rsid w:val="00D5427F"/>
    <w:rsid w:val="00DC1F68"/>
    <w:rsid w:val="00ED4A7A"/>
    <w:rsid w:val="00F8599D"/>
    <w:rsid w:val="00F968B7"/>
    <w:rsid w:val="02566CA8"/>
    <w:rsid w:val="04042677"/>
    <w:rsid w:val="0A593DE1"/>
    <w:rsid w:val="1C4E618B"/>
    <w:rsid w:val="2D0C2F4A"/>
    <w:rsid w:val="36E32537"/>
    <w:rsid w:val="3B3D276D"/>
    <w:rsid w:val="49AA316F"/>
    <w:rsid w:val="556A71A4"/>
    <w:rsid w:val="5C2F0B2A"/>
    <w:rsid w:val="64741AED"/>
    <w:rsid w:val="6C115523"/>
    <w:rsid w:val="6C3B7D5D"/>
    <w:rsid w:val="6ECE6073"/>
    <w:rsid w:val="7E4307D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iPriority="99" w:name="Normal Indent"/>
    <w:lsdException w:uiPriority="99" w:name="footnote text"/>
    <w:lsdException w:uiPriority="99" w:name="annotation text"/>
    <w:lsdException w:uiPriority="0" w:name="header"/>
    <w:lsdException w:qFormat="1"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6"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6"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0" w:semiHidden="0" w:name="Strong"/>
    <w:lsdException w:qFormat="1" w:unhideWhenUsed="0" w:uiPriority="18"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8"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rPr>
      <w:rFonts w:ascii="Tahoma" w:hAnsi="Tahoma" w:eastAsia="微软雅黑" w:cs="Times New Roman"/>
      <w:sz w:val="22"/>
      <w:szCs w:val="22"/>
      <w:lang w:val="en-US" w:eastAsia="zh-CN" w:bidi="ar-SA"/>
    </w:rPr>
  </w:style>
  <w:style w:type="paragraph" w:styleId="2">
    <w:name w:val="heading 1"/>
    <w:next w:val="1"/>
    <w:qFormat/>
    <w:uiPriority w:val="7"/>
    <w:pPr>
      <w:jc w:val="both"/>
      <w:outlineLvl w:val="0"/>
    </w:pPr>
    <w:rPr>
      <w:rFonts w:ascii="Calibri" w:hAnsi="Calibri" w:eastAsia="宋体" w:cs="Times New Roman"/>
      <w:sz w:val="28"/>
      <w:szCs w:val="28"/>
      <w:lang w:val="en-US" w:eastAsia="zh-CN" w:bidi="ar-SA"/>
    </w:rPr>
  </w:style>
  <w:style w:type="paragraph" w:styleId="3">
    <w:name w:val="heading 2"/>
    <w:next w:val="1"/>
    <w:qFormat/>
    <w:uiPriority w:val="8"/>
    <w:pPr>
      <w:jc w:val="both"/>
      <w:outlineLvl w:val="1"/>
    </w:pPr>
    <w:rPr>
      <w:rFonts w:ascii="Calibri" w:hAnsi="Calibri" w:eastAsia="宋体" w:cs="Times New Roman"/>
      <w:sz w:val="21"/>
      <w:szCs w:val="21"/>
      <w:lang w:val="en-US" w:eastAsia="zh-CN" w:bidi="ar-SA"/>
    </w:rPr>
  </w:style>
  <w:style w:type="paragraph" w:styleId="4">
    <w:name w:val="heading 3"/>
    <w:next w:val="1"/>
    <w:qFormat/>
    <w:uiPriority w:val="9"/>
    <w:pPr>
      <w:ind w:left="1000" w:hanging="400"/>
      <w:jc w:val="both"/>
      <w:outlineLvl w:val="2"/>
    </w:pPr>
    <w:rPr>
      <w:rFonts w:ascii="Calibri" w:hAnsi="Calibri" w:eastAsia="宋体" w:cs="Times New Roman"/>
      <w:sz w:val="21"/>
      <w:szCs w:val="21"/>
      <w:lang w:val="en-US" w:eastAsia="zh-CN" w:bidi="ar-SA"/>
    </w:rPr>
  </w:style>
  <w:style w:type="paragraph" w:styleId="5">
    <w:name w:val="heading 4"/>
    <w:next w:val="1"/>
    <w:qFormat/>
    <w:uiPriority w:val="10"/>
    <w:pPr>
      <w:ind w:left="1200" w:hanging="400"/>
      <w:jc w:val="both"/>
      <w:outlineLvl w:val="3"/>
    </w:pPr>
    <w:rPr>
      <w:rFonts w:ascii="Calibri" w:hAnsi="Calibri" w:eastAsia="宋体" w:cs="Times New Roman"/>
      <w:b/>
      <w:sz w:val="21"/>
      <w:szCs w:val="21"/>
      <w:lang w:val="en-US" w:eastAsia="zh-CN" w:bidi="ar-SA"/>
    </w:rPr>
  </w:style>
  <w:style w:type="paragraph" w:styleId="6">
    <w:name w:val="heading 5"/>
    <w:next w:val="1"/>
    <w:qFormat/>
    <w:uiPriority w:val="11"/>
    <w:pPr>
      <w:ind w:left="1400" w:hanging="400"/>
      <w:jc w:val="both"/>
      <w:outlineLvl w:val="4"/>
    </w:pPr>
    <w:rPr>
      <w:rFonts w:ascii="Calibri" w:hAnsi="Calibri" w:eastAsia="宋体" w:cs="Times New Roman"/>
      <w:sz w:val="21"/>
      <w:szCs w:val="21"/>
      <w:lang w:val="en-US" w:eastAsia="zh-CN" w:bidi="ar-SA"/>
    </w:rPr>
  </w:style>
  <w:style w:type="paragraph" w:styleId="7">
    <w:name w:val="heading 6"/>
    <w:next w:val="1"/>
    <w:qFormat/>
    <w:uiPriority w:val="12"/>
    <w:pPr>
      <w:ind w:left="1600" w:hanging="400"/>
      <w:jc w:val="both"/>
      <w:outlineLvl w:val="5"/>
    </w:pPr>
    <w:rPr>
      <w:rFonts w:ascii="Calibri" w:hAnsi="Calibri" w:eastAsia="宋体" w:cs="Times New Roman"/>
      <w:b/>
      <w:sz w:val="21"/>
      <w:szCs w:val="21"/>
      <w:lang w:val="en-US" w:eastAsia="zh-CN" w:bidi="ar-SA"/>
    </w:rPr>
  </w:style>
  <w:style w:type="paragraph" w:styleId="8">
    <w:name w:val="heading 7"/>
    <w:next w:val="1"/>
    <w:qFormat/>
    <w:uiPriority w:val="13"/>
    <w:pPr>
      <w:ind w:left="1800" w:hanging="400"/>
      <w:jc w:val="both"/>
      <w:outlineLvl w:val="6"/>
    </w:pPr>
    <w:rPr>
      <w:rFonts w:ascii="Calibri" w:hAnsi="Calibri" w:eastAsia="宋体" w:cs="Times New Roman"/>
      <w:sz w:val="21"/>
      <w:szCs w:val="21"/>
      <w:lang w:val="en-US" w:eastAsia="zh-CN" w:bidi="ar-SA"/>
    </w:rPr>
  </w:style>
  <w:style w:type="paragraph" w:styleId="9">
    <w:name w:val="heading 8"/>
    <w:next w:val="1"/>
    <w:qFormat/>
    <w:uiPriority w:val="14"/>
    <w:pPr>
      <w:ind w:left="2000" w:hanging="400"/>
      <w:jc w:val="both"/>
      <w:outlineLvl w:val="7"/>
    </w:pPr>
    <w:rPr>
      <w:rFonts w:ascii="Calibri" w:hAnsi="Calibri" w:eastAsia="宋体" w:cs="Times New Roman"/>
      <w:sz w:val="21"/>
      <w:szCs w:val="21"/>
      <w:lang w:val="en-US" w:eastAsia="zh-CN" w:bidi="ar-SA"/>
    </w:rPr>
  </w:style>
  <w:style w:type="paragraph" w:styleId="10">
    <w:name w:val="heading 9"/>
    <w:next w:val="1"/>
    <w:qFormat/>
    <w:uiPriority w:val="15"/>
    <w:pPr>
      <w:ind w:left="2200" w:hanging="400"/>
      <w:jc w:val="both"/>
      <w:outlineLvl w:val="8"/>
    </w:pPr>
    <w:rPr>
      <w:rFonts w:ascii="Calibri" w:hAnsi="Calibri" w:eastAsia="宋体" w:cs="Times New Roman"/>
      <w:sz w:val="21"/>
      <w:szCs w:val="21"/>
      <w:lang w:val="en-US" w:eastAsia="zh-CN" w:bidi="ar-SA"/>
    </w:rPr>
  </w:style>
  <w:style w:type="character" w:default="1" w:styleId="24">
    <w:name w:val="Default Paragraph Font"/>
    <w:unhideWhenUsed/>
    <w:uiPriority w:val="1"/>
  </w:style>
  <w:style w:type="table" w:default="1" w:styleId="27">
    <w:name w:val="Normal Table"/>
    <w:unhideWhenUsed/>
    <w:qFormat/>
    <w:uiPriority w:val="99"/>
    <w:tblPr>
      <w:tblLayout w:type="fixed"/>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Calibri" w:hAnsi="Calibri" w:eastAsia="宋体" w:cs="Times New Roman"/>
      <w:sz w:val="21"/>
      <w:szCs w:val="21"/>
      <w:lang w:val="en-US" w:eastAsia="zh-CN" w:bidi="ar-SA"/>
    </w:rPr>
  </w:style>
  <w:style w:type="paragraph" w:styleId="12">
    <w:name w:val="toc 5"/>
    <w:next w:val="1"/>
    <w:unhideWhenUsed/>
    <w:qFormat/>
    <w:uiPriority w:val="32"/>
    <w:pPr>
      <w:ind w:left="1700"/>
      <w:jc w:val="both"/>
    </w:pPr>
    <w:rPr>
      <w:rFonts w:ascii="Calibri" w:hAnsi="Calibri" w:eastAsia="宋体" w:cs="Times New Roman"/>
      <w:sz w:val="21"/>
      <w:szCs w:val="21"/>
      <w:lang w:val="en-US" w:eastAsia="zh-CN" w:bidi="ar-SA"/>
    </w:rPr>
  </w:style>
  <w:style w:type="paragraph" w:styleId="13">
    <w:name w:val="toc 3"/>
    <w:next w:val="1"/>
    <w:unhideWhenUsed/>
    <w:qFormat/>
    <w:uiPriority w:val="30"/>
    <w:pPr>
      <w:ind w:left="850"/>
      <w:jc w:val="both"/>
    </w:pPr>
    <w:rPr>
      <w:rFonts w:ascii="Calibri" w:hAnsi="Calibri" w:eastAsia="宋体" w:cs="Times New Roman"/>
      <w:sz w:val="21"/>
      <w:szCs w:val="21"/>
      <w:lang w:val="en-US" w:eastAsia="zh-CN" w:bidi="ar-SA"/>
    </w:rPr>
  </w:style>
  <w:style w:type="paragraph" w:styleId="14">
    <w:name w:val="toc 8"/>
    <w:next w:val="1"/>
    <w:unhideWhenUsed/>
    <w:qFormat/>
    <w:uiPriority w:val="35"/>
    <w:pPr>
      <w:ind w:left="2975"/>
      <w:jc w:val="both"/>
    </w:pPr>
    <w:rPr>
      <w:rFonts w:ascii="Calibri" w:hAnsi="Calibri" w:eastAsia="宋体" w:cs="Times New Roman"/>
      <w:sz w:val="21"/>
      <w:szCs w:val="21"/>
      <w:lang w:val="en-US" w:eastAsia="zh-CN" w:bidi="ar-SA"/>
    </w:rPr>
  </w:style>
  <w:style w:type="paragraph" w:styleId="15">
    <w:name w:val="footer"/>
    <w:basedOn w:val="1"/>
    <w:link w:val="40"/>
    <w:unhideWhenUsed/>
    <w:qFormat/>
    <w:uiPriority w:val="0"/>
    <w:pPr>
      <w:tabs>
        <w:tab w:val="center" w:pos="4153"/>
        <w:tab w:val="right" w:pos="8306"/>
      </w:tabs>
    </w:pPr>
    <w:rPr>
      <w:sz w:val="18"/>
      <w:szCs w:val="18"/>
    </w:rPr>
  </w:style>
  <w:style w:type="paragraph" w:styleId="16">
    <w:name w:val="header"/>
    <w:basedOn w:val="1"/>
    <w:link w:val="39"/>
    <w:unhideWhenUsed/>
    <w:uiPriority w:val="0"/>
    <w:pPr>
      <w:tabs>
        <w:tab w:val="center" w:pos="4153"/>
        <w:tab w:val="right" w:pos="8306"/>
      </w:tabs>
      <w:jc w:val="center"/>
    </w:pPr>
    <w:rPr>
      <w:sz w:val="18"/>
      <w:szCs w:val="18"/>
    </w:rPr>
  </w:style>
  <w:style w:type="paragraph" w:styleId="17">
    <w:name w:val="toc 1"/>
    <w:next w:val="1"/>
    <w:unhideWhenUsed/>
    <w:qFormat/>
    <w:uiPriority w:val="28"/>
    <w:pPr>
      <w:jc w:val="both"/>
    </w:pPr>
    <w:rPr>
      <w:rFonts w:ascii="Calibri" w:hAnsi="Calibri" w:eastAsia="宋体" w:cs="Times New Roman"/>
      <w:sz w:val="21"/>
      <w:szCs w:val="21"/>
      <w:lang w:val="en-US" w:eastAsia="zh-CN" w:bidi="ar-SA"/>
    </w:rPr>
  </w:style>
  <w:style w:type="paragraph" w:styleId="18">
    <w:name w:val="toc 4"/>
    <w:next w:val="1"/>
    <w:unhideWhenUsed/>
    <w:qFormat/>
    <w:uiPriority w:val="31"/>
    <w:pPr>
      <w:ind w:left="1275"/>
      <w:jc w:val="both"/>
    </w:pPr>
    <w:rPr>
      <w:rFonts w:ascii="Calibri" w:hAnsi="Calibri" w:eastAsia="宋体" w:cs="Times New Roman"/>
      <w:sz w:val="21"/>
      <w:szCs w:val="21"/>
      <w:lang w:val="en-US" w:eastAsia="zh-CN" w:bidi="ar-SA"/>
    </w:rPr>
  </w:style>
  <w:style w:type="paragraph" w:styleId="19">
    <w:name w:val="Subtitle"/>
    <w:qFormat/>
    <w:uiPriority w:val="16"/>
    <w:pPr>
      <w:jc w:val="center"/>
    </w:pPr>
    <w:rPr>
      <w:rFonts w:ascii="Calibri" w:hAnsi="Calibri" w:eastAsia="宋体" w:cs="Times New Roman"/>
      <w:sz w:val="24"/>
      <w:szCs w:val="24"/>
      <w:lang w:val="en-US" w:eastAsia="zh-CN" w:bidi="ar-SA"/>
    </w:rPr>
  </w:style>
  <w:style w:type="paragraph" w:styleId="20">
    <w:name w:val="toc 6"/>
    <w:next w:val="1"/>
    <w:unhideWhenUsed/>
    <w:qFormat/>
    <w:uiPriority w:val="33"/>
    <w:pPr>
      <w:ind w:left="2125"/>
      <w:jc w:val="both"/>
    </w:pPr>
    <w:rPr>
      <w:rFonts w:ascii="Calibri" w:hAnsi="Calibri" w:eastAsia="宋体" w:cs="Times New Roman"/>
      <w:sz w:val="21"/>
      <w:szCs w:val="21"/>
      <w:lang w:val="en-US" w:eastAsia="zh-CN" w:bidi="ar-SA"/>
    </w:rPr>
  </w:style>
  <w:style w:type="paragraph" w:styleId="21">
    <w:name w:val="toc 2"/>
    <w:next w:val="1"/>
    <w:unhideWhenUsed/>
    <w:qFormat/>
    <w:uiPriority w:val="29"/>
    <w:pPr>
      <w:ind w:left="425"/>
      <w:jc w:val="both"/>
    </w:pPr>
    <w:rPr>
      <w:rFonts w:ascii="Calibri" w:hAnsi="Calibri" w:eastAsia="宋体" w:cs="Times New Roman"/>
      <w:sz w:val="21"/>
      <w:szCs w:val="21"/>
      <w:lang w:val="en-US" w:eastAsia="zh-CN" w:bidi="ar-SA"/>
    </w:rPr>
  </w:style>
  <w:style w:type="paragraph" w:styleId="22">
    <w:name w:val="toc 9"/>
    <w:next w:val="1"/>
    <w:unhideWhenUsed/>
    <w:qFormat/>
    <w:uiPriority w:val="36"/>
    <w:pPr>
      <w:ind w:left="3400"/>
      <w:jc w:val="both"/>
    </w:pPr>
    <w:rPr>
      <w:rFonts w:ascii="Calibri" w:hAnsi="Calibri" w:eastAsia="宋体" w:cs="Times New Roman"/>
      <w:sz w:val="21"/>
      <w:szCs w:val="21"/>
      <w:lang w:val="en-US" w:eastAsia="zh-CN" w:bidi="ar-SA"/>
    </w:rPr>
  </w:style>
  <w:style w:type="paragraph" w:styleId="23">
    <w:name w:val="Title"/>
    <w:qFormat/>
    <w:uiPriority w:val="6"/>
    <w:pPr>
      <w:jc w:val="center"/>
    </w:pPr>
    <w:rPr>
      <w:rFonts w:ascii="Calibri" w:hAnsi="Calibri" w:eastAsia="宋体" w:cs="Times New Roman"/>
      <w:b/>
      <w:sz w:val="32"/>
      <w:szCs w:val="32"/>
      <w:lang w:val="en-US" w:eastAsia="zh-CN" w:bidi="ar-SA"/>
    </w:rPr>
  </w:style>
  <w:style w:type="character" w:styleId="25">
    <w:name w:val="Strong"/>
    <w:qFormat/>
    <w:uiPriority w:val="20"/>
    <w:rPr>
      <w:b/>
      <w:w w:val="100"/>
      <w:sz w:val="21"/>
      <w:szCs w:val="21"/>
      <w:shd w:val="clear" w:color="auto" w:fill="auto"/>
    </w:rPr>
  </w:style>
  <w:style w:type="character" w:styleId="26">
    <w:name w:val="Emphasis"/>
    <w:qFormat/>
    <w:uiPriority w:val="18"/>
    <w:rPr>
      <w:i/>
      <w:w w:val="100"/>
      <w:sz w:val="21"/>
      <w:szCs w:val="21"/>
      <w:shd w:val="clear" w:color="auto" w:fill="auto"/>
    </w:rPr>
  </w:style>
  <w:style w:type="table" w:styleId="28">
    <w:name w:val="Table Grid"/>
    <w:basedOn w:val="27"/>
    <w:qFormat/>
    <w:uiPriority w:val="38"/>
    <w:pPr>
      <w:jc w:val="both"/>
    </w:pPr>
    <w:rPr>
      <w:rFonts w:ascii="宋体" w:hAnsi="宋体"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9">
    <w:name w:val="No Spacing"/>
    <w:qFormat/>
    <w:uiPriority w:val="5"/>
    <w:pPr>
      <w:jc w:val="both"/>
    </w:pPr>
    <w:rPr>
      <w:rFonts w:ascii="Calibri" w:hAnsi="Calibri" w:eastAsia="宋体" w:cs="Times New Roman"/>
      <w:sz w:val="21"/>
      <w:szCs w:val="21"/>
      <w:lang w:val="en-US" w:eastAsia="zh-CN" w:bidi="ar-SA"/>
    </w:rPr>
  </w:style>
  <w:style w:type="character" w:customStyle="1" w:styleId="30">
    <w:name w:val="不明显强调1"/>
    <w:qFormat/>
    <w:uiPriority w:val="17"/>
    <w:rPr>
      <w:i/>
      <w:color w:val="404040"/>
      <w:w w:val="100"/>
      <w:sz w:val="21"/>
      <w:szCs w:val="21"/>
      <w:shd w:val="clear" w:color="auto" w:fill="auto"/>
    </w:rPr>
  </w:style>
  <w:style w:type="character" w:customStyle="1" w:styleId="31">
    <w:name w:val="明显强调1"/>
    <w:qFormat/>
    <w:uiPriority w:val="19"/>
    <w:rPr>
      <w:i/>
      <w:color w:val="5B9BD5"/>
      <w:w w:val="100"/>
      <w:sz w:val="21"/>
      <w:szCs w:val="21"/>
      <w:shd w:val="clear" w:color="auto" w:fill="auto"/>
    </w:rPr>
  </w:style>
  <w:style w:type="paragraph" w:customStyle="1" w:styleId="32">
    <w:name w:val="Quote"/>
    <w:qFormat/>
    <w:uiPriority w:val="21"/>
    <w:pPr>
      <w:ind w:left="864" w:right="864"/>
      <w:jc w:val="center"/>
    </w:pPr>
    <w:rPr>
      <w:rFonts w:ascii="Calibri" w:hAnsi="Calibri" w:eastAsia="宋体" w:cs="Times New Roman"/>
      <w:i/>
      <w:color w:val="404040"/>
      <w:sz w:val="21"/>
      <w:szCs w:val="21"/>
      <w:lang w:val="en-US" w:eastAsia="zh-CN" w:bidi="ar-SA"/>
    </w:rPr>
  </w:style>
  <w:style w:type="paragraph" w:customStyle="1" w:styleId="33">
    <w:name w:val="Intense Quote"/>
    <w:qFormat/>
    <w:uiPriority w:val="22"/>
    <w:pPr>
      <w:ind w:left="950" w:right="950"/>
      <w:jc w:val="center"/>
    </w:pPr>
    <w:rPr>
      <w:rFonts w:ascii="Calibri" w:hAnsi="Calibri" w:eastAsia="宋体" w:cs="Times New Roman"/>
      <w:i/>
      <w:color w:val="5B9BD5"/>
      <w:sz w:val="21"/>
      <w:szCs w:val="21"/>
      <w:lang w:val="en-US" w:eastAsia="zh-CN" w:bidi="ar-SA"/>
    </w:rPr>
  </w:style>
  <w:style w:type="character" w:customStyle="1" w:styleId="34">
    <w:name w:val="不明显参考1"/>
    <w:qFormat/>
    <w:uiPriority w:val="23"/>
    <w:rPr>
      <w:smallCaps/>
      <w:color w:val="5A5A5A"/>
      <w:w w:val="100"/>
      <w:sz w:val="21"/>
      <w:szCs w:val="21"/>
      <w:shd w:val="clear" w:color="auto" w:fill="auto"/>
    </w:rPr>
  </w:style>
  <w:style w:type="character" w:customStyle="1" w:styleId="35">
    <w:name w:val="明显参考1"/>
    <w:qFormat/>
    <w:uiPriority w:val="24"/>
    <w:rPr>
      <w:b/>
      <w:smallCaps/>
      <w:color w:val="5B9BD5"/>
      <w:w w:val="100"/>
      <w:sz w:val="21"/>
      <w:szCs w:val="21"/>
      <w:shd w:val="clear" w:color="auto" w:fill="auto"/>
    </w:rPr>
  </w:style>
  <w:style w:type="character" w:customStyle="1" w:styleId="36">
    <w:name w:val="书籍标题1"/>
    <w:qFormat/>
    <w:uiPriority w:val="25"/>
    <w:rPr>
      <w:b/>
      <w:i/>
      <w:w w:val="100"/>
      <w:sz w:val="21"/>
      <w:szCs w:val="21"/>
      <w:shd w:val="clear" w:color="auto" w:fill="auto"/>
    </w:rPr>
  </w:style>
  <w:style w:type="paragraph" w:customStyle="1" w:styleId="37">
    <w:name w:val="List Paragraph"/>
    <w:basedOn w:val="1"/>
    <w:qFormat/>
    <w:uiPriority w:val="26"/>
    <w:pPr>
      <w:ind w:firstLine="420"/>
    </w:pPr>
  </w:style>
  <w:style w:type="paragraph" w:customStyle="1" w:styleId="38">
    <w:name w:val="TOC 标题1"/>
    <w:unhideWhenUsed/>
    <w:qFormat/>
    <w:uiPriority w:val="27"/>
    <w:rPr>
      <w:rFonts w:ascii="Calibri" w:hAnsi="Calibri" w:eastAsia="宋体" w:cs="Times New Roman"/>
      <w:color w:val="2E74B5"/>
      <w:sz w:val="32"/>
      <w:szCs w:val="32"/>
      <w:lang w:val="en-US" w:eastAsia="zh-CN" w:bidi="ar-SA"/>
    </w:rPr>
  </w:style>
  <w:style w:type="character" w:customStyle="1" w:styleId="39">
    <w:name w:val="页眉 Char"/>
    <w:basedOn w:val="24"/>
    <w:link w:val="16"/>
    <w:semiHidden/>
    <w:uiPriority w:val="0"/>
    <w:rPr>
      <w:rFonts w:ascii="Tahoma" w:hAnsi="Tahoma" w:eastAsia="微软雅黑"/>
      <w:w w:val="100"/>
      <w:sz w:val="18"/>
      <w:szCs w:val="18"/>
      <w:shd w:val="clear" w:color="auto" w:fill="auto"/>
    </w:rPr>
  </w:style>
  <w:style w:type="character" w:customStyle="1" w:styleId="40">
    <w:name w:val="页脚 Char"/>
    <w:basedOn w:val="24"/>
    <w:link w:val="15"/>
    <w:semiHidden/>
    <w:uiPriority w:val="0"/>
    <w:rPr>
      <w:rFonts w:ascii="Tahoma" w:hAnsi="Tahoma" w:eastAsia="微软雅黑"/>
      <w:w w:val="100"/>
      <w:sz w:val="18"/>
      <w:szCs w:val="18"/>
      <w:shd w:val="clear" w:color="auto" w:fill="auto"/>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Pages>
  <Words>1191</Words>
  <Characters>6792</Characters>
  <Lines>56</Lines>
  <Paragraphs>15</Paragraphs>
  <TotalTime>0</TotalTime>
  <ScaleCrop>false</ScaleCrop>
  <LinksUpToDate>false</LinksUpToDate>
  <CharactersWithSpaces>7968</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2018-09-28T10:09:00Z</dcterms:created>
  <dc:creator>丰华网络</dc:creator>
  <cp:lastModifiedBy>Administrator</cp:lastModifiedBy>
  <dcterms:modified xsi:type="dcterms:W3CDTF">2018-11-10T04:42:51Z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