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jc w:val="center"/>
        <w:rPr>
          <w:rFonts w:ascii="黑体" w:hAnsi="黑体" w:eastAsia="黑体" w:cs="黑体"/>
          <w:sz w:val="40"/>
          <w:szCs w:val="40"/>
        </w:rPr>
      </w:pPr>
      <w:r>
        <w:rPr>
          <w:rFonts w:hint="eastAsia" w:ascii="黑体" w:hAnsi="黑体" w:eastAsia="黑体" w:cs="黑体"/>
          <w:sz w:val="40"/>
          <w:szCs w:val="40"/>
        </w:rPr>
        <w:t>2017年度玛纳斯县玛纳斯镇卫生院</w:t>
      </w:r>
    </w:p>
    <w:p>
      <w:pPr>
        <w:spacing w:after="0" w:line="520" w:lineRule="exact"/>
        <w:ind w:firstLine="800" w:firstLineChars="200"/>
        <w:jc w:val="center"/>
        <w:rPr>
          <w:rFonts w:ascii="黑体" w:hAnsi="黑体" w:eastAsia="黑体" w:cs="黑体"/>
          <w:sz w:val="40"/>
          <w:szCs w:val="40"/>
        </w:rPr>
      </w:pPr>
      <w:r>
        <w:rPr>
          <w:rFonts w:hint="eastAsia" w:ascii="黑体" w:hAnsi="黑体" w:eastAsia="黑体" w:cs="黑体"/>
          <w:sz w:val="40"/>
          <w:szCs w:val="40"/>
        </w:rPr>
        <w:t>部门决算公开说明</w:t>
      </w:r>
    </w:p>
    <w:p>
      <w:pPr>
        <w:spacing w:after="0" w:line="480" w:lineRule="exact"/>
        <w:ind w:firstLine="600" w:firstLineChars="200"/>
        <w:rPr>
          <w:rFonts w:ascii="仿宋" w:hAnsi="仿宋" w:eastAsia="仿宋" w:cs="仿宋"/>
          <w:sz w:val="30"/>
          <w:szCs w:val="30"/>
        </w:rPr>
      </w:pPr>
    </w:p>
    <w:p>
      <w:pPr>
        <w:spacing w:beforeLines="200" w:after="0" w:line="480" w:lineRule="exact"/>
        <w:jc w:val="center"/>
        <w:rPr>
          <w:rFonts w:ascii="黑体" w:hAnsi="黑体" w:eastAsia="黑体" w:cs="仿宋"/>
          <w:b/>
          <w:sz w:val="36"/>
          <w:szCs w:val="36"/>
        </w:rPr>
      </w:pPr>
      <w:r>
        <w:rPr>
          <w:rFonts w:hint="eastAsia" w:ascii="黑体" w:hAnsi="黑体" w:eastAsia="黑体" w:cs="仿宋"/>
          <w:b/>
          <w:sz w:val="36"/>
          <w:szCs w:val="36"/>
        </w:rPr>
        <w:t>目  录</w:t>
      </w:r>
    </w:p>
    <w:p>
      <w:pPr>
        <w:spacing w:after="0" w:line="480" w:lineRule="exact"/>
        <w:ind w:firstLine="600" w:firstLineChars="200"/>
        <w:rPr>
          <w:rFonts w:ascii="仿宋" w:hAnsi="仿宋" w:eastAsia="仿宋" w:cs="仿宋"/>
          <w:sz w:val="30"/>
          <w:szCs w:val="30"/>
        </w:rPr>
      </w:pP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第一部分  玛纳斯县玛纳斯镇卫生院概况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一、主要职能、机构设置及人员情况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二、部门决算单位构成 </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第二部分  部门决算情况说明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一、部门收支总体情况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（一）部门收入支出决算总体情况说明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（二）部门收入总体情况说明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（三）部门支出总体情况说明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二、部门财政拨款收支情况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（一）财政拨款收支总体情况说明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（二）一般公共预算支出决算情况说明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（三）政府性基金预算收支决算情况说明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（四）政府性基金预算支出决算情况说明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三、部门结转结余情况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四、一般公共预算“三公”经费支出情况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五、机关运行经费支出情况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六、政府采购情况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七、其他重要事项的情况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（一）国有资产占用情况说明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（二）国有资产收益征缴情况说明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（三）部门项目支出情况和项目绩效评价情况说明 </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第三部分  专业名词解释 </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第四部分  部门决算报表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一、报表封面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二、部门收支总体情况（11张）：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《收入支出决算总表》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《收入决算表》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《行政事业类项目收入支出决算表》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《基本建设类项目收入支出决算表》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《财政专户管理资金收入支出决算表》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三、财政拨款收支情况（9张）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《财政拨款收入支出决算总表》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《一般公共预算财政拨款项目支出决算明细表》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《政府性基金预算财政拨款项目支出决算明细表》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四、单位资产负责情况（1张）：《资产负债简表》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五、部门决算附表（5张）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《资产情况表》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《国有资产收益征缴情况表》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《基本数字表》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《机构人员情况表》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《非税收入征缴情况表》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六、填报说明附表（2张）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《部门决算相关信息统计表》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《政府采购情况表》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七、“三公”经费支出情况(1张)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《2017年度一般公共预算“三公”经费支出情况表》 </w:t>
      </w:r>
    </w:p>
    <w:p>
      <w:pPr>
        <w:adjustRightInd/>
        <w:snapToGrid/>
        <w:spacing w:after="0" w:line="480" w:lineRule="exact"/>
        <w:ind w:firstLine="640" w:firstLineChars="200"/>
        <w:rPr>
          <w:rFonts w:ascii="仿宋" w:hAnsi="仿宋" w:eastAsia="仿宋" w:cs="仿宋"/>
          <w:sz w:val="32"/>
          <w:szCs w:val="32"/>
        </w:rPr>
      </w:pPr>
      <w:r>
        <w:rPr>
          <w:rFonts w:ascii="仿宋" w:hAnsi="仿宋" w:eastAsia="仿宋" w:cs="仿宋"/>
          <w:sz w:val="32"/>
          <w:szCs w:val="32"/>
        </w:rPr>
        <w:br w:type="page"/>
      </w:r>
    </w:p>
    <w:p>
      <w:pPr>
        <w:spacing w:after="0" w:line="480" w:lineRule="exact"/>
        <w:ind w:firstLine="643" w:firstLineChars="200"/>
        <w:jc w:val="center"/>
        <w:rPr>
          <w:rFonts w:ascii="黑体" w:hAnsi="黑体" w:eastAsia="黑体" w:cs="黑体"/>
          <w:b/>
          <w:bCs/>
          <w:sz w:val="32"/>
          <w:szCs w:val="32"/>
        </w:rPr>
      </w:pPr>
    </w:p>
    <w:p>
      <w:pPr>
        <w:spacing w:beforeLines="200" w:after="0" w:line="480" w:lineRule="exact"/>
        <w:jc w:val="center"/>
        <w:rPr>
          <w:rFonts w:ascii="黑体" w:hAnsi="黑体" w:eastAsia="黑体" w:cs="黑体"/>
          <w:b/>
          <w:bCs/>
          <w:sz w:val="36"/>
          <w:szCs w:val="36"/>
        </w:rPr>
      </w:pPr>
      <w:r>
        <w:rPr>
          <w:rFonts w:hint="eastAsia" w:ascii="黑体" w:hAnsi="黑体" w:eastAsia="黑体" w:cs="黑体"/>
          <w:b/>
          <w:bCs/>
          <w:sz w:val="36"/>
          <w:szCs w:val="36"/>
        </w:rPr>
        <w:t>第一部分 玛纳斯县玛纳斯镇卫生院概况</w:t>
      </w:r>
    </w:p>
    <w:p>
      <w:pPr>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一、主要职能、机构设置及人员情况</w:t>
      </w:r>
    </w:p>
    <w:p>
      <w:pPr>
        <w:spacing w:after="0" w:line="480" w:lineRule="exact"/>
        <w:ind w:firstLine="643" w:firstLineChars="200"/>
        <w:rPr>
          <w:rFonts w:ascii="仿宋" w:hAnsi="仿宋" w:eastAsia="仿宋" w:cs="仿宋"/>
          <w:color w:val="000000"/>
          <w:sz w:val="32"/>
          <w:szCs w:val="32"/>
        </w:rPr>
      </w:pPr>
      <w:r>
        <w:rPr>
          <w:rFonts w:hint="eastAsia" w:ascii="仿宋" w:hAnsi="仿宋" w:eastAsia="仿宋" w:cs="仿宋"/>
          <w:b/>
          <w:sz w:val="32"/>
          <w:szCs w:val="32"/>
        </w:rPr>
        <w:t>（一）主要职能：</w:t>
      </w:r>
      <w:r>
        <w:rPr>
          <w:rFonts w:hint="eastAsia" w:ascii="仿宋" w:hAnsi="仿宋" w:eastAsia="仿宋" w:cs="仿宋"/>
          <w:color w:val="000000"/>
          <w:sz w:val="32"/>
          <w:szCs w:val="32"/>
        </w:rPr>
        <w:t>为人民身体健康提供医疗与预防保健服务。常见多发病的诊治护理、康复治疗与护理预防保健，初级卫生保健及合作医疗的组织管理、卫生监督与信息管理，卫生技术人员培训。</w:t>
      </w:r>
    </w:p>
    <w:p>
      <w:pPr>
        <w:spacing w:after="0" w:line="480" w:lineRule="exact"/>
        <w:ind w:firstLine="643" w:firstLineChars="200"/>
        <w:rPr>
          <w:rFonts w:ascii="仿宋" w:hAnsi="仿宋" w:eastAsia="仿宋" w:cs="仿宋"/>
          <w:color w:val="000000"/>
          <w:sz w:val="32"/>
          <w:szCs w:val="32"/>
        </w:rPr>
      </w:pPr>
      <w:r>
        <w:rPr>
          <w:rFonts w:hint="eastAsia" w:ascii="仿宋" w:hAnsi="仿宋" w:eastAsia="仿宋" w:cs="仿宋"/>
          <w:b/>
          <w:color w:val="000000"/>
          <w:sz w:val="32"/>
          <w:szCs w:val="32"/>
        </w:rPr>
        <w:t>（二）</w:t>
      </w:r>
      <w:r>
        <w:rPr>
          <w:rFonts w:hint="eastAsia" w:ascii="仿宋" w:hAnsi="仿宋" w:eastAsia="仿宋" w:cs="仿宋"/>
          <w:b/>
          <w:sz w:val="32"/>
          <w:szCs w:val="32"/>
        </w:rPr>
        <w:t>机构设置情况：</w:t>
      </w:r>
      <w:r>
        <w:rPr>
          <w:rFonts w:hint="eastAsia" w:ascii="仿宋" w:hAnsi="仿宋" w:eastAsia="仿宋" w:cs="仿宋"/>
          <w:color w:val="000000"/>
          <w:sz w:val="32"/>
          <w:szCs w:val="32"/>
        </w:rPr>
        <w:t>卫生院内设科室有儿科、中医科、妇科、预防保健科、外科、X光诊断、B超室、心电图、检验室、药房，都能开展公共卫生服务项目及新农合及相关工作，严格执行国家基本药物政策。</w:t>
      </w:r>
    </w:p>
    <w:p>
      <w:pPr>
        <w:spacing w:after="0" w:line="480" w:lineRule="exact"/>
        <w:ind w:firstLine="643" w:firstLineChars="200"/>
        <w:rPr>
          <w:rFonts w:ascii="仿宋" w:hAnsi="仿宋" w:eastAsia="仿宋" w:cs="仿宋"/>
          <w:sz w:val="32"/>
          <w:szCs w:val="32"/>
        </w:rPr>
      </w:pPr>
      <w:r>
        <w:rPr>
          <w:rFonts w:hint="eastAsia" w:ascii="仿宋" w:hAnsi="仿宋" w:eastAsia="仿宋" w:cs="仿宋"/>
          <w:b/>
          <w:sz w:val="32"/>
          <w:szCs w:val="32"/>
        </w:rPr>
        <w:t>（三）人员编制情况：</w:t>
      </w:r>
      <w:r>
        <w:rPr>
          <w:rFonts w:hint="eastAsia" w:ascii="仿宋" w:hAnsi="仿宋" w:eastAsia="仿宋" w:cs="仿宋"/>
          <w:sz w:val="32"/>
          <w:szCs w:val="32"/>
        </w:rPr>
        <w:t>本单位以属于一级预算单位，财政全额拨款，公益一类事业单位。编制数27人，实有人数25人。</w:t>
      </w:r>
    </w:p>
    <w:p>
      <w:pPr>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二、部门决算单位构成：</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6"/>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45"/>
        <w:gridCol w:w="4678"/>
        <w:gridCol w:w="275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145" w:type="dxa"/>
            <w:vAlign w:val="center"/>
          </w:tcPr>
          <w:p>
            <w:pPr>
              <w:widowControl w:val="0"/>
              <w:spacing w:after="0" w:line="480" w:lineRule="exact"/>
              <w:jc w:val="center"/>
              <w:rPr>
                <w:rFonts w:ascii="仿宋" w:hAnsi="仿宋" w:eastAsia="仿宋" w:cs="仿宋"/>
                <w:sz w:val="32"/>
                <w:szCs w:val="32"/>
              </w:rPr>
            </w:pPr>
            <w:r>
              <w:rPr>
                <w:rFonts w:hint="eastAsia" w:ascii="仿宋" w:hAnsi="仿宋" w:eastAsia="仿宋" w:cs="仿宋"/>
                <w:sz w:val="32"/>
                <w:szCs w:val="32"/>
              </w:rPr>
              <w:t>序号</w:t>
            </w:r>
          </w:p>
        </w:tc>
        <w:tc>
          <w:tcPr>
            <w:tcW w:w="4678" w:type="dxa"/>
            <w:vAlign w:val="center"/>
          </w:tcPr>
          <w:p>
            <w:pPr>
              <w:widowControl w:val="0"/>
              <w:spacing w:after="0" w:line="480" w:lineRule="exact"/>
              <w:jc w:val="center"/>
              <w:rPr>
                <w:rFonts w:ascii="仿宋" w:hAnsi="仿宋" w:eastAsia="仿宋" w:cs="仿宋"/>
                <w:sz w:val="32"/>
                <w:szCs w:val="32"/>
              </w:rPr>
            </w:pPr>
            <w:r>
              <w:rPr>
                <w:rFonts w:hint="eastAsia" w:ascii="仿宋" w:hAnsi="仿宋" w:eastAsia="仿宋" w:cs="仿宋"/>
                <w:sz w:val="32"/>
                <w:szCs w:val="32"/>
              </w:rPr>
              <w:t>单位名称</w:t>
            </w:r>
          </w:p>
        </w:tc>
        <w:tc>
          <w:tcPr>
            <w:tcW w:w="2759" w:type="dxa"/>
            <w:vAlign w:val="center"/>
          </w:tcPr>
          <w:p>
            <w:pPr>
              <w:widowControl w:val="0"/>
              <w:spacing w:after="0" w:line="480" w:lineRule="exact"/>
              <w:jc w:val="center"/>
              <w:rPr>
                <w:rFonts w:ascii="仿宋" w:hAnsi="仿宋" w:eastAsia="仿宋" w:cs="仿宋"/>
                <w:sz w:val="32"/>
                <w:szCs w:val="32"/>
              </w:rPr>
            </w:pPr>
            <w:r>
              <w:rPr>
                <w:rFonts w:hint="eastAsia" w:ascii="仿宋" w:hAnsi="仿宋" w:eastAsia="仿宋" w:cs="仿宋"/>
                <w:sz w:val="32"/>
                <w:szCs w:val="32"/>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9" w:hRule="atLeast"/>
          <w:jc w:val="center"/>
        </w:trPr>
        <w:tc>
          <w:tcPr>
            <w:tcW w:w="1145" w:type="dxa"/>
            <w:vAlign w:val="center"/>
          </w:tcPr>
          <w:p>
            <w:pPr>
              <w:widowControl w:val="0"/>
              <w:spacing w:after="0" w:line="480" w:lineRule="exact"/>
              <w:jc w:val="center"/>
              <w:rPr>
                <w:rFonts w:ascii="仿宋" w:hAnsi="仿宋" w:eastAsia="仿宋" w:cs="仿宋"/>
                <w:sz w:val="32"/>
                <w:szCs w:val="32"/>
              </w:rPr>
            </w:pPr>
            <w:r>
              <w:rPr>
                <w:rFonts w:hint="eastAsia" w:ascii="仿宋" w:hAnsi="仿宋" w:eastAsia="仿宋" w:cs="仿宋"/>
                <w:sz w:val="32"/>
                <w:szCs w:val="32"/>
              </w:rPr>
              <w:t>1</w:t>
            </w:r>
          </w:p>
        </w:tc>
        <w:tc>
          <w:tcPr>
            <w:tcW w:w="4678" w:type="dxa"/>
            <w:vAlign w:val="center"/>
          </w:tcPr>
          <w:p>
            <w:pPr>
              <w:widowControl w:val="0"/>
              <w:spacing w:after="0" w:line="480" w:lineRule="exact"/>
              <w:jc w:val="center"/>
              <w:rPr>
                <w:rFonts w:ascii="仿宋" w:hAnsi="仿宋" w:eastAsia="仿宋" w:cs="仿宋"/>
                <w:sz w:val="32"/>
                <w:szCs w:val="32"/>
              </w:rPr>
            </w:pPr>
            <w:r>
              <w:rPr>
                <w:rFonts w:hint="eastAsia" w:ascii="仿宋" w:hAnsi="仿宋" w:eastAsia="仿宋" w:cs="仿宋"/>
                <w:sz w:val="32"/>
                <w:szCs w:val="32"/>
              </w:rPr>
              <w:t>玛纳斯县玛纳斯镇卫生院</w:t>
            </w:r>
          </w:p>
        </w:tc>
        <w:tc>
          <w:tcPr>
            <w:tcW w:w="2759" w:type="dxa"/>
            <w:vAlign w:val="center"/>
          </w:tcPr>
          <w:p>
            <w:pPr>
              <w:widowControl w:val="0"/>
              <w:spacing w:after="0" w:line="480" w:lineRule="exact"/>
              <w:jc w:val="center"/>
              <w:rPr>
                <w:rFonts w:ascii="仿宋" w:hAnsi="仿宋" w:eastAsia="仿宋" w:cs="仿宋"/>
                <w:sz w:val="32"/>
                <w:szCs w:val="3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145" w:type="dxa"/>
            <w:vAlign w:val="center"/>
          </w:tcPr>
          <w:p>
            <w:pPr>
              <w:widowControl w:val="0"/>
              <w:spacing w:after="0" w:line="480" w:lineRule="exact"/>
              <w:ind w:firstLine="640" w:firstLineChars="200"/>
              <w:jc w:val="center"/>
              <w:rPr>
                <w:rFonts w:ascii="仿宋" w:hAnsi="仿宋" w:eastAsia="仿宋" w:cs="仿宋"/>
                <w:sz w:val="32"/>
                <w:szCs w:val="32"/>
              </w:rPr>
            </w:pPr>
          </w:p>
        </w:tc>
        <w:tc>
          <w:tcPr>
            <w:tcW w:w="4678" w:type="dxa"/>
            <w:vAlign w:val="center"/>
          </w:tcPr>
          <w:p>
            <w:pPr>
              <w:widowControl w:val="0"/>
              <w:spacing w:after="0" w:line="480" w:lineRule="exact"/>
              <w:ind w:firstLine="640" w:firstLineChars="200"/>
              <w:jc w:val="center"/>
              <w:rPr>
                <w:rFonts w:ascii="仿宋" w:hAnsi="仿宋" w:eastAsia="仿宋" w:cs="仿宋"/>
                <w:sz w:val="32"/>
                <w:szCs w:val="32"/>
              </w:rPr>
            </w:pPr>
          </w:p>
        </w:tc>
        <w:tc>
          <w:tcPr>
            <w:tcW w:w="2759" w:type="dxa"/>
            <w:vAlign w:val="center"/>
          </w:tcPr>
          <w:p>
            <w:pPr>
              <w:widowControl w:val="0"/>
              <w:spacing w:after="0" w:line="480" w:lineRule="exact"/>
              <w:ind w:firstLine="640" w:firstLineChars="200"/>
              <w:jc w:val="center"/>
              <w:rPr>
                <w:rFonts w:ascii="仿宋" w:hAnsi="仿宋" w:eastAsia="仿宋" w:cs="仿宋"/>
                <w:sz w:val="32"/>
                <w:szCs w:val="32"/>
              </w:rPr>
            </w:pPr>
          </w:p>
        </w:tc>
      </w:tr>
    </w:tbl>
    <w:p>
      <w:pPr>
        <w:widowControl w:val="0"/>
        <w:spacing w:after="0" w:line="480" w:lineRule="exact"/>
        <w:ind w:firstLine="640" w:firstLineChars="200"/>
        <w:rPr>
          <w:rFonts w:ascii="仿宋" w:hAnsi="仿宋" w:eastAsia="仿宋" w:cs="仿宋"/>
          <w:sz w:val="32"/>
          <w:szCs w:val="32"/>
        </w:rPr>
      </w:pPr>
    </w:p>
    <w:p>
      <w:pPr>
        <w:spacing w:beforeLines="200" w:after="0" w:line="480" w:lineRule="exact"/>
        <w:jc w:val="center"/>
        <w:rPr>
          <w:rFonts w:ascii="黑体" w:hAnsi="黑体" w:eastAsia="黑体" w:cs="仿宋"/>
          <w:b/>
          <w:bCs/>
          <w:sz w:val="36"/>
          <w:szCs w:val="36"/>
        </w:rPr>
      </w:pPr>
      <w:r>
        <w:rPr>
          <w:rFonts w:hint="eastAsia" w:ascii="黑体" w:hAnsi="黑体" w:eastAsia="黑体" w:cs="仿宋"/>
          <w:b/>
          <w:bCs/>
          <w:sz w:val="36"/>
          <w:szCs w:val="36"/>
        </w:rPr>
        <w:t>第二部分 决算情况说明</w:t>
      </w:r>
    </w:p>
    <w:p>
      <w:pPr>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一、部门收支总体情况</w:t>
      </w:r>
      <w:r>
        <w:rPr>
          <w:rFonts w:hint="eastAsia" w:ascii="仿宋" w:hAnsi="仿宋" w:eastAsia="仿宋" w:cs="仿宋"/>
          <w:sz w:val="32"/>
          <w:szCs w:val="32"/>
        </w:rPr>
        <w:t xml:space="preserve"> </w:t>
      </w:r>
    </w:p>
    <w:p>
      <w:pPr>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（一）部门收入支出决算总体情况说明</w:t>
      </w:r>
      <w:r>
        <w:rPr>
          <w:rFonts w:hint="eastAsia" w:ascii="仿宋" w:hAnsi="仿宋" w:eastAsia="仿宋" w:cs="仿宋"/>
          <w:sz w:val="32"/>
          <w:szCs w:val="32"/>
        </w:rPr>
        <w:t xml:space="preserve">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571.24万元,与上年相比，增加141.66万元，增长32.98%，支出512.94万元,与上年相比，增加138.16万元，增长36.87%，结余58.3万元，与上年相比，增加3.5万元，增加6.39%。增减变化主要原因是：：人员工资增加，年内人员调资；全民体检上级补助增多，致使全年收入增多，因全民体检，经费支出增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预算收入274.77万元，2017年预算支出274.77万元。与预算相比收入增加296.47万元，与预算相比支出增加238.17万元。增减变化主要原因是：人员工资增加，年内人员调资；全民体检上级补助增多，致使全年收入增多，因全民体检，经费支出增加。 </w:t>
      </w:r>
    </w:p>
    <w:p>
      <w:pPr>
        <w:spacing w:after="0" w:line="48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（二）部门收入总体情况说明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本年收入合计571.24万元，其中：财政拨款收入293.16万元，占51.35%；上级补助收入234.27万元，占41%；事业收入43.55万元，占7.62%；其他收入0.2万元，占0.03%。增减变化的主要原因是：因全民体检上级补助增加，致使全年收入增加；以及年内人员调资等原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2017年预算收入274.77万元，与预算相比收入增加296.47万元，增减变化主要原因是：因全民体检上级补助增加，致使全年收入增加；以及年内人员调资等原因。  </w:t>
      </w:r>
    </w:p>
    <w:p>
      <w:pPr>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（三）部门支出总体情况说明</w:t>
      </w:r>
      <w:r>
        <w:rPr>
          <w:rFonts w:hint="eastAsia" w:ascii="仿宋" w:hAnsi="仿宋" w:eastAsia="仿宋" w:cs="仿宋"/>
          <w:sz w:val="32"/>
          <w:szCs w:val="32"/>
        </w:rPr>
        <w:t xml:space="preserve">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本年支出合计512.94万元，其中：基本支出512.94万元，占100%；项目支出0万元，占0%；上缴上级支出0万元，占0%；经营支出0万元，占0%；对附属单位补助支出0万元，占0%。增减变化的主要原因是：因全民体检，经费支出增加。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2017年预算支出274.77万元。与预算相比支出增加238.17万元。增减变化主要原因是：全民健康体检支出增加，人员工资调资等原因。  </w:t>
      </w:r>
    </w:p>
    <w:p>
      <w:pPr>
        <w:spacing w:after="0" w:line="48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二、部门财政拨款收支情况 </w:t>
      </w:r>
    </w:p>
    <w:p>
      <w:pPr>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（一）财政拨款收支总体情况说明</w:t>
      </w:r>
      <w:r>
        <w:rPr>
          <w:rFonts w:hint="eastAsia" w:ascii="仿宋" w:hAnsi="仿宋" w:eastAsia="仿宋" w:cs="仿宋"/>
          <w:sz w:val="32"/>
          <w:szCs w:val="32"/>
        </w:rPr>
        <w:t xml:space="preserve">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度财政拨款收入293.16万元，与上年相比，增加18.54万元，增加6.75%。增减变化的主要原因是：原事业单位退休人员津贴从2017年开始由社保发放。财政拨款支出293.16万元，与上年相比，增加18.54万元，增加6.75%。其中：基本支出293.16万元，项目支出0万元。增减变化的主要原因是：原事业单位退休人员津贴从2017年开始由社保发放。财政拨款结转结余0万元，与上年相比，增加0万元，增长0%。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2017年预算财政拨款收入264.3万元，与预算相比财政拨款收入增加28.86万元，增减变化主要原因是：年内人员调资等原因导致。</w:t>
      </w:r>
    </w:p>
    <w:p>
      <w:pPr>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 xml:space="preserve"> （二）一般公共预算支出决算情况说明</w:t>
      </w:r>
      <w:r>
        <w:rPr>
          <w:rFonts w:hint="eastAsia" w:ascii="仿宋" w:hAnsi="仿宋" w:eastAsia="仿宋" w:cs="仿宋"/>
          <w:sz w:val="32"/>
          <w:szCs w:val="32"/>
        </w:rPr>
        <w:t xml:space="preserve">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2017年度一般公共预算财政拨款支出293.16万元。与上年相比，增加18.54万元，增加6.75%。增减变化的主要原因是原事业单位退休人员津贴从2017年开始由社保发放。其中：</w:t>
      </w:r>
    </w:p>
    <w:p>
      <w:pPr>
        <w:spacing w:after="0"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按功能分类科目，社会保障和就业支出31万元，医疗卫生与计划生育支出262.16万元。</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按经济分类科目，工资福利支出</w:t>
      </w:r>
      <w:r>
        <w:rPr>
          <w:rFonts w:hint="eastAsia" w:ascii="仿宋" w:hAnsi="仿宋" w:eastAsia="仿宋" w:cs="仿宋"/>
          <w:sz w:val="32"/>
          <w:szCs w:val="32"/>
          <w:lang w:val="en-US" w:eastAsia="zh-CN"/>
        </w:rPr>
        <w:t>267.02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3.8万元；</w:t>
      </w:r>
      <w:r>
        <w:rPr>
          <w:rFonts w:hint="eastAsia" w:ascii="仿宋" w:hAnsi="仿宋" w:eastAsia="仿宋" w:cs="仿宋"/>
          <w:sz w:val="32"/>
          <w:szCs w:val="32"/>
        </w:rPr>
        <w:t>对个人和家庭的补助</w:t>
      </w:r>
      <w:r>
        <w:rPr>
          <w:rFonts w:hint="eastAsia" w:ascii="仿宋" w:hAnsi="仿宋" w:eastAsia="仿宋" w:cs="仿宋"/>
          <w:sz w:val="32"/>
          <w:szCs w:val="32"/>
          <w:lang w:val="en-US" w:eastAsia="zh-CN"/>
        </w:rPr>
        <w:t>22.34</w:t>
      </w:r>
      <w:r>
        <w:rPr>
          <w:rFonts w:hint="eastAsia" w:ascii="仿宋" w:hAnsi="仿宋" w:eastAsia="仿宋" w:cs="仿宋"/>
          <w:sz w:val="32"/>
          <w:szCs w:val="32"/>
        </w:rPr>
        <w:t xml:space="preserve">万元。 </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2017年预算一般公共预算财政拨款支出264.3万元，与预算相比增加28.86万元，增减变化的主要原因是：年内人员调资等原因导致。  </w:t>
      </w:r>
    </w:p>
    <w:p>
      <w:pPr>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（三）政府性基金预算收支决算情况说明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（四）政府性基金预算支出决算情况说明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无政府性基金预算支出，与上年持平。</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r>
        <w:rPr>
          <w:rFonts w:hint="eastAsia" w:ascii="黑体" w:hAnsi="黑体" w:eastAsia="黑体" w:cs="仿宋"/>
          <w:sz w:val="32"/>
          <w:szCs w:val="32"/>
        </w:rPr>
        <w:t>三、部门结转结余情况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年末结转结余0万元。与上年持平。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其中财政拨款结转结余0万元。 </w:t>
      </w:r>
    </w:p>
    <w:p>
      <w:pPr>
        <w:spacing w:after="0" w:line="480" w:lineRule="exact"/>
        <w:ind w:firstLine="640" w:firstLineChars="200"/>
        <w:rPr>
          <w:rFonts w:ascii="仿宋" w:hAnsi="仿宋" w:eastAsia="仿宋" w:cs="仿宋"/>
          <w:sz w:val="32"/>
          <w:szCs w:val="32"/>
        </w:rPr>
      </w:pPr>
      <w:r>
        <w:rPr>
          <w:rFonts w:hint="eastAsia" w:ascii="黑体" w:hAnsi="黑体" w:eastAsia="黑体" w:cs="仿宋"/>
          <w:sz w:val="32"/>
          <w:szCs w:val="32"/>
        </w:rPr>
        <w:t>四、一般公共预算“三公”经费支出情况</w:t>
      </w:r>
      <w:r>
        <w:rPr>
          <w:rFonts w:hint="eastAsia" w:ascii="仿宋" w:hAnsi="仿宋" w:eastAsia="仿宋" w:cs="仿宋"/>
          <w:sz w:val="32"/>
          <w:szCs w:val="32"/>
        </w:rPr>
        <w:t xml:space="preserve"> </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人次。开支内容包括：……。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玛纳斯县玛纳斯镇卫生院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五、机关运行经费支出情况</w:t>
      </w:r>
    </w:p>
    <w:p>
      <w:pPr>
        <w:spacing w:after="0" w:line="480" w:lineRule="exact"/>
        <w:ind w:firstLine="600" w:firstLineChars="200"/>
        <w:rPr>
          <w:rFonts w:hint="eastAsia" w:ascii="仿宋" w:hAnsi="仿宋" w:eastAsia="仿宋" w:cs="仿宋"/>
          <w:color w:val="000000" w:themeColor="text1"/>
          <w:sz w:val="32"/>
          <w:szCs w:val="32"/>
          <w:lang w:eastAsia="zh-CN"/>
        </w:rPr>
      </w:pPr>
      <w:r>
        <w:rPr>
          <w:rFonts w:hint="eastAsia" w:ascii="仿宋" w:hAnsi="仿宋" w:eastAsia="仿宋" w:cs="仿宋"/>
          <w:sz w:val="30"/>
          <w:szCs w:val="30"/>
          <w:lang w:eastAsia="zh-CN"/>
        </w:rPr>
        <w:t>本单位是事业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92.2</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相比减少</w:t>
      </w:r>
      <w:r>
        <w:rPr>
          <w:rFonts w:hint="eastAsia" w:ascii="仿宋" w:hAnsi="仿宋" w:eastAsia="仿宋" w:cs="仿宋"/>
          <w:sz w:val="32"/>
          <w:szCs w:val="32"/>
          <w:lang w:val="en-US" w:eastAsia="zh-CN"/>
        </w:rPr>
        <w:t>3.15万元，下降3.3%</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购买医疗专用材料减少</w:t>
      </w:r>
      <w:r>
        <w:rPr>
          <w:rFonts w:hint="eastAsia" w:ascii="仿宋" w:hAnsi="仿宋" w:eastAsia="仿宋" w:cs="仿宋"/>
          <w:color w:val="000000" w:themeColor="text1"/>
          <w:sz w:val="32"/>
          <w:szCs w:val="32"/>
          <w:lang w:val="en-US" w:eastAsia="zh-CN"/>
        </w:rPr>
        <w:t>20万元</w:t>
      </w:r>
      <w:r>
        <w:rPr>
          <w:rFonts w:hint="eastAsia" w:ascii="仿宋" w:hAnsi="仿宋" w:eastAsia="仿宋" w:cs="仿宋"/>
          <w:color w:val="000000" w:themeColor="text1"/>
          <w:sz w:val="32"/>
          <w:szCs w:val="32"/>
          <w:lang w:eastAsia="zh-CN"/>
        </w:rPr>
        <w:t>、全民体检日常公用经费增加。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六、政府采购情况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无政府采购计划。</w:t>
      </w:r>
    </w:p>
    <w:p>
      <w:pPr>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七、其他重要事项的情况</w:t>
      </w:r>
    </w:p>
    <w:p>
      <w:pPr>
        <w:spacing w:after="0" w:line="480" w:lineRule="exact"/>
        <w:ind w:firstLine="643" w:firstLineChars="200"/>
        <w:rPr>
          <w:rFonts w:ascii="仿宋" w:hAnsi="仿宋" w:eastAsia="仿宋" w:cs="仿宋"/>
          <w:sz w:val="32"/>
          <w:szCs w:val="32"/>
        </w:rPr>
      </w:pPr>
      <w:r>
        <w:rPr>
          <w:rFonts w:hint="eastAsia" w:ascii="仿宋" w:hAnsi="仿宋" w:eastAsia="仿宋" w:cs="仿宋"/>
          <w:b/>
          <w:sz w:val="32"/>
          <w:szCs w:val="32"/>
        </w:rPr>
        <w:t>（一）国有资产占用情况说明</w:t>
      </w:r>
      <w:r>
        <w:rPr>
          <w:rFonts w:hint="eastAsia" w:ascii="仿宋" w:hAnsi="仿宋" w:eastAsia="仿宋" w:cs="仿宋"/>
          <w:sz w:val="32"/>
          <w:szCs w:val="32"/>
        </w:rPr>
        <w:t xml:space="preserve"> </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437.8万元，其中：流动资产239.8万元，固定资产198.01万元，其中：房屋462（平方米），价值20.86万元，共有车辆0辆，价值0万元；单位价值50万元以上通用设备0台（套）、单位价值100万元以上专用设备0台（套），其他固定资产价值177.15万元，其他固定资产包括医疗专用设备及家具等。</w:t>
      </w:r>
    </w:p>
    <w:p>
      <w:pPr>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（二）国有资产收益征缴情况说明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无国有资产收益征缴情况。</w:t>
      </w:r>
    </w:p>
    <w:p>
      <w:pPr>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（三）部门项目支出情况和项目绩效评价情况说明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无部门项目支出情况。</w:t>
      </w:r>
    </w:p>
    <w:p>
      <w:pPr>
        <w:spacing w:after="0" w:line="480" w:lineRule="exact"/>
        <w:ind w:firstLine="640" w:firstLineChars="200"/>
        <w:rPr>
          <w:rFonts w:ascii="仿宋" w:hAnsi="仿宋" w:eastAsia="仿宋" w:cs="仿宋"/>
          <w:sz w:val="32"/>
          <w:szCs w:val="32"/>
        </w:rPr>
      </w:pPr>
    </w:p>
    <w:p>
      <w:pPr>
        <w:spacing w:beforeLines="200" w:after="0" w:line="480" w:lineRule="exact"/>
        <w:jc w:val="center"/>
        <w:rPr>
          <w:rFonts w:ascii="黑体" w:hAnsi="黑体" w:eastAsia="黑体" w:cs="黑体"/>
          <w:b/>
          <w:bCs/>
          <w:sz w:val="36"/>
          <w:szCs w:val="36"/>
        </w:rPr>
      </w:pPr>
      <w:r>
        <w:rPr>
          <w:rFonts w:hint="eastAsia" w:ascii="黑体" w:hAnsi="黑体" w:eastAsia="黑体" w:cs="黑体"/>
          <w:b/>
          <w:bCs/>
          <w:sz w:val="36"/>
          <w:szCs w:val="36"/>
        </w:rPr>
        <w:t>第三部分  专业名词解释</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财政拨款收入：指同级财政当年拨付的资金。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上级补助收入：指事业单位从主管部门和上级单位取得的非财政补助收入。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事业收入：指事业单位开展专业业务活动及其辅助活动所取得的收入。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经营收入：指事业单位在专业业务活动及其辅助活动之外开展非独立核算经营活动取得的收入。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附属单位缴款：指事业单位附属的独立核算单位按有关规定上缴的收入。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其他收入：指除上述“财政拨款收入”、“事业收入”、“经营收入”、“附属单位缴款”等之外取得的收入。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结余分配：反映单位当年结余的分配情况。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基本支出：指为保障机构正常运转、完成日常工作任务而发生的人员支出和公用支出。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项目支出：指在基本支出之外为完成特定行政任务和事业发展目标所发生的支出。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经营支出：指事业单位在专业业务活动及其辅助活动之外开展非独立核算经营活动发生的支出。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对附属单位补助支出：指事业单位发生的用非财政预算资金对附属单位的补助支出。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全民健康体检经费：为保障全民健康工作运行用于购买卫生材料、耗材和服务的各项资金，包括办公及印刷费、卫生材料和耗材等其他费用。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本单位支出功能分类说明。2100302：指乡镇卫生院。2080505：指机关事业单位基本养老保险缴费支出。 </w:t>
      </w:r>
    </w:p>
    <w:p>
      <w:pPr>
        <w:spacing w:after="0" w:line="480" w:lineRule="exact"/>
        <w:ind w:firstLine="640" w:firstLineChars="200"/>
        <w:rPr>
          <w:rFonts w:ascii="仿宋" w:hAnsi="仿宋" w:eastAsia="仿宋" w:cs="仿宋"/>
          <w:sz w:val="32"/>
          <w:szCs w:val="32"/>
        </w:rPr>
      </w:pPr>
    </w:p>
    <w:p>
      <w:pPr>
        <w:spacing w:beforeLines="200" w:after="0" w:line="480" w:lineRule="exact"/>
        <w:jc w:val="center"/>
        <w:rPr>
          <w:rFonts w:ascii="黑体" w:hAnsi="黑体" w:eastAsia="黑体" w:cs="仿宋"/>
          <w:b/>
          <w:bCs/>
          <w:sz w:val="36"/>
          <w:szCs w:val="36"/>
        </w:rPr>
      </w:pPr>
      <w:r>
        <w:rPr>
          <w:rFonts w:hint="eastAsia" w:ascii="黑体" w:hAnsi="黑体" w:eastAsia="黑体" w:cs="黑体"/>
          <w:b/>
          <w:bCs/>
          <w:sz w:val="36"/>
          <w:szCs w:val="36"/>
        </w:rPr>
        <w:t>第四部分   部门决算报表（见附表）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一、报表封面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二、《收入支出决算总表》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三、《收入决算表》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四、《支出决算表》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五、《收入支出决算表》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六、《项目收入支出决算表》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七、《行政事业类项目收入支出决算表》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八、《基本建设类项目收入支出决算表》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九、《支出决算明细表》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十一、《项目支出决算明细表》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十二、《财政专户管理资金收入支出决算表》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十三、《财政拨款收入支出决算总表》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十四、《一般公共预算财政拨款收入支出决算表》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十五、《一般公共预算财政拨款支出决算明细表》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十六、《一般公共预算财政拨款基本支出决算明细表》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十七、《一般公共预算财政拨款项目支出决算明细表》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十八、《政府性基金预算财政拨款收入支出决算表》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十九、《政府性基金预算财政拨款支出决算明细表》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二十、《政府性基金预算财政拨款基本支出决算明细表》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二十一、《政府性基金预算财政拨款项目支出决算明细表》。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二十二、《资产负债简表》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二十三、《资产情况表》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二十四、《国有资产收益征缴情况表》、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二十五、《基本数字表》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二十六、《机构人员情况表》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二十七、《非税收入征缴情况表》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二十八、《部门决算相关信息统计表》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二十九、《政府采购情况表》 </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sectPr>
      <w:pgSz w:w="11906" w:h="16838"/>
      <w:pgMar w:top="1440" w:right="1531" w:bottom="1440" w:left="153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143ED6"/>
    <w:rsid w:val="0023560C"/>
    <w:rsid w:val="00472A92"/>
    <w:rsid w:val="004E3EF7"/>
    <w:rsid w:val="005F7240"/>
    <w:rsid w:val="00671093"/>
    <w:rsid w:val="007603E0"/>
    <w:rsid w:val="00833BC6"/>
    <w:rsid w:val="00F960B3"/>
    <w:rsid w:val="027F1848"/>
    <w:rsid w:val="12B473F3"/>
    <w:rsid w:val="2D047BEF"/>
    <w:rsid w:val="2D5A6630"/>
    <w:rsid w:val="2E8C2D48"/>
    <w:rsid w:val="2F2B1AAA"/>
    <w:rsid w:val="350917D5"/>
    <w:rsid w:val="3511060A"/>
    <w:rsid w:val="36D36C44"/>
    <w:rsid w:val="392D26A8"/>
    <w:rsid w:val="3FFA7CF2"/>
    <w:rsid w:val="476107FF"/>
    <w:rsid w:val="47A30BF8"/>
    <w:rsid w:val="4D280DFC"/>
    <w:rsid w:val="58FA5454"/>
    <w:rsid w:val="5C0F4631"/>
    <w:rsid w:val="61BC2178"/>
    <w:rsid w:val="65AD48B9"/>
    <w:rsid w:val="673025C4"/>
    <w:rsid w:val="6E2636CD"/>
    <w:rsid w:val="71F92905"/>
    <w:rsid w:val="71FD1B5A"/>
    <w:rsid w:val="72B927E3"/>
    <w:rsid w:val="76355E6D"/>
    <w:rsid w:val="7C231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rFonts w:ascii="Tahoma" w:hAnsi="Tahoma" w:eastAsia="微软雅黑"/>
      <w:sz w:val="18"/>
      <w:szCs w:val="18"/>
    </w:rPr>
  </w:style>
  <w:style w:type="character" w:customStyle="1" w:styleId="8">
    <w:name w:val="页脚 Char"/>
    <w:basedOn w:val="4"/>
    <w:link w:val="2"/>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734</Words>
  <Characters>4184</Characters>
  <Lines>34</Lines>
  <Paragraphs>9</Paragraphs>
  <TotalTime>3</TotalTime>
  <ScaleCrop>false</ScaleCrop>
  <LinksUpToDate>false</LinksUpToDate>
  <CharactersWithSpaces>4909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2019-02-12T07:46:59Z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