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200" w:afterLines="100" w:line="520" w:lineRule="exact"/>
        <w:ind w:left="440" w:leftChars="200" w:right="440" w:rightChars="200"/>
        <w:jc w:val="center"/>
        <w:rPr>
          <w:rFonts w:ascii="方正大标宋简体" w:hAnsi="仿宋" w:eastAsia="方正大标宋简体" w:cs="仿宋"/>
          <w:sz w:val="40"/>
          <w:szCs w:val="36"/>
        </w:rPr>
      </w:pPr>
      <w:r>
        <w:rPr>
          <w:rFonts w:hint="eastAsia" w:ascii="方正大标宋简体" w:hAnsi="仿宋" w:eastAsia="方正大标宋简体" w:cs="仿宋"/>
          <w:sz w:val="40"/>
          <w:szCs w:val="36"/>
        </w:rPr>
        <w:t>2017年度玛纳斯县旱卡子滩卫生院部门决算公开说明</w:t>
      </w:r>
    </w:p>
    <w:p>
      <w:pPr>
        <w:spacing w:line="220" w:lineRule="atLeast"/>
        <w:ind w:firstLine="600" w:firstLineChars="200"/>
        <w:rPr>
          <w:rFonts w:ascii="仿宋" w:hAnsi="仿宋" w:eastAsia="仿宋" w:cs="仿宋"/>
          <w:sz w:val="30"/>
          <w:szCs w:val="30"/>
        </w:rPr>
      </w:pPr>
    </w:p>
    <w:p>
      <w:pPr>
        <w:spacing w:before="100" w:after="0" w:line="560" w:lineRule="exact"/>
        <w:ind w:firstLine="720" w:firstLineChars="200"/>
        <w:jc w:val="center"/>
        <w:rPr>
          <w:rFonts w:ascii="黑体" w:hAnsi="黑体" w:eastAsia="黑体" w:cs="仿宋"/>
          <w:sz w:val="36"/>
          <w:szCs w:val="36"/>
        </w:rPr>
      </w:pPr>
      <w:r>
        <w:rPr>
          <w:rFonts w:hint="eastAsia" w:ascii="黑体" w:hAnsi="黑体" w:eastAsia="黑体" w:cs="仿宋"/>
          <w:sz w:val="36"/>
          <w:szCs w:val="36"/>
        </w:rPr>
        <w:t>目　　录</w:t>
      </w:r>
    </w:p>
    <w:p>
      <w:pPr>
        <w:spacing w:line="220" w:lineRule="atLeast"/>
        <w:ind w:firstLine="600" w:firstLineChars="200"/>
        <w:rPr>
          <w:rFonts w:ascii="仿宋" w:hAnsi="仿宋" w:eastAsia="仿宋" w:cs="仿宋"/>
          <w:sz w:val="30"/>
          <w:szCs w:val="30"/>
        </w:rPr>
      </w:pPr>
    </w:p>
    <w:p>
      <w:pPr>
        <w:spacing w:after="0"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第一部分　玛纳斯县旱卡子滩卫生院概况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一、主要职能、机构设置及人员情况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二、部门决算单位构成</w:t>
      </w:r>
    </w:p>
    <w:p>
      <w:pPr>
        <w:spacing w:after="0"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第二部分　部门决算情况说明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一、部门收支总体情况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（一）部门收入支出决算总体情况说明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（二）部门收入总体情况说明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（三）部门支出总体情况说明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二、部门财政拨款收支情况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（一）财政拨款收支总体情况说明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（二）一般公共预算支出决算情况说明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（三）政府性基金预算收支决算情况说明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（四）政府性基金预算支出决算情况说明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三、部门结转结余情况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四、一般公共预算“三公”经费支出情况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五、机关运行经费支出情况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六、政府采购情况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七、其他重要事项的情况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（一）国有资产占用情况说明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（二）国有资产收益征缴情况说明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（三）部门项目支出情况和项目绩效评价情况说明</w:t>
      </w:r>
    </w:p>
    <w:p>
      <w:pPr>
        <w:spacing w:after="0"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第三部分　名词解释</w:t>
      </w:r>
    </w:p>
    <w:p>
      <w:pPr>
        <w:spacing w:after="0"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第四部分　部门决算报表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一、报表封面</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二、部门收支总体情况（11张）：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《收入支出决算总表》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《收入决算表》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《行政事业类项目收入支出决算表》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《基本建设类项目收入支出决算表》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《财政专户管理资金收入支出决算表》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三、财政拨款收支情况（9张）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《财政拨款收入支出决算总表》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四、单位资产负责情况（1张）：《资产负债简表》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五、部门决算附表（5张）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《资产情况表》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《国有资产收益征缴情况表》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《基本数字表》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《机构人员情况表》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《非税收入征缴情况表》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六、填报说明附表（2张）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《部门决算相关信息统计表》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《政府采购情况表》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七、“三公”经费支出情况(1张)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《2017年度一般公共预算“三公”经费支出情况表》</w:t>
      </w:r>
    </w:p>
    <w:p>
      <w:pPr>
        <w:spacing w:after="0" w:line="520" w:lineRule="exact"/>
        <w:ind w:firstLine="640" w:firstLineChars="200"/>
        <w:rPr>
          <w:rFonts w:ascii="仿宋" w:hAnsi="仿宋" w:eastAsia="仿宋" w:cs="仿宋"/>
          <w:sz w:val="32"/>
          <w:szCs w:val="32"/>
        </w:rPr>
      </w:pPr>
      <w:r>
        <w:rPr>
          <w:rFonts w:ascii="仿宋" w:hAnsi="仿宋" w:eastAsia="仿宋" w:cs="仿宋"/>
          <w:sz w:val="32"/>
          <w:szCs w:val="32"/>
        </w:rPr>
        <w:br w:type="page"/>
      </w:r>
    </w:p>
    <w:p>
      <w:pPr>
        <w:spacing w:beforeLines="100" w:after="0" w:line="560" w:lineRule="exact"/>
        <w:jc w:val="center"/>
        <w:rPr>
          <w:rFonts w:ascii="黑体" w:hAnsi="黑体" w:eastAsia="黑体" w:cs="仿宋"/>
          <w:b/>
          <w:bCs/>
          <w:sz w:val="36"/>
          <w:szCs w:val="36"/>
        </w:rPr>
      </w:pPr>
      <w:r>
        <w:rPr>
          <w:rFonts w:hint="eastAsia" w:ascii="黑体" w:hAnsi="黑体" w:eastAsia="黑体" w:cs="仿宋"/>
          <w:b/>
          <w:bCs/>
          <w:sz w:val="36"/>
          <w:szCs w:val="36"/>
        </w:rPr>
        <w:t>第一部分　玛纳斯县旱卡子滩卫生院概况</w:t>
      </w:r>
    </w:p>
    <w:p>
      <w:pPr>
        <w:spacing w:after="0" w:line="500" w:lineRule="exact"/>
        <w:ind w:firstLine="630" w:firstLineChars="196"/>
        <w:rPr>
          <w:rFonts w:ascii="仿宋" w:hAnsi="仿宋" w:eastAsia="仿宋" w:cs="仿宋"/>
          <w:b/>
          <w:sz w:val="32"/>
          <w:szCs w:val="32"/>
        </w:rPr>
      </w:pPr>
      <w:r>
        <w:rPr>
          <w:rFonts w:hint="eastAsia" w:ascii="仿宋" w:hAnsi="仿宋" w:eastAsia="仿宋" w:cs="仿宋"/>
          <w:b/>
          <w:sz w:val="32"/>
          <w:szCs w:val="32"/>
        </w:rPr>
        <w:t>一、主要职能、机构设置及人员情况</w:t>
      </w:r>
    </w:p>
    <w:p>
      <w:pPr>
        <w:spacing w:after="0" w:line="500" w:lineRule="exact"/>
        <w:ind w:firstLine="630" w:firstLineChars="196"/>
        <w:rPr>
          <w:rFonts w:ascii="仿宋" w:hAnsi="仿宋" w:eastAsia="仿宋" w:cs="仿宋"/>
          <w:color w:val="000000"/>
          <w:sz w:val="32"/>
          <w:szCs w:val="32"/>
        </w:rPr>
      </w:pPr>
      <w:r>
        <w:rPr>
          <w:rFonts w:hint="eastAsia" w:ascii="仿宋" w:hAnsi="仿宋" w:eastAsia="仿宋" w:cs="仿宋"/>
          <w:b/>
          <w:sz w:val="32"/>
          <w:szCs w:val="32"/>
        </w:rPr>
        <w:t>（一）主要职能：</w:t>
      </w:r>
      <w:r>
        <w:rPr>
          <w:rFonts w:hint="eastAsia" w:ascii="仿宋" w:hAnsi="仿宋" w:eastAsia="仿宋" w:cs="仿宋"/>
          <w:color w:val="000000"/>
          <w:sz w:val="32"/>
          <w:szCs w:val="32"/>
        </w:rPr>
        <w:t>为人民身体健康提供医疗与预防保健服务。常见多发病的诊治护理、康复治疗与护理预防保健，初级卫生保健及合作医疗的组织管理、卫生监督与信息管理，卫生技术人员培训。</w:t>
      </w:r>
    </w:p>
    <w:p>
      <w:pPr>
        <w:spacing w:after="0" w:line="500" w:lineRule="exact"/>
        <w:ind w:firstLine="630" w:firstLineChars="196"/>
        <w:rPr>
          <w:rFonts w:ascii="仿宋" w:hAnsi="仿宋" w:eastAsia="仿宋" w:cs="仿宋"/>
          <w:color w:val="000000"/>
          <w:sz w:val="32"/>
          <w:szCs w:val="32"/>
        </w:rPr>
      </w:pPr>
      <w:r>
        <w:rPr>
          <w:rFonts w:hint="eastAsia" w:ascii="仿宋" w:hAnsi="仿宋" w:eastAsia="仿宋" w:cs="仿宋"/>
          <w:b/>
          <w:color w:val="000000"/>
          <w:sz w:val="32"/>
          <w:szCs w:val="32"/>
        </w:rPr>
        <w:t>（二）</w:t>
      </w:r>
      <w:r>
        <w:rPr>
          <w:rFonts w:hint="eastAsia" w:ascii="仿宋" w:hAnsi="仿宋" w:eastAsia="仿宋" w:cs="仿宋"/>
          <w:b/>
          <w:sz w:val="32"/>
          <w:szCs w:val="32"/>
        </w:rPr>
        <w:t>机构设置情况：</w:t>
      </w:r>
      <w:r>
        <w:rPr>
          <w:rFonts w:hint="eastAsia" w:ascii="仿宋" w:hAnsi="仿宋" w:eastAsia="仿宋" w:cs="仿宋"/>
          <w:color w:val="000000"/>
          <w:sz w:val="32"/>
          <w:szCs w:val="32"/>
        </w:rPr>
        <w:t>卫生院内设科室有儿科、中医科、妇科、预防保健科、外科、X光诊断、B超室、心电图、检验室、药房、财务室等科室并下设3个村卫生室，都能开展公共卫生服务项目及新农合及相关工作，严格执行国家基本药物政策。</w:t>
      </w:r>
    </w:p>
    <w:p>
      <w:pPr>
        <w:spacing w:after="0" w:line="500" w:lineRule="exact"/>
        <w:ind w:firstLine="630" w:firstLineChars="196"/>
        <w:rPr>
          <w:rFonts w:ascii="仿宋" w:hAnsi="仿宋" w:eastAsia="仿宋" w:cs="仿宋"/>
          <w:sz w:val="32"/>
          <w:szCs w:val="32"/>
        </w:rPr>
      </w:pPr>
      <w:r>
        <w:rPr>
          <w:rFonts w:hint="eastAsia" w:ascii="仿宋" w:hAnsi="仿宋" w:eastAsia="仿宋" w:cs="仿宋"/>
          <w:b/>
          <w:sz w:val="32"/>
          <w:szCs w:val="32"/>
        </w:rPr>
        <w:t>（三）人员编制情况：</w:t>
      </w:r>
      <w:r>
        <w:rPr>
          <w:rFonts w:hint="eastAsia" w:ascii="仿宋" w:hAnsi="仿宋" w:eastAsia="仿宋" w:cs="仿宋"/>
          <w:sz w:val="32"/>
          <w:szCs w:val="32"/>
        </w:rPr>
        <w:t>本单位以属于一级预算单位，财政全额拨款，公益一类事业单位。编制数17人，在职19人，其中管理岗2人，专业技术岗17人。实有人数19人。</w:t>
      </w:r>
    </w:p>
    <w:p>
      <w:pPr>
        <w:spacing w:after="0" w:line="500" w:lineRule="exact"/>
        <w:ind w:firstLine="627" w:firstLineChars="196"/>
        <w:rPr>
          <w:rFonts w:ascii="仿宋" w:hAnsi="仿宋" w:eastAsia="仿宋" w:cs="仿宋"/>
          <w:sz w:val="32"/>
          <w:szCs w:val="32"/>
        </w:rPr>
      </w:pPr>
      <w:r>
        <w:rPr>
          <w:rFonts w:hint="eastAsia" w:ascii="仿宋" w:hAnsi="仿宋" w:eastAsia="仿宋" w:cs="仿宋"/>
          <w:sz w:val="32"/>
          <w:szCs w:val="32"/>
        </w:rPr>
        <w:t>二、部门决算单位构成：</w:t>
      </w:r>
    </w:p>
    <w:p>
      <w:pPr>
        <w:spacing w:after="0" w:line="500" w:lineRule="exact"/>
        <w:ind w:firstLine="627" w:firstLineChars="196"/>
        <w:rPr>
          <w:rFonts w:ascii="仿宋" w:hAnsi="仿宋" w:eastAsia="仿宋" w:cs="仿宋"/>
          <w:sz w:val="32"/>
          <w:szCs w:val="32"/>
        </w:rPr>
      </w:pPr>
      <w:r>
        <w:rPr>
          <w:rFonts w:hint="eastAsia" w:ascii="仿宋" w:hAnsi="仿宋" w:eastAsia="仿宋" w:cs="仿宋"/>
          <w:sz w:val="32"/>
          <w:szCs w:val="32"/>
        </w:rPr>
        <w:t>本级预算单位一个，无下属预算单位。</w:t>
      </w:r>
    </w:p>
    <w:tbl>
      <w:tblPr>
        <w:tblStyle w:val="7"/>
        <w:tblW w:w="8582" w:type="dxa"/>
        <w:jc w:val="center"/>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526"/>
        <w:gridCol w:w="3815"/>
        <w:gridCol w:w="324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序号</w:t>
            </w:r>
          </w:p>
        </w:tc>
        <w:tc>
          <w:tcPr>
            <w:tcW w:w="3815"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单位名称</w:t>
            </w:r>
          </w:p>
        </w:tc>
        <w:tc>
          <w:tcPr>
            <w:tcW w:w="3241"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PrEx>
        <w:trPr>
          <w:trHeight w:val="429" w:hRule="atLeast"/>
          <w:jc w:val="center"/>
        </w:trPr>
        <w:tc>
          <w:tcPr>
            <w:tcW w:w="1526"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1</w:t>
            </w:r>
          </w:p>
        </w:tc>
        <w:tc>
          <w:tcPr>
            <w:tcW w:w="3815" w:type="dxa"/>
            <w:vAlign w:val="center"/>
          </w:tcPr>
          <w:p>
            <w:pPr>
              <w:widowControl w:val="0"/>
              <w:spacing w:after="0"/>
              <w:jc w:val="center"/>
              <w:rPr>
                <w:rFonts w:ascii="仿宋" w:hAnsi="仿宋" w:eastAsia="仿宋" w:cs="仿宋"/>
                <w:sz w:val="32"/>
                <w:szCs w:val="32"/>
              </w:rPr>
            </w:pPr>
            <w:r>
              <w:rPr>
                <w:rFonts w:hint="eastAsia" w:ascii="仿宋" w:hAnsi="仿宋" w:eastAsia="仿宋" w:cs="仿宋"/>
                <w:sz w:val="32"/>
                <w:szCs w:val="32"/>
              </w:rPr>
              <w:t>玛纳斯县旱卡子滩卫生院</w:t>
            </w:r>
          </w:p>
        </w:tc>
        <w:tc>
          <w:tcPr>
            <w:tcW w:w="3241" w:type="dxa"/>
            <w:vAlign w:val="center"/>
          </w:tcPr>
          <w:p>
            <w:pPr>
              <w:widowControl w:val="0"/>
              <w:spacing w:after="0"/>
              <w:jc w:val="center"/>
              <w:rPr>
                <w:rFonts w:ascii="仿宋" w:hAnsi="仿宋" w:eastAsia="仿宋" w:cs="仿宋"/>
                <w:sz w:val="32"/>
                <w:szCs w:val="32"/>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2"/>
                <w:szCs w:val="32"/>
              </w:rPr>
            </w:pPr>
          </w:p>
        </w:tc>
        <w:tc>
          <w:tcPr>
            <w:tcW w:w="3815" w:type="dxa"/>
            <w:vAlign w:val="center"/>
          </w:tcPr>
          <w:p>
            <w:pPr>
              <w:widowControl w:val="0"/>
              <w:spacing w:after="0"/>
              <w:jc w:val="center"/>
              <w:rPr>
                <w:rFonts w:ascii="仿宋" w:hAnsi="仿宋" w:eastAsia="仿宋" w:cs="仿宋"/>
                <w:sz w:val="32"/>
                <w:szCs w:val="32"/>
              </w:rPr>
            </w:pPr>
          </w:p>
        </w:tc>
        <w:tc>
          <w:tcPr>
            <w:tcW w:w="3241" w:type="dxa"/>
            <w:vAlign w:val="center"/>
          </w:tcPr>
          <w:p>
            <w:pPr>
              <w:widowControl w:val="0"/>
              <w:spacing w:after="0"/>
              <w:jc w:val="center"/>
              <w:rPr>
                <w:rFonts w:ascii="仿宋" w:hAnsi="仿宋" w:eastAsia="仿宋" w:cs="仿宋"/>
                <w:sz w:val="32"/>
                <w:szCs w:val="32"/>
              </w:rPr>
            </w:pPr>
          </w:p>
        </w:tc>
      </w:tr>
    </w:tbl>
    <w:p>
      <w:pPr>
        <w:spacing w:after="0" w:line="500" w:lineRule="exact"/>
        <w:ind w:firstLine="627" w:firstLineChars="196"/>
        <w:rPr>
          <w:rFonts w:ascii="仿宋" w:hAnsi="仿宋" w:eastAsia="仿宋" w:cs="仿宋"/>
          <w:sz w:val="32"/>
          <w:szCs w:val="32"/>
        </w:rPr>
      </w:pPr>
    </w:p>
    <w:p>
      <w:pPr>
        <w:spacing w:beforeLines="100" w:after="0" w:line="560" w:lineRule="exact"/>
        <w:jc w:val="center"/>
        <w:rPr>
          <w:rFonts w:ascii="黑体" w:hAnsi="黑体" w:eastAsia="黑体" w:cs="仿宋"/>
          <w:b/>
          <w:bCs/>
          <w:sz w:val="36"/>
          <w:szCs w:val="36"/>
        </w:rPr>
      </w:pPr>
      <w:r>
        <w:rPr>
          <w:rFonts w:hint="eastAsia" w:ascii="黑体" w:hAnsi="黑体" w:eastAsia="黑体" w:cs="仿宋"/>
          <w:b/>
          <w:bCs/>
          <w:sz w:val="36"/>
          <w:szCs w:val="36"/>
        </w:rPr>
        <w:t>第二部分　部门决算情况说明</w:t>
      </w:r>
    </w:p>
    <w:p>
      <w:pPr>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一、部门收支总体情况</w:t>
      </w:r>
    </w:p>
    <w:p>
      <w:pPr>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（一）部门收入支出决算总体情况说明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度收入365.03万元,与上年相比，增加104.69万元，增长40.22%，支出393.20万元,与上年相比，增加139.88万元，增长55.2%，结余0万元，与上年相比，减少0万元。增减变化主要原因是：因全民体检上级补助增多，致使全年收入增多，因全民体检，经费支出增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收入210.15万元，2017年预算支出210.15万元。与预算相比收入增加154.88万元，与预算相比支出增加183.05万元。增减变化主要原因是：因全民体检上级补助增多，致使全年收入增多，因全民体检，经费支出增加。</w:t>
      </w:r>
    </w:p>
    <w:p>
      <w:pPr>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（二）部门收入总体情况说明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本年收入合计365.03万元，其中：财政拨款收入197.13万元，占54%；上级补助收入144.25万元，占40%；事业收入23.6万元，占6%；其他收入0.05万元，占0.00%。增减变化的主要原因是：全民体检上级补助增多，致使全年收入增多。</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收入210.15万元，其中：财政拨款收入200.86万元；上级补助收入0万元；事业收入0万元；其他收入0万元。与预算相比收入增加154.88万元，增减变化主要原因是：因全民体检上级补助增加，致使全年收入增加；以及年内人员调资等原因。</w:t>
      </w:r>
    </w:p>
    <w:p>
      <w:pPr>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（三）部门支出总体情况说明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本年支出合计393.2万元，其中：基本支出393.2万元，占100%；项目支出0万元，占0%；上缴上级支出0万元，占0%；经营支出0万元，占0%；对附属单位补助支出0万元，占0%。增减变化的主要原因是：因全民体检，经费支出增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2017年预算支出210.15万元，其中：基本支出210.15万元，与预算相比支出增加183.05万元。增减变化主要原因是：因全民体检，经费支出增加。</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二、部门财政拨款收支情况</w:t>
      </w:r>
    </w:p>
    <w:p>
      <w:pPr>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（一）财政拨款收支总体情况说明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度财政拨款收入197.13万元，与上年相比，增加11.5万元，增加6.19%。增减变化的主要原因是：年内人员增资。财政拨款支出197.13万元，与上年相比，增加11.5万元，增加6.19%。其中：基本支出197.13万元，项目支出0万元。增减变化的主要原因是：年内人员增资。财政拨款结转结余0万元，与上年相比，增加0万元，增长0%。</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2017年预算财政拨款收入200.86万元，与预算相比财政拨款收入减少了3.73万元，减少的主要原因年内有1人调出。</w:t>
      </w:r>
    </w:p>
    <w:p>
      <w:pPr>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（二）一般公共预算支出决算情况说明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财政拨款支出197.13万元。与上年相比，增加11.5万元，增加6.19%。增减变化的主要原因是：增加的主要原因是：原事业单位退休人员津贴从2017年开始由社保发放。其中：按功能分类科目，社会保障和就业支出2080505</w:t>
      </w:r>
      <w:r>
        <w:rPr>
          <w:rFonts w:hint="eastAsia" w:ascii="仿宋" w:hAnsi="仿宋" w:eastAsia="仿宋" w:cs="仿宋"/>
          <w:sz w:val="32"/>
          <w:szCs w:val="32"/>
          <w:lang w:eastAsia="zh-CN"/>
        </w:rPr>
        <w:t>款</w:t>
      </w:r>
      <w:r>
        <w:rPr>
          <w:rFonts w:hint="eastAsia" w:ascii="仿宋" w:hAnsi="仿宋" w:eastAsia="仿宋" w:cs="仿宋"/>
          <w:sz w:val="32"/>
          <w:szCs w:val="32"/>
        </w:rPr>
        <w:t>23.11万元，医疗卫生与计划生育支出2100302</w:t>
      </w:r>
      <w:r>
        <w:rPr>
          <w:rFonts w:hint="eastAsia" w:ascii="仿宋" w:hAnsi="仿宋" w:eastAsia="仿宋" w:cs="仿宋"/>
          <w:sz w:val="32"/>
          <w:szCs w:val="32"/>
          <w:lang w:eastAsia="zh-CN"/>
        </w:rPr>
        <w:t>款</w:t>
      </w:r>
      <w:r>
        <w:rPr>
          <w:rFonts w:hint="eastAsia" w:ascii="仿宋" w:hAnsi="仿宋" w:eastAsia="仿宋" w:cs="仿宋"/>
          <w:sz w:val="32"/>
          <w:szCs w:val="32"/>
        </w:rPr>
        <w:t>174.02万元。按经济分类科目，人员经费支出194.09万元，日常公用经费支出3.04万元。</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2017年预算财政拨款支出200.86万元，与预算相比财政拨款收入减少了3.73万元，减少的主要原因年内有1人调出。</w:t>
      </w:r>
    </w:p>
    <w:p>
      <w:pPr>
        <w:widowControl w:val="0"/>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（三）政府性基金预算收支决算情况说明</w:t>
      </w:r>
    </w:p>
    <w:p>
      <w:pPr>
        <w:widowControl w:val="0"/>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无政府性基金预算收支，与上年持平。</w:t>
      </w:r>
    </w:p>
    <w:p>
      <w:pPr>
        <w:widowControl w:val="0"/>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（四）政府性基金预算支出决算情况说明</w:t>
      </w:r>
    </w:p>
    <w:p>
      <w:pPr>
        <w:widowControl w:val="0"/>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无政府性基金预算支出，与上年持平。</w:t>
      </w:r>
    </w:p>
    <w:p>
      <w:pPr>
        <w:widowControl w:val="0"/>
        <w:spacing w:after="0" w:line="500" w:lineRule="exact"/>
        <w:ind w:firstLine="640" w:firstLineChars="200"/>
        <w:rPr>
          <w:rFonts w:ascii="仿宋" w:hAnsi="仿宋" w:eastAsia="仿宋" w:cs="仿宋"/>
          <w:sz w:val="32"/>
          <w:szCs w:val="32"/>
        </w:rPr>
      </w:pPr>
      <w:r>
        <w:rPr>
          <w:rFonts w:hint="eastAsia" w:ascii="黑体" w:hAnsi="黑体" w:eastAsia="黑体" w:cs="仿宋"/>
          <w:sz w:val="32"/>
          <w:szCs w:val="32"/>
        </w:rPr>
        <w:t>三、部门结转结余情况</w:t>
      </w:r>
    </w:p>
    <w:p>
      <w:pPr>
        <w:widowControl w:val="0"/>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年末结转结余0万元。与上年持平。</w:t>
      </w:r>
    </w:p>
    <w:p>
      <w:pPr>
        <w:widowControl w:val="0"/>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其中财政拨款结转结余0万元。</w:t>
      </w:r>
    </w:p>
    <w:p>
      <w:pPr>
        <w:widowControl w:val="0"/>
        <w:spacing w:after="0" w:line="500" w:lineRule="exact"/>
        <w:ind w:firstLine="640" w:firstLineChars="200"/>
        <w:rPr>
          <w:rFonts w:ascii="仿宋" w:hAnsi="仿宋" w:eastAsia="仿宋" w:cs="仿宋"/>
          <w:sz w:val="32"/>
          <w:szCs w:val="32"/>
        </w:rPr>
      </w:pPr>
      <w:r>
        <w:rPr>
          <w:rFonts w:hint="eastAsia" w:ascii="黑体" w:hAnsi="黑体" w:eastAsia="黑体" w:cs="仿宋"/>
          <w:sz w:val="32"/>
          <w:szCs w:val="32"/>
        </w:rPr>
        <w:t>四、一般公共预算“三公”经费支出情况</w:t>
      </w:r>
    </w:p>
    <w:p>
      <w:pPr>
        <w:spacing w:after="0" w:line="520" w:lineRule="exact"/>
        <w:ind w:firstLine="640" w:firstLineChars="200"/>
        <w:rPr>
          <w:rFonts w:ascii="仿宋" w:hAnsi="仿宋" w:eastAsia="仿宋" w:cs="仿宋"/>
          <w:sz w:val="30"/>
          <w:szCs w:val="30"/>
        </w:rPr>
      </w:pPr>
      <w:r>
        <w:rPr>
          <w:rFonts w:hint="eastAsia" w:ascii="仿宋" w:hAnsi="仿宋" w:eastAsia="仿宋" w:cs="仿宋"/>
          <w:color w:val="000000"/>
          <w:sz w:val="32"/>
          <w:szCs w:val="32"/>
        </w:rPr>
        <w:t>2017年度一般公共预算“三公”经费支出决算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万元，比上年</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减少</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增长（降低）0%。其中，因公出国（境）费支出0元，占0%，比上年增加（减少）0万元，增长（降低）0%；公务用车购置及运行维护费支出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玛纳斯县旱卡子滩乡卫生院</w:t>
      </w:r>
      <w:bookmarkStart w:id="0" w:name="_GoBack"/>
      <w:bookmarkEnd w:id="0"/>
      <w:r>
        <w:rPr>
          <w:rFonts w:hint="eastAsia" w:ascii="仿宋" w:hAnsi="仿宋" w:eastAsia="仿宋" w:cs="仿宋"/>
          <w:sz w:val="30"/>
          <w:szCs w:val="30"/>
        </w:rPr>
        <w:t>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color w:val="000000"/>
          <w:sz w:val="32"/>
          <w:szCs w:val="32"/>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：与预算持平。</w:t>
      </w:r>
    </w:p>
    <w:p>
      <w:pPr>
        <w:widowControl w:val="0"/>
        <w:spacing w:after="0" w:line="500" w:lineRule="exact"/>
        <w:ind w:firstLine="640" w:firstLineChars="200"/>
        <w:rPr>
          <w:rFonts w:ascii="黑体" w:hAnsi="黑体" w:eastAsia="黑体" w:cs="仿宋"/>
          <w:sz w:val="32"/>
          <w:szCs w:val="32"/>
        </w:rPr>
      </w:pPr>
      <w:r>
        <w:rPr>
          <w:rFonts w:hint="eastAsia" w:ascii="黑体" w:hAnsi="黑体" w:eastAsia="黑体" w:cs="仿宋"/>
          <w:sz w:val="32"/>
          <w:szCs w:val="32"/>
        </w:rPr>
        <w:t>五、机关运行经费支出情况</w:t>
      </w:r>
    </w:p>
    <w:p>
      <w:pPr>
        <w:widowControl w:val="0"/>
        <w:spacing w:after="0" w:line="500" w:lineRule="exact"/>
        <w:ind w:firstLine="600" w:firstLineChars="200"/>
        <w:rPr>
          <w:rFonts w:hint="eastAsia" w:ascii="仿宋" w:hAnsi="仿宋" w:eastAsia="仿宋" w:cs="仿宋"/>
          <w:sz w:val="32"/>
          <w:szCs w:val="32"/>
          <w:lang w:eastAsia="zh-CN"/>
        </w:rPr>
      </w:pPr>
      <w:r>
        <w:rPr>
          <w:rFonts w:hint="eastAsia" w:ascii="仿宋" w:hAnsi="仿宋" w:eastAsia="仿宋" w:cs="仿宋"/>
          <w:sz w:val="30"/>
          <w:szCs w:val="30"/>
          <w:lang w:eastAsia="zh-CN"/>
        </w:rPr>
        <w:t>旱卡子滩卫生院是事业</w:t>
      </w:r>
      <w:r>
        <w:rPr>
          <w:rFonts w:hint="eastAsia" w:ascii="仿宋" w:hAnsi="仿宋" w:eastAsia="仿宋" w:cs="仿宋"/>
          <w:sz w:val="30"/>
          <w:szCs w:val="30"/>
        </w:rPr>
        <w:t>单位</w:t>
      </w:r>
      <w:r>
        <w:rPr>
          <w:rFonts w:hint="eastAsia" w:ascii="仿宋" w:hAnsi="仿宋" w:eastAsia="仿宋" w:cs="仿宋"/>
          <w:sz w:val="30"/>
          <w:szCs w:val="30"/>
          <w:lang w:eastAsia="zh-CN"/>
        </w:rPr>
        <w:t>，无</w:t>
      </w:r>
      <w:r>
        <w:rPr>
          <w:rFonts w:hint="eastAsia" w:ascii="仿宋" w:hAnsi="仿宋" w:eastAsia="仿宋" w:cs="仿宋"/>
          <w:sz w:val="30"/>
          <w:szCs w:val="30"/>
        </w:rPr>
        <w:t>机关运行经费支出。</w:t>
      </w:r>
      <w:r>
        <w:rPr>
          <w:rFonts w:hint="eastAsia" w:ascii="仿宋" w:hAnsi="仿宋" w:eastAsia="仿宋" w:cs="仿宋"/>
          <w:sz w:val="32"/>
          <w:szCs w:val="32"/>
          <w:lang w:eastAsia="zh-CN"/>
        </w:rPr>
        <w:t>事业运行经费</w:t>
      </w:r>
      <w:r>
        <w:rPr>
          <w:rFonts w:hint="eastAsia" w:ascii="仿宋" w:hAnsi="仿宋" w:eastAsia="仿宋" w:cs="仿宋"/>
          <w:sz w:val="32"/>
          <w:szCs w:val="32"/>
        </w:rPr>
        <w:t>支</w:t>
      </w:r>
      <w:r>
        <w:rPr>
          <w:rFonts w:hint="eastAsia" w:ascii="仿宋" w:hAnsi="仿宋" w:eastAsia="仿宋" w:cs="仿宋"/>
          <w:sz w:val="32"/>
          <w:szCs w:val="32"/>
          <w:lang w:eastAsia="zh-CN"/>
        </w:rPr>
        <w:t>出</w:t>
      </w:r>
      <w:r>
        <w:rPr>
          <w:rFonts w:hint="eastAsia" w:ascii="仿宋" w:hAnsi="仿宋" w:eastAsia="仿宋" w:cs="仿宋"/>
          <w:sz w:val="32"/>
          <w:szCs w:val="32"/>
          <w:lang w:val="en-US" w:eastAsia="zh-CN"/>
        </w:rPr>
        <w:t>147.7</w:t>
      </w:r>
      <w:r>
        <w:rPr>
          <w:rFonts w:hint="eastAsia" w:ascii="仿宋" w:hAnsi="仿宋" w:eastAsia="仿宋" w:cs="仿宋"/>
          <w:sz w:val="32"/>
          <w:szCs w:val="32"/>
        </w:rPr>
        <w:t>万元，与上年</w:t>
      </w:r>
      <w:r>
        <w:rPr>
          <w:rFonts w:hint="eastAsia" w:ascii="仿宋" w:hAnsi="仿宋" w:eastAsia="仿宋" w:cs="仿宋"/>
          <w:sz w:val="32"/>
          <w:szCs w:val="32"/>
          <w:lang w:eastAsia="zh-CN"/>
        </w:rPr>
        <w:t>相比增加</w:t>
      </w:r>
      <w:r>
        <w:rPr>
          <w:rFonts w:hint="eastAsia" w:ascii="仿宋" w:hAnsi="仿宋" w:eastAsia="仿宋" w:cs="仿宋"/>
          <w:sz w:val="32"/>
          <w:szCs w:val="32"/>
          <w:lang w:val="en-US" w:eastAsia="zh-CN"/>
        </w:rPr>
        <w:t>103.54万元，增长234%</w:t>
      </w:r>
      <w:r>
        <w:rPr>
          <w:rFonts w:hint="eastAsia" w:ascii="仿宋" w:hAnsi="仿宋" w:eastAsia="仿宋" w:cs="仿宋"/>
          <w:sz w:val="32"/>
          <w:szCs w:val="32"/>
        </w:rPr>
        <w:t>。</w:t>
      </w:r>
      <w:r>
        <w:rPr>
          <w:rFonts w:hint="eastAsia" w:ascii="仿宋" w:hAnsi="仿宋" w:eastAsia="仿宋" w:cs="仿宋"/>
          <w:sz w:val="32"/>
          <w:szCs w:val="32"/>
          <w:lang w:eastAsia="zh-CN"/>
        </w:rPr>
        <w:t>主要是</w:t>
      </w:r>
      <w:r>
        <w:rPr>
          <w:rFonts w:hint="eastAsia" w:ascii="仿宋" w:hAnsi="仿宋" w:eastAsia="仿宋" w:cs="仿宋"/>
          <w:color w:val="000000" w:themeColor="text1"/>
          <w:sz w:val="32"/>
          <w:szCs w:val="32"/>
          <w:lang w:eastAsia="zh-CN"/>
        </w:rPr>
        <w:t>增加日常维修维护费、日常办公经费。</w:t>
      </w:r>
    </w:p>
    <w:p>
      <w:pPr>
        <w:widowControl w:val="0"/>
        <w:spacing w:after="0" w:line="500" w:lineRule="exact"/>
        <w:ind w:firstLine="640" w:firstLineChars="200"/>
        <w:rPr>
          <w:rFonts w:ascii="黑体" w:hAnsi="黑体" w:eastAsia="黑体" w:cs="仿宋"/>
          <w:sz w:val="32"/>
          <w:szCs w:val="32"/>
        </w:rPr>
      </w:pPr>
      <w:r>
        <w:rPr>
          <w:rFonts w:hint="eastAsia" w:ascii="黑体" w:hAnsi="黑体" w:eastAsia="黑体" w:cs="仿宋"/>
          <w:sz w:val="32"/>
          <w:szCs w:val="32"/>
        </w:rPr>
        <w:t>六、政府采购情况</w:t>
      </w:r>
    </w:p>
    <w:p>
      <w:pPr>
        <w:widowControl w:val="0"/>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无政府采购计划。</w:t>
      </w:r>
    </w:p>
    <w:p>
      <w:pPr>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七、其他重要事项的情况</w:t>
      </w:r>
    </w:p>
    <w:p>
      <w:pPr>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（一）国有资产占用情况说明</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截至2017年12月31日，资产总计314.6万元，其中：流动资产22.56万元，固定资产292.04万元，其中：房屋1333.11（平方米），价值154.47万元，共有车辆1辆，价值9.62万元；单位价值50万元以上通用设备0台（套）、单位价值100万元以上专用设备0台（套），其他固定资产价值127.95万元。其他固定资产包括医疗专用设备及家具等。</w:t>
      </w:r>
    </w:p>
    <w:p>
      <w:pPr>
        <w:widowControl w:val="0"/>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（二）国有资产收益征缴情况说明</w:t>
      </w:r>
    </w:p>
    <w:p>
      <w:pPr>
        <w:widowControl w:val="0"/>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无国有资产收益征缴情况。</w:t>
      </w:r>
    </w:p>
    <w:p>
      <w:pPr>
        <w:widowControl w:val="0"/>
        <w:spacing w:after="0" w:line="500" w:lineRule="exact"/>
        <w:ind w:firstLine="643" w:firstLineChars="200"/>
        <w:rPr>
          <w:rFonts w:ascii="仿宋" w:hAnsi="仿宋" w:eastAsia="仿宋" w:cs="仿宋"/>
          <w:b/>
          <w:sz w:val="32"/>
          <w:szCs w:val="32"/>
        </w:rPr>
      </w:pPr>
      <w:r>
        <w:rPr>
          <w:rFonts w:hint="eastAsia" w:ascii="仿宋" w:hAnsi="仿宋" w:eastAsia="仿宋" w:cs="仿宋"/>
          <w:b/>
          <w:sz w:val="32"/>
          <w:szCs w:val="32"/>
        </w:rPr>
        <w:t>（三）部门项目支出情况和项目绩效评价情况说明</w:t>
      </w:r>
    </w:p>
    <w:p>
      <w:pPr>
        <w:widowControl w:val="0"/>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无部门项目支出情况。</w:t>
      </w:r>
    </w:p>
    <w:p>
      <w:pPr>
        <w:spacing w:beforeLines="100" w:after="0" w:line="560" w:lineRule="exact"/>
        <w:jc w:val="center"/>
        <w:rPr>
          <w:rFonts w:ascii="黑体" w:hAnsi="黑体" w:eastAsia="黑体" w:cs="仿宋"/>
          <w:b/>
          <w:bCs/>
          <w:sz w:val="36"/>
          <w:szCs w:val="36"/>
        </w:rPr>
      </w:pPr>
      <w:r>
        <w:rPr>
          <w:rFonts w:hint="eastAsia" w:ascii="黑体" w:hAnsi="黑体" w:eastAsia="黑体" w:cs="仿宋"/>
          <w:b/>
          <w:bCs/>
          <w:sz w:val="36"/>
          <w:szCs w:val="36"/>
        </w:rPr>
        <w:t>第三部分　专业名词解释</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财政拨款收入：指同级财政当年拨付的资金。</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上级补助收入：指事业单位从主管部门和上级单位取得的非财政补助收入。</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事业收入：指事业单位开展专业业务活动及其辅助活动所取得的收入。</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经营收入：指事业单位在专业业务活动及其辅助活动之外开展非独立核算经营活动取得的收入。</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附属单位缴款：指事业单位附属的独立核算单位按有关规定上缴的收入。</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其他收入：指除上述“财政拨款收入”、“事业收入”、“经营收入”、“附属单位缴款”等之外取得的收入。</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结余分配：反映单位当年结余的分配情况。</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基本支出：指为保障机构正常运转、完成日常工作任务而发生的人员支出和公用支出。</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项目支出：指在基本支出之外为完成特定行政任务和事业发展目标所发生的支出。</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经营支出：指事业单位在专业业务活动及其辅助活动之外开展非独立核算经营活动发生的支出。</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对附属单位补助支出：指事业单位发生的用非财政预算资金对附属单位的补助支出。</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全民健康体检经费：为保障全民健康工作运行用于购买卫生材料、耗材和服务的各项资金，包括办公及印刷费、卫生材料和耗材等其他费用。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本单位支出功能分类说明。2100302：指乡镇卫生院；2080505：指机关事业单位基本养老保险缴费支出。</w:t>
      </w:r>
    </w:p>
    <w:p>
      <w:pPr>
        <w:spacing w:beforeLines="100" w:after="0" w:line="560" w:lineRule="exact"/>
        <w:jc w:val="center"/>
        <w:rPr>
          <w:rFonts w:ascii="黑体" w:hAnsi="黑体" w:eastAsia="黑体" w:cs="仿宋"/>
          <w:bCs/>
          <w:sz w:val="36"/>
          <w:szCs w:val="36"/>
        </w:rPr>
      </w:pPr>
      <w:r>
        <w:rPr>
          <w:rFonts w:hint="eastAsia" w:ascii="黑体" w:hAnsi="黑体" w:eastAsia="黑体" w:cs="仿宋"/>
          <w:bCs/>
          <w:sz w:val="36"/>
          <w:szCs w:val="36"/>
        </w:rPr>
        <w:t>第四部分　部门决算报表（见附表）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一、报表封面</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二、《收入支出决算总表》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三、《收入决算表》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四、《支出决算表》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五、《收入支出决算表》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六、《项目收入支出决算表》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七、《行政事业类项目收入支出决算表》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八、《基本建设类项目收入支出决算表》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九、《支出决算明细表》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十一、《项目支出决算明细表》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十二、《财政专户管理资金收入支出决算表》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十三、《财政拨款收入支出决算总表》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十四、《一般公共预算财政拨款收入支出决算表》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十五、《一般公共预算财政拨款支出决算明细表》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十六、《一般公共预算财政拨款基本支出决算明细表》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十七、《一般公共预算财政拨款项目支出决算明细表》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十八、《政府性基金预算财政拨款收入支出决算表》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十九、《政府性基金预算财政拨款支出决算明细表》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二十、《政府性基金预算财政拨款基本支出决算明细表》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二十一、《政府性基金预算财政拨款项目支出决算明细表》。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二十二、《资产负债简表》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二十三、《资产情况表》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二十四、《国有资产收益征缴情况表》、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二十五、《基本数字表》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二十六、《机构人员情况表》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二十七、《非税收入征缴情况表》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二十八、《部门决算相关信息统计表》</w:t>
      </w:r>
    </w:p>
    <w:p>
      <w:pPr>
        <w:spacing w:after="0" w:line="500" w:lineRule="exact"/>
        <w:ind w:firstLine="640" w:firstLineChars="200"/>
        <w:rPr>
          <w:rFonts w:ascii="仿宋" w:hAnsi="仿宋" w:eastAsia="仿宋" w:cs="仿宋"/>
          <w:sz w:val="32"/>
          <w:szCs w:val="32"/>
        </w:rPr>
      </w:pPr>
      <w:r>
        <w:rPr>
          <w:rFonts w:hint="eastAsia" w:ascii="仿宋" w:hAnsi="仿宋" w:eastAsia="仿宋" w:cs="仿宋"/>
          <w:sz w:val="32"/>
          <w:szCs w:val="32"/>
        </w:rPr>
        <w:t>二十九、《政府采购情况表》</w:t>
      </w:r>
    </w:p>
    <w:p>
      <w:pPr>
        <w:spacing w:after="0" w:line="500" w:lineRule="exact"/>
        <w:ind w:firstLine="640" w:firstLineChars="200"/>
        <w:rPr>
          <w:rFonts w:ascii="仿宋" w:hAnsi="仿宋" w:eastAsia="仿宋"/>
          <w:sz w:val="32"/>
          <w:szCs w:val="32"/>
        </w:rPr>
      </w:pPr>
      <w:r>
        <w:rPr>
          <w:rFonts w:hint="eastAsia" w:ascii="仿宋" w:hAnsi="仿宋" w:eastAsia="仿宋" w:cs="仿宋"/>
          <w:sz w:val="32"/>
          <w:szCs w:val="32"/>
        </w:rPr>
        <w:t>三十、《2017年度一般公共预算“三公”经费支出情况表》</w:t>
      </w:r>
    </w:p>
    <w:sectPr>
      <w:footerReference r:id="rId3" w:type="default"/>
      <w:pgSz w:w="11906" w:h="16838"/>
      <w:pgMar w:top="1418" w:right="1531" w:bottom="1418" w:left="153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大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324024"/>
    </w:sdtPr>
    <w:sdtEndPr>
      <w:rPr>
        <w:rFonts w:asciiTheme="minorEastAsia" w:hAnsiTheme="minorEastAsia" w:eastAsiaTheme="minorEastAsia"/>
        <w:sz w:val="24"/>
        <w:szCs w:val="24"/>
      </w:rPr>
    </w:sdtEndPr>
    <w:sdtContent>
      <w:p>
        <w:pPr>
          <w:pStyle w:val="3"/>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   \* MERGEFORMAT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lang w:val="zh-CN"/>
          </w:rPr>
          <w:t>1</w:t>
        </w:r>
        <w:r>
          <w:rPr>
            <w:rFonts w:asciiTheme="minorEastAsia" w:hAnsiTheme="minorEastAsia" w:eastAsiaTheme="minorEastAsia"/>
            <w:sz w:val="24"/>
            <w:szCs w:val="24"/>
          </w:rPr>
          <w:fldChar w:fldCharType="end"/>
        </w:r>
        <w:r>
          <w:rPr>
            <w:rFonts w:hint="eastAsia" w:asciiTheme="minorEastAsia" w:hAnsiTheme="minorEastAsia" w:eastAsiaTheme="minorEastAsia"/>
            <w:sz w:val="24"/>
            <w:szCs w:val="24"/>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1A38D4"/>
    <w:rsid w:val="0023560C"/>
    <w:rsid w:val="00324090"/>
    <w:rsid w:val="00341029"/>
    <w:rsid w:val="00403874"/>
    <w:rsid w:val="00460A30"/>
    <w:rsid w:val="00472A92"/>
    <w:rsid w:val="004C394C"/>
    <w:rsid w:val="005A3610"/>
    <w:rsid w:val="005B5F4F"/>
    <w:rsid w:val="005C5836"/>
    <w:rsid w:val="005E2F29"/>
    <w:rsid w:val="005F7240"/>
    <w:rsid w:val="006078DE"/>
    <w:rsid w:val="00652D3D"/>
    <w:rsid w:val="006556F4"/>
    <w:rsid w:val="00657815"/>
    <w:rsid w:val="007603E0"/>
    <w:rsid w:val="0080474A"/>
    <w:rsid w:val="00914237"/>
    <w:rsid w:val="00945227"/>
    <w:rsid w:val="00984122"/>
    <w:rsid w:val="00A55BAA"/>
    <w:rsid w:val="00AA17C1"/>
    <w:rsid w:val="00AB3D91"/>
    <w:rsid w:val="00AE7F65"/>
    <w:rsid w:val="00B15656"/>
    <w:rsid w:val="00B60D11"/>
    <w:rsid w:val="00CF090F"/>
    <w:rsid w:val="00D354E9"/>
    <w:rsid w:val="00D75120"/>
    <w:rsid w:val="00E2295B"/>
    <w:rsid w:val="00E46CE8"/>
    <w:rsid w:val="00F960B3"/>
    <w:rsid w:val="00FF788B"/>
    <w:rsid w:val="01763ADA"/>
    <w:rsid w:val="02215739"/>
    <w:rsid w:val="087B3315"/>
    <w:rsid w:val="12586965"/>
    <w:rsid w:val="17A261A4"/>
    <w:rsid w:val="1972603E"/>
    <w:rsid w:val="2B511A0A"/>
    <w:rsid w:val="2D5A6630"/>
    <w:rsid w:val="32DE1B1D"/>
    <w:rsid w:val="334F19C3"/>
    <w:rsid w:val="339B2E6E"/>
    <w:rsid w:val="350917D5"/>
    <w:rsid w:val="36A705D3"/>
    <w:rsid w:val="36D36C44"/>
    <w:rsid w:val="3FFA7CF2"/>
    <w:rsid w:val="43FE2D97"/>
    <w:rsid w:val="4D280DFC"/>
    <w:rsid w:val="527A7D95"/>
    <w:rsid w:val="558271D5"/>
    <w:rsid w:val="5B3748DF"/>
    <w:rsid w:val="5DD55083"/>
    <w:rsid w:val="60720842"/>
    <w:rsid w:val="61BC2178"/>
    <w:rsid w:val="632C10F6"/>
    <w:rsid w:val="673025C4"/>
    <w:rsid w:val="6F0B140F"/>
    <w:rsid w:val="71511212"/>
    <w:rsid w:val="74BB0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pPr>
      <w:spacing w:after="0"/>
    </w:pPr>
    <w:rPr>
      <w:sz w:val="18"/>
      <w:szCs w:val="18"/>
    </w:rPr>
  </w:style>
  <w:style w:type="paragraph" w:styleId="3">
    <w:name w:val="footer"/>
    <w:basedOn w:val="1"/>
    <w:link w:val="9"/>
    <w:unhideWhenUsed/>
    <w:qFormat/>
    <w:uiPriority w:val="99"/>
    <w:pPr>
      <w:tabs>
        <w:tab w:val="center" w:pos="4153"/>
        <w:tab w:val="right" w:pos="8306"/>
      </w:tabs>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semiHidden/>
    <w:qFormat/>
    <w:uiPriority w:val="99"/>
    <w:rPr>
      <w:rFonts w:ascii="Tahoma" w:hAnsi="Tahoma" w:eastAsia="微软雅黑"/>
      <w:sz w:val="18"/>
      <w:szCs w:val="18"/>
    </w:rPr>
  </w:style>
  <w:style w:type="character" w:customStyle="1" w:styleId="9">
    <w:name w:val="页脚 Char"/>
    <w:basedOn w:val="5"/>
    <w:link w:val="3"/>
    <w:qFormat/>
    <w:uiPriority w:val="99"/>
    <w:rPr>
      <w:rFonts w:ascii="Tahoma" w:hAnsi="Tahoma" w:eastAsia="微软雅黑"/>
      <w:sz w:val="18"/>
      <w:szCs w:val="18"/>
    </w:rPr>
  </w:style>
  <w:style w:type="paragraph" w:styleId="10">
    <w:name w:val="List Paragraph"/>
    <w:basedOn w:val="1"/>
    <w:unhideWhenUsed/>
    <w:qFormat/>
    <w:uiPriority w:val="99"/>
    <w:pPr>
      <w:ind w:firstLine="420" w:firstLineChars="200"/>
    </w:pPr>
  </w:style>
  <w:style w:type="character" w:customStyle="1" w:styleId="11">
    <w:name w:val="批注框文本 Char"/>
    <w:basedOn w:val="5"/>
    <w:link w:val="2"/>
    <w:semiHidden/>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E2F88-85C9-451F-AEB3-BD9018FEE4C5}">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10</Pages>
  <Words>712</Words>
  <Characters>4060</Characters>
  <Lines>33</Lines>
  <Paragraphs>9</Paragraphs>
  <TotalTime>7</TotalTime>
  <ScaleCrop>false</ScaleCrop>
  <LinksUpToDate>false</LinksUpToDate>
  <CharactersWithSpaces>4763</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  洋气</cp:lastModifiedBy>
  <cp:lastPrinted>2018-09-28T04:44:00Z</cp:lastPrinted>
  <dcterms:modified xsi:type="dcterms:W3CDTF">2019-02-12T07:45:04Z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