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480" w:lineRule="exact"/>
        <w:jc w:val="center"/>
        <w:rPr>
          <w:rFonts w:ascii="黑体" w:hAnsi="黑体" w:eastAsia="黑体" w:cs="黑体"/>
          <w:b/>
          <w:bCs/>
          <w:sz w:val="40"/>
          <w:szCs w:val="40"/>
        </w:rPr>
      </w:pPr>
      <w:r>
        <w:rPr>
          <w:rFonts w:hint="eastAsia" w:ascii="黑体" w:hAnsi="黑体" w:eastAsia="黑体" w:cs="黑体"/>
          <w:b/>
          <w:bCs/>
          <w:sz w:val="40"/>
          <w:szCs w:val="40"/>
        </w:rPr>
        <w:t>2017年度玛纳斯县兰州湾镇卫生院</w:t>
      </w:r>
    </w:p>
    <w:p>
      <w:pPr>
        <w:widowControl w:val="0"/>
        <w:spacing w:after="0" w:line="480" w:lineRule="exact"/>
        <w:jc w:val="center"/>
        <w:rPr>
          <w:rFonts w:ascii="黑体" w:hAnsi="黑体" w:eastAsia="黑体" w:cs="黑体"/>
          <w:sz w:val="36"/>
          <w:szCs w:val="36"/>
        </w:rPr>
      </w:pPr>
      <w:r>
        <w:rPr>
          <w:rFonts w:hint="eastAsia" w:ascii="黑体" w:hAnsi="黑体" w:eastAsia="黑体" w:cs="黑体"/>
          <w:b/>
          <w:bCs/>
          <w:sz w:val="40"/>
          <w:szCs w:val="40"/>
        </w:rPr>
        <w:t>部门决算公开说明</w:t>
      </w:r>
    </w:p>
    <w:p>
      <w:pPr>
        <w:widowControl w:val="0"/>
        <w:spacing w:line="480" w:lineRule="exact"/>
        <w:ind w:firstLine="600" w:firstLineChars="200"/>
        <w:rPr>
          <w:rFonts w:ascii="仿宋" w:hAnsi="仿宋" w:eastAsia="仿宋" w:cs="仿宋"/>
          <w:sz w:val="30"/>
          <w:szCs w:val="30"/>
        </w:rPr>
      </w:pPr>
    </w:p>
    <w:p>
      <w:pPr>
        <w:widowControl w:val="0"/>
        <w:spacing w:before="100" w:after="0" w:line="480" w:lineRule="exact"/>
        <w:jc w:val="center"/>
        <w:rPr>
          <w:rFonts w:ascii="仿宋" w:hAnsi="仿宋" w:eastAsia="仿宋" w:cs="仿宋"/>
          <w:b/>
          <w:sz w:val="32"/>
          <w:szCs w:val="32"/>
        </w:rPr>
      </w:pPr>
      <w:r>
        <w:rPr>
          <w:rFonts w:hint="eastAsia" w:ascii="仿宋" w:hAnsi="仿宋" w:eastAsia="仿宋" w:cs="仿宋"/>
          <w:b/>
          <w:sz w:val="32"/>
          <w:szCs w:val="32"/>
        </w:rPr>
        <w:t>目录</w:t>
      </w:r>
    </w:p>
    <w:p>
      <w:pPr>
        <w:widowControl w:val="0"/>
        <w:spacing w:line="480" w:lineRule="exact"/>
        <w:ind w:firstLine="640" w:firstLineChars="200"/>
        <w:rPr>
          <w:rFonts w:ascii="仿宋" w:hAnsi="仿宋" w:eastAsia="仿宋" w:cs="仿宋"/>
          <w:sz w:val="32"/>
          <w:szCs w:val="32"/>
        </w:rPr>
      </w:pPr>
    </w:p>
    <w:p>
      <w:pPr>
        <w:widowControl w:val="0"/>
        <w:spacing w:after="0" w:line="480" w:lineRule="exact"/>
        <w:ind w:firstLine="643" w:firstLineChars="200"/>
        <w:rPr>
          <w:rFonts w:ascii="黑体" w:hAnsi="黑体" w:eastAsia="黑体" w:cs="黑体"/>
          <w:b/>
          <w:bCs/>
          <w:sz w:val="32"/>
          <w:szCs w:val="32"/>
        </w:rPr>
      </w:pPr>
      <w:r>
        <w:rPr>
          <w:rFonts w:hint="eastAsia" w:ascii="仿宋" w:hAnsi="仿宋" w:eastAsia="仿宋" w:cs="仿宋"/>
          <w:b/>
          <w:bCs/>
          <w:sz w:val="32"/>
          <w:szCs w:val="32"/>
        </w:rPr>
        <w:t>第一部分　玛纳斯县兰州湾镇卫生院概况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widowControl w:val="0"/>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widowControl w:val="0"/>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　专业名词解释</w:t>
      </w:r>
    </w:p>
    <w:p>
      <w:pPr>
        <w:widowControl w:val="0"/>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第四部分　部门决算报表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widowControl w:val="0"/>
        <w:adjustRightInd/>
        <w:snapToGrid/>
        <w:spacing w:after="0" w:line="480" w:lineRule="exact"/>
        <w:rPr>
          <w:rFonts w:hint="eastAsia" w:ascii="仿宋" w:hAnsi="仿宋" w:eastAsia="仿宋" w:cs="仿宋"/>
          <w:sz w:val="32"/>
          <w:szCs w:val="32"/>
        </w:rPr>
      </w:pPr>
      <w:r>
        <w:rPr>
          <w:rFonts w:ascii="仿宋" w:hAnsi="仿宋" w:eastAsia="仿宋" w:cs="仿宋"/>
          <w:sz w:val="32"/>
          <w:szCs w:val="32"/>
        </w:rPr>
        <w:br w:type="page"/>
      </w:r>
    </w:p>
    <w:p>
      <w:pPr>
        <w:widowControl w:val="0"/>
        <w:adjustRightInd/>
        <w:snapToGrid/>
        <w:spacing w:after="0" w:line="480" w:lineRule="exact"/>
        <w:rPr>
          <w:rFonts w:ascii="仿宋" w:hAnsi="仿宋" w:eastAsia="仿宋" w:cs="仿宋"/>
          <w:sz w:val="32"/>
          <w:szCs w:val="32"/>
        </w:rPr>
      </w:pPr>
    </w:p>
    <w:p>
      <w:pPr>
        <w:widowControl w:val="0"/>
        <w:spacing w:beforeLines="200" w:after="0" w:line="560" w:lineRule="exact"/>
        <w:jc w:val="center"/>
        <w:rPr>
          <w:rFonts w:ascii="黑体" w:hAnsi="黑体" w:eastAsia="黑体" w:cs="黑体"/>
          <w:bCs/>
          <w:sz w:val="32"/>
          <w:szCs w:val="32"/>
        </w:rPr>
      </w:pPr>
      <w:r>
        <w:rPr>
          <w:rFonts w:hint="eastAsia" w:ascii="黑体" w:hAnsi="黑体" w:eastAsia="黑体" w:cs="黑体"/>
          <w:bCs/>
          <w:sz w:val="32"/>
          <w:szCs w:val="32"/>
        </w:rPr>
        <w:t>第一部分　玛纳斯县兰州湾镇卫生院概况</w:t>
      </w:r>
    </w:p>
    <w:p>
      <w:pPr>
        <w:widowControl w:val="0"/>
        <w:spacing w:after="0" w:line="480" w:lineRule="exact"/>
        <w:ind w:firstLine="627" w:firstLineChars="196"/>
        <w:rPr>
          <w:rFonts w:ascii="黑体" w:hAnsi="黑体" w:eastAsia="黑体" w:cs="仿宋"/>
          <w:sz w:val="32"/>
          <w:szCs w:val="32"/>
        </w:rPr>
      </w:pPr>
      <w:r>
        <w:rPr>
          <w:rFonts w:hint="eastAsia" w:ascii="黑体" w:hAnsi="黑体" w:eastAsia="黑体" w:cs="仿宋"/>
          <w:sz w:val="32"/>
          <w:szCs w:val="32"/>
        </w:rPr>
        <w:t>一、主要职能、机构设置及人员情况</w:t>
      </w:r>
    </w:p>
    <w:p>
      <w:pPr>
        <w:widowControl w:val="0"/>
        <w:spacing w:after="0" w:line="480" w:lineRule="exact"/>
        <w:ind w:firstLine="614" w:firstLineChars="196"/>
        <w:rPr>
          <w:rFonts w:ascii="仿宋" w:hAnsi="仿宋" w:eastAsia="仿宋" w:cs="仿宋"/>
          <w:color w:val="000000"/>
          <w:spacing w:val="-4"/>
          <w:sz w:val="32"/>
          <w:szCs w:val="32"/>
        </w:rPr>
      </w:pPr>
      <w:r>
        <w:rPr>
          <w:rFonts w:hint="eastAsia" w:ascii="仿宋" w:hAnsi="仿宋" w:eastAsia="仿宋" w:cs="仿宋"/>
          <w:b/>
          <w:spacing w:val="-4"/>
          <w:sz w:val="32"/>
          <w:szCs w:val="32"/>
        </w:rPr>
        <w:t>（一）主要职能：</w:t>
      </w:r>
      <w:r>
        <w:rPr>
          <w:rFonts w:hint="eastAsia" w:ascii="仿宋" w:hAnsi="仿宋" w:eastAsia="仿宋" w:cs="仿宋"/>
          <w:color w:val="000000"/>
          <w:spacing w:val="-4"/>
          <w:sz w:val="32"/>
          <w:szCs w:val="32"/>
        </w:rPr>
        <w:t>为人民身体健康提供医疗与预防保健服务。常见多发病的诊治护理、康复治疗与护理预防保健，初级卫生保健及合作医疗的组织管理、卫生监督与信息管理，卫生技术人员培训。</w:t>
      </w:r>
    </w:p>
    <w:p>
      <w:pPr>
        <w:widowControl w:val="0"/>
        <w:spacing w:after="0" w:line="480" w:lineRule="exact"/>
        <w:ind w:firstLine="630" w:firstLineChars="196"/>
        <w:rPr>
          <w:rFonts w:ascii="仿宋" w:hAnsi="仿宋" w:eastAsia="仿宋" w:cs="仿宋"/>
          <w:color w:val="000000"/>
          <w:sz w:val="32"/>
          <w:szCs w:val="32"/>
        </w:rPr>
      </w:pPr>
      <w:r>
        <w:rPr>
          <w:rFonts w:hint="eastAsia" w:ascii="仿宋" w:hAnsi="仿宋" w:eastAsia="仿宋" w:cs="仿宋"/>
          <w:b/>
          <w:color w:val="000000"/>
          <w:sz w:val="32"/>
          <w:szCs w:val="32"/>
        </w:rPr>
        <w:t>（二）</w:t>
      </w:r>
      <w:r>
        <w:rPr>
          <w:rFonts w:hint="eastAsia" w:ascii="仿宋" w:hAnsi="仿宋" w:eastAsia="仿宋" w:cs="仿宋"/>
          <w:b/>
          <w:sz w:val="32"/>
          <w:szCs w:val="32"/>
        </w:rPr>
        <w:t>机构设置情况：</w:t>
      </w:r>
      <w:r>
        <w:rPr>
          <w:rFonts w:hint="eastAsia" w:ascii="仿宋" w:hAnsi="仿宋" w:eastAsia="仿宋" w:cs="仿宋"/>
          <w:color w:val="000000"/>
          <w:sz w:val="32"/>
          <w:szCs w:val="32"/>
        </w:rPr>
        <w:t>卫生院内设科室有儿科、中医科、妇科、预防保健科、外科、X光诊断、B超室、心电图、检验室、药房、财务室等科室并下设11个村卫生室，都能开展公共卫生服务项目及新农合及相关工作，严格执行国家基本药物政策。</w:t>
      </w:r>
    </w:p>
    <w:p>
      <w:pPr>
        <w:widowControl w:val="0"/>
        <w:spacing w:after="0" w:line="480" w:lineRule="exact"/>
        <w:ind w:firstLine="630" w:firstLineChars="196"/>
        <w:rPr>
          <w:rFonts w:ascii="仿宋" w:hAnsi="仿宋" w:eastAsia="仿宋" w:cs="仿宋"/>
          <w:sz w:val="32"/>
          <w:szCs w:val="32"/>
        </w:rPr>
      </w:pPr>
      <w:r>
        <w:rPr>
          <w:rFonts w:hint="eastAsia" w:ascii="仿宋" w:hAnsi="仿宋" w:eastAsia="仿宋" w:cs="仿宋"/>
          <w:b/>
          <w:sz w:val="32"/>
          <w:szCs w:val="32"/>
        </w:rPr>
        <w:t>（三）人员编制情况：</w:t>
      </w:r>
      <w:r>
        <w:rPr>
          <w:rFonts w:hint="eastAsia" w:ascii="仿宋" w:hAnsi="仿宋" w:eastAsia="仿宋" w:cs="仿宋"/>
          <w:sz w:val="32"/>
          <w:szCs w:val="32"/>
        </w:rPr>
        <w:t>本单位以属于一级预算单位，财政全额拨款，公益一类事业单位。编制数23人，在职23人，其中管理岗1人，专业技术岗21人，工勤岗1人。实有人数23人。</w:t>
      </w:r>
    </w:p>
    <w:p>
      <w:pPr>
        <w:widowControl w:val="0"/>
        <w:spacing w:after="0" w:line="480" w:lineRule="exact"/>
        <w:ind w:firstLine="627" w:firstLineChars="196"/>
        <w:rPr>
          <w:rFonts w:ascii="黑体" w:hAnsi="黑体" w:eastAsia="黑体" w:cs="仿宋"/>
          <w:sz w:val="32"/>
          <w:szCs w:val="32"/>
        </w:rPr>
      </w:pPr>
      <w:r>
        <w:rPr>
          <w:rFonts w:hint="eastAsia" w:ascii="黑体" w:hAnsi="黑体" w:eastAsia="黑体" w:cs="仿宋"/>
          <w:sz w:val="32"/>
          <w:szCs w:val="32"/>
        </w:rPr>
        <w:t>二、部门决算单位构成：</w:t>
      </w:r>
    </w:p>
    <w:p>
      <w:pPr>
        <w:widowControl w:val="0"/>
        <w:spacing w:after="0" w:line="480" w:lineRule="exact"/>
        <w:ind w:firstLine="627" w:firstLineChars="196"/>
        <w:rPr>
          <w:rFonts w:hint="eastAsia"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6"/>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序号</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单位名称</w:t>
            </w:r>
          </w:p>
        </w:tc>
        <w:tc>
          <w:tcPr>
            <w:tcW w:w="3241"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1</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玛纳斯县兰州湾镇卫生院</w:t>
            </w:r>
          </w:p>
        </w:tc>
        <w:tc>
          <w:tcPr>
            <w:tcW w:w="3241" w:type="dxa"/>
            <w:vAlign w:val="center"/>
          </w:tcPr>
          <w:p>
            <w:pPr>
              <w:widowControl w:val="0"/>
              <w:spacing w:after="0"/>
              <w:jc w:val="center"/>
              <w:rPr>
                <w:rFonts w:ascii="仿宋" w:hAnsi="仿宋" w:eastAsia="仿宋" w:cs="仿宋"/>
                <w:sz w:val="30"/>
                <w:szCs w:val="30"/>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p>
        </w:tc>
        <w:tc>
          <w:tcPr>
            <w:tcW w:w="3815" w:type="dxa"/>
            <w:vAlign w:val="center"/>
          </w:tcPr>
          <w:p>
            <w:pPr>
              <w:widowControl w:val="0"/>
              <w:spacing w:after="0"/>
              <w:jc w:val="center"/>
              <w:rPr>
                <w:rFonts w:ascii="仿宋" w:hAnsi="仿宋" w:eastAsia="仿宋" w:cs="仿宋"/>
                <w:sz w:val="30"/>
                <w:szCs w:val="30"/>
              </w:rPr>
            </w:pPr>
          </w:p>
        </w:tc>
        <w:tc>
          <w:tcPr>
            <w:tcW w:w="3241" w:type="dxa"/>
            <w:vAlign w:val="center"/>
          </w:tcPr>
          <w:p>
            <w:pPr>
              <w:widowControl w:val="0"/>
              <w:spacing w:after="0"/>
              <w:jc w:val="center"/>
              <w:rPr>
                <w:rFonts w:ascii="仿宋" w:hAnsi="仿宋" w:eastAsia="仿宋" w:cs="仿宋"/>
                <w:sz w:val="30"/>
                <w:szCs w:val="30"/>
              </w:rPr>
            </w:pPr>
          </w:p>
        </w:tc>
      </w:tr>
    </w:tbl>
    <w:p>
      <w:pPr>
        <w:widowControl w:val="0"/>
        <w:spacing w:after="0" w:line="480" w:lineRule="exact"/>
        <w:rPr>
          <w:rFonts w:ascii="仿宋" w:hAnsi="仿宋" w:eastAsia="仿宋" w:cs="仿宋"/>
          <w:sz w:val="32"/>
          <w:szCs w:val="32"/>
        </w:rPr>
      </w:pPr>
    </w:p>
    <w:p>
      <w:pPr>
        <w:widowControl w:val="0"/>
        <w:spacing w:beforeLines="100" w:after="0" w:line="560" w:lineRule="exact"/>
        <w:jc w:val="center"/>
        <w:rPr>
          <w:rFonts w:ascii="黑体" w:hAnsi="黑体" w:eastAsia="黑体" w:cs="仿宋"/>
          <w:bCs/>
          <w:sz w:val="32"/>
          <w:szCs w:val="32"/>
        </w:rPr>
      </w:pPr>
      <w:r>
        <w:rPr>
          <w:rFonts w:hint="eastAsia" w:ascii="黑体" w:hAnsi="黑体" w:eastAsia="黑体" w:cs="黑体"/>
          <w:bCs/>
          <w:sz w:val="32"/>
          <w:szCs w:val="32"/>
        </w:rPr>
        <w:t>第二部分　部门决算情况说明</w:t>
      </w:r>
    </w:p>
    <w:p>
      <w:pPr>
        <w:widowControl w:val="0"/>
        <w:spacing w:after="0" w:line="480" w:lineRule="exact"/>
        <w:ind w:firstLine="627" w:firstLineChars="196"/>
        <w:rPr>
          <w:rFonts w:ascii="黑体" w:hAnsi="黑体" w:eastAsia="黑体" w:cs="黑体"/>
          <w:sz w:val="32"/>
          <w:szCs w:val="32"/>
        </w:rPr>
      </w:pPr>
      <w:r>
        <w:rPr>
          <w:rFonts w:hint="eastAsia" w:ascii="黑体" w:hAnsi="黑体" w:eastAsia="黑体" w:cs="黑体"/>
          <w:sz w:val="32"/>
          <w:szCs w:val="32"/>
        </w:rPr>
        <w:t>一、部门收支总体情况</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（一）部门收入支出决算总体情况说明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630.74万元,与上年相比，增加165.32万元，增长35.52%，支出598.76万元,与上年相比，增加167.29万元，增长38.77%，结余31.98万元，与上年相比，减少1.97万元，降低5.8%。增减变化主要原因是：因全民体检上级补助增多，致使全年收入增多，因全民体检，经费支出增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266.20万元，2017年预算支出266.20万元。与预算相比收入增加364.54万元，与预算相比支出增加332.56万元。增减变化主要原因是：因全民体检上级补助增多，致使全年收入增多，因全民体检，经费支出增加；以及年内人员调资等原因。</w:t>
      </w:r>
    </w:p>
    <w:p>
      <w:pPr>
        <w:widowControl w:val="0"/>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（二）部门收入总体情况说明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630.74万元，其中：财政拨款收入284.58万元，占45.2%；上级补助收入257.02万元，占40.74%；事业收入88.74万元，占14%；其他收入0.4万元，占0.06%。增减变化的主要原因是：全民体检上级补助增多，致使全年收入增多。</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2017年预算收入266.20万元，与预算相比收入增加364.54万元，增减变化主要原因是：因全民体检上级补助增加，致使全年收入增加；以及年内人员调资等原因。</w:t>
      </w:r>
    </w:p>
    <w:p>
      <w:pPr>
        <w:widowControl w:val="0"/>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（三）部门支出总体情况说明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598.76万元，其中：基本支出598.76万元，占100%；项目支出0万元，占0%；上缴上级支出0万元，占0%；经营支出0万元，占0%；对附属单位补助支出0万元，占0%。增减变化的主要原因是：因全民体检，经费支出增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2017年预算支出266.20万元。与预算相比支出增加332.56万元。增减变化主要原因是：因全民体检，经费支出增加；以及年内人员调资等原因。</w:t>
      </w:r>
    </w:p>
    <w:p>
      <w:pPr>
        <w:widowControl w:val="0"/>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二、部门财政拨款收支情况</w:t>
      </w:r>
    </w:p>
    <w:p>
      <w:pPr>
        <w:widowControl w:val="0"/>
        <w:spacing w:after="0" w:line="480" w:lineRule="exact"/>
        <w:ind w:firstLine="640" w:firstLineChars="200"/>
        <w:rPr>
          <w:rFonts w:ascii="黑体" w:hAnsi="黑体" w:eastAsia="黑体" w:cs="黑体"/>
          <w:sz w:val="32"/>
          <w:szCs w:val="32"/>
        </w:rPr>
      </w:pPr>
      <w:r>
        <w:rPr>
          <w:rFonts w:hint="eastAsia" w:ascii="黑体" w:hAnsi="黑体" w:eastAsia="黑体" w:cs="黑体"/>
          <w:sz w:val="32"/>
          <w:szCs w:val="32"/>
        </w:rPr>
        <w:t>（一）财政拨款收支总体情况说明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284.58万元，与上年相比减少17.79万元，降低5.88%。增减变化的主要原因是：原事业单位退休人员津贴从2017年开始由社保发放。财政拨款支出284.58万元，与上年相比，减少17.79万元，降低5.88%。其中：基本支出284.58万元，项目支出0万元。增减变化的主要原因是：原事业单位退休人员津贴从2017年开始由社保发放。财政拨款结转结余0万元，与上年相比持平。</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2017年预算财政拨款收入266.2万元，与预算相比财政拨款收入增加18.38万元，增加的主要原因是：年内人员调资等原因导致。</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黑体"/>
          <w:sz w:val="32"/>
          <w:szCs w:val="32"/>
        </w:rPr>
        <w:t>（二）一般公共预算支出决算情况说明</w:t>
      </w:r>
    </w:p>
    <w:p>
      <w:pPr>
        <w:widowControl w:val="0"/>
        <w:spacing w:after="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2017年度一般公共预算财政拨款支出284.58万元。与上年相比，减少17.79万元，降低5.88%。增加的主要原因是：原事业单位退休人员津贴从2017年开始由社保发放。其中：</w:t>
      </w:r>
    </w:p>
    <w:p>
      <w:pPr>
        <w:widowControl w:val="0"/>
        <w:spacing w:after="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按功能分类科目</w:t>
      </w:r>
      <w:r>
        <w:rPr>
          <w:rFonts w:hint="eastAsia" w:ascii="仿宋" w:hAnsi="仿宋" w:eastAsia="仿宋" w:cs="仿宋"/>
          <w:sz w:val="32"/>
          <w:szCs w:val="32"/>
          <w:lang w:eastAsia="zh-CN"/>
        </w:rPr>
        <w:t>：</w:t>
      </w:r>
      <w:r>
        <w:rPr>
          <w:rFonts w:hint="eastAsia" w:ascii="仿宋" w:hAnsi="仿宋" w:eastAsia="仿宋" w:cs="仿宋"/>
          <w:sz w:val="30"/>
          <w:szCs w:val="30"/>
          <w:lang w:val="en-US" w:eastAsia="zh-CN"/>
        </w:rPr>
        <w:t>机关事业单位基本养老保险缴费</w:t>
      </w:r>
      <w:r>
        <w:rPr>
          <w:rFonts w:hint="eastAsia" w:ascii="仿宋" w:hAnsi="仿宋" w:eastAsia="仿宋" w:cs="仿宋"/>
          <w:sz w:val="30"/>
          <w:szCs w:val="30"/>
        </w:rPr>
        <w:t>支出</w:t>
      </w:r>
      <w:r>
        <w:rPr>
          <w:rFonts w:hint="eastAsia" w:ascii="仿宋" w:hAnsi="仿宋" w:eastAsia="仿宋" w:cs="仿宋"/>
          <w:sz w:val="32"/>
          <w:szCs w:val="32"/>
        </w:rPr>
        <w:t>2080505</w:t>
      </w:r>
      <w:r>
        <w:rPr>
          <w:rFonts w:hint="eastAsia" w:ascii="仿宋" w:hAnsi="仿宋" w:eastAsia="仿宋" w:cs="仿宋"/>
          <w:sz w:val="32"/>
          <w:szCs w:val="32"/>
          <w:lang w:eastAsia="zh-CN"/>
        </w:rPr>
        <w:t>款</w:t>
      </w:r>
      <w:r>
        <w:rPr>
          <w:rFonts w:hint="eastAsia" w:ascii="仿宋" w:hAnsi="仿宋" w:eastAsia="仿宋" w:cs="仿宋"/>
          <w:sz w:val="32"/>
          <w:szCs w:val="32"/>
        </w:rPr>
        <w:t>28.71万元，</w:t>
      </w:r>
      <w:r>
        <w:rPr>
          <w:rFonts w:hint="eastAsia" w:ascii="仿宋" w:hAnsi="仿宋" w:eastAsia="仿宋" w:cs="仿宋"/>
          <w:sz w:val="30"/>
          <w:szCs w:val="30"/>
          <w:lang w:val="en-US" w:eastAsia="zh-CN"/>
        </w:rPr>
        <w:t>其他计划生育事务</w:t>
      </w:r>
      <w:r>
        <w:rPr>
          <w:rFonts w:hint="eastAsia" w:ascii="仿宋" w:hAnsi="仿宋" w:eastAsia="仿宋" w:cs="仿宋"/>
          <w:sz w:val="30"/>
          <w:szCs w:val="30"/>
        </w:rPr>
        <w:t>支出</w:t>
      </w:r>
      <w:r>
        <w:rPr>
          <w:rFonts w:hint="eastAsia" w:ascii="仿宋" w:hAnsi="仿宋" w:eastAsia="仿宋" w:cs="仿宋"/>
          <w:sz w:val="32"/>
          <w:szCs w:val="32"/>
        </w:rPr>
        <w:t>2100302</w:t>
      </w:r>
      <w:r>
        <w:rPr>
          <w:rFonts w:hint="eastAsia" w:ascii="仿宋" w:hAnsi="仿宋" w:eastAsia="仿宋" w:cs="仿宋"/>
          <w:sz w:val="32"/>
          <w:szCs w:val="32"/>
          <w:lang w:eastAsia="zh-CN"/>
        </w:rPr>
        <w:t>款</w:t>
      </w:r>
      <w:r>
        <w:rPr>
          <w:rFonts w:hint="eastAsia" w:ascii="仿宋" w:hAnsi="仿宋" w:eastAsia="仿宋" w:cs="仿宋"/>
          <w:sz w:val="32"/>
          <w:szCs w:val="32"/>
        </w:rPr>
        <w:t>255.87万元。</w:t>
      </w:r>
    </w:p>
    <w:p>
      <w:pPr>
        <w:widowControl w:val="0"/>
        <w:spacing w:after="0" w:line="480" w:lineRule="exact"/>
        <w:ind w:firstLine="640" w:firstLineChars="200"/>
        <w:rPr>
          <w:rFonts w:hint="eastAsia" w:ascii="仿宋" w:hAnsi="仿宋" w:eastAsia="仿宋" w:cs="仿宋"/>
          <w:sz w:val="30"/>
          <w:szCs w:val="30"/>
        </w:rPr>
      </w:pPr>
      <w:r>
        <w:rPr>
          <w:rFonts w:hint="eastAsia" w:ascii="仿宋" w:hAnsi="仿宋" w:eastAsia="仿宋" w:cs="仿宋"/>
          <w:sz w:val="32"/>
          <w:szCs w:val="32"/>
        </w:rPr>
        <w:t>按经济分类科目</w:t>
      </w:r>
      <w:r>
        <w:rPr>
          <w:rFonts w:hint="eastAsia" w:ascii="仿宋" w:hAnsi="仿宋" w:eastAsia="仿宋" w:cs="仿宋"/>
          <w:sz w:val="32"/>
          <w:szCs w:val="32"/>
          <w:lang w:eastAsia="zh-CN"/>
        </w:rPr>
        <w:t>：</w:t>
      </w:r>
      <w:r>
        <w:rPr>
          <w:rFonts w:hint="eastAsia" w:ascii="仿宋" w:hAnsi="仿宋" w:eastAsia="仿宋" w:cs="仿宋"/>
          <w:sz w:val="30"/>
          <w:szCs w:val="30"/>
          <w:lang w:eastAsia="zh-CN"/>
        </w:rPr>
        <w:t>工资福利</w:t>
      </w:r>
      <w:r>
        <w:rPr>
          <w:rFonts w:hint="eastAsia" w:ascii="仿宋" w:hAnsi="仿宋" w:eastAsia="仿宋" w:cs="仿宋"/>
          <w:sz w:val="30"/>
          <w:szCs w:val="30"/>
        </w:rPr>
        <w:t>支出</w:t>
      </w:r>
      <w:r>
        <w:rPr>
          <w:rFonts w:hint="eastAsia" w:ascii="仿宋" w:hAnsi="仿宋" w:eastAsia="仿宋" w:cs="仿宋"/>
          <w:sz w:val="30"/>
          <w:szCs w:val="30"/>
          <w:lang w:val="en-US" w:eastAsia="zh-CN"/>
        </w:rPr>
        <w:t>257</w:t>
      </w:r>
      <w:r>
        <w:rPr>
          <w:rFonts w:hint="eastAsia" w:ascii="仿宋" w:hAnsi="仿宋" w:eastAsia="仿宋" w:cs="仿宋"/>
          <w:sz w:val="30"/>
          <w:szCs w:val="30"/>
        </w:rPr>
        <w:t>万元，</w:t>
      </w:r>
      <w:r>
        <w:rPr>
          <w:rFonts w:hint="eastAsia" w:ascii="仿宋" w:hAnsi="仿宋" w:eastAsia="仿宋" w:cs="仿宋"/>
          <w:sz w:val="30"/>
          <w:szCs w:val="30"/>
          <w:lang w:eastAsia="zh-CN"/>
        </w:rPr>
        <w:t>商品与服务</w:t>
      </w:r>
      <w:r>
        <w:rPr>
          <w:rFonts w:hint="eastAsia" w:ascii="仿宋" w:hAnsi="仿宋" w:eastAsia="仿宋" w:cs="仿宋"/>
          <w:sz w:val="30"/>
          <w:szCs w:val="30"/>
        </w:rPr>
        <w:t>支出</w:t>
      </w:r>
      <w:r>
        <w:rPr>
          <w:rFonts w:hint="eastAsia" w:ascii="仿宋" w:hAnsi="仿宋" w:eastAsia="仿宋" w:cs="仿宋"/>
          <w:sz w:val="30"/>
          <w:szCs w:val="30"/>
          <w:lang w:val="en-US" w:eastAsia="zh-CN"/>
        </w:rPr>
        <w:t>24.26</w:t>
      </w:r>
      <w:r>
        <w:rPr>
          <w:rFonts w:hint="eastAsia" w:ascii="仿宋" w:hAnsi="仿宋" w:eastAsia="仿宋" w:cs="仿宋"/>
          <w:sz w:val="30"/>
          <w:szCs w:val="30"/>
        </w:rPr>
        <w:t>万元</w:t>
      </w:r>
      <w:r>
        <w:rPr>
          <w:rFonts w:hint="eastAsia" w:ascii="仿宋" w:hAnsi="仿宋" w:eastAsia="仿宋" w:cs="仿宋"/>
          <w:sz w:val="30"/>
          <w:szCs w:val="30"/>
          <w:lang w:eastAsia="zh-CN"/>
        </w:rPr>
        <w:t>，对个人和家庭补助</w:t>
      </w:r>
      <w:r>
        <w:rPr>
          <w:rFonts w:hint="eastAsia" w:ascii="仿宋" w:hAnsi="仿宋" w:eastAsia="仿宋" w:cs="仿宋"/>
          <w:sz w:val="30"/>
          <w:szCs w:val="30"/>
          <w:lang w:val="en-US" w:eastAsia="zh-CN"/>
        </w:rPr>
        <w:t>3.31</w:t>
      </w:r>
      <w:r>
        <w:rPr>
          <w:rFonts w:hint="eastAsia" w:ascii="仿宋" w:hAnsi="仿宋" w:eastAsia="仿宋" w:cs="仿宋"/>
          <w:sz w:val="30"/>
          <w:szCs w:val="30"/>
          <w:lang w:eastAsia="zh-CN"/>
        </w:rPr>
        <w:t>万元</w:t>
      </w:r>
      <w:r>
        <w:rPr>
          <w:rFonts w:hint="eastAsia" w:ascii="仿宋" w:hAnsi="仿宋" w:eastAsia="仿宋" w:cs="仿宋"/>
          <w:sz w:val="30"/>
          <w:szCs w:val="30"/>
        </w:rPr>
        <w:t>。</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2017年预算一般公共预算支出</w:t>
      </w:r>
      <w:r>
        <w:rPr>
          <w:rFonts w:hint="eastAsia" w:ascii="仿宋" w:hAnsi="仿宋" w:eastAsia="仿宋" w:cs="仿宋"/>
          <w:sz w:val="32"/>
          <w:szCs w:val="32"/>
          <w:lang w:eastAsia="zh-CN"/>
        </w:rPr>
        <w:t>预算</w:t>
      </w:r>
      <w:r>
        <w:rPr>
          <w:rFonts w:hint="eastAsia" w:ascii="仿宋" w:hAnsi="仿宋" w:eastAsia="仿宋" w:cs="仿宋"/>
          <w:sz w:val="32"/>
          <w:szCs w:val="32"/>
        </w:rPr>
        <w:t>266.2</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r>
        <w:rPr>
          <w:rFonts w:hint="eastAsia" w:ascii="仿宋" w:hAnsi="仿宋" w:eastAsia="仿宋" w:cs="仿宋"/>
          <w:sz w:val="32"/>
          <w:szCs w:val="32"/>
          <w:lang w:eastAsia="zh-CN"/>
        </w:rPr>
        <w:t>决算</w:t>
      </w:r>
      <w:r>
        <w:rPr>
          <w:rFonts w:hint="eastAsia" w:ascii="仿宋" w:hAnsi="仿宋" w:eastAsia="仿宋" w:cs="仿宋"/>
          <w:sz w:val="32"/>
          <w:szCs w:val="32"/>
        </w:rPr>
        <w:t>与预算相比增加18.38万元，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6.9%。</w:t>
      </w:r>
      <w:r>
        <w:rPr>
          <w:rFonts w:hint="eastAsia" w:ascii="仿宋" w:hAnsi="仿宋" w:eastAsia="仿宋" w:cs="仿宋"/>
          <w:sz w:val="32"/>
          <w:szCs w:val="32"/>
        </w:rPr>
        <w:t>增加的主要原因是：年内人员调资等原因导致。</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（三）政府性基金预算收支决算情况说明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（四）政府性基金预算支出决算情况说明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仿宋"/>
          <w:sz w:val="32"/>
          <w:szCs w:val="32"/>
        </w:rPr>
        <w:t>三、部门结转结余情况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年末结转结余0万元。与上年持平。</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仿宋"/>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人次。开支内容包括：……。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玛纳斯县兰州湾镇卫生院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ascii="仿宋" w:hAnsi="仿宋" w:eastAsia="仿宋" w:cs="仿宋"/>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五、机关运行经费支出情况</w:t>
      </w:r>
    </w:p>
    <w:p>
      <w:pPr>
        <w:widowControl w:val="0"/>
        <w:spacing w:after="0" w:line="500" w:lineRule="exact"/>
        <w:ind w:firstLine="600" w:firstLineChars="200"/>
        <w:rPr>
          <w:rFonts w:hint="eastAsia" w:ascii="仿宋" w:hAnsi="仿宋" w:eastAsia="仿宋" w:cs="仿宋"/>
          <w:sz w:val="32"/>
          <w:szCs w:val="32"/>
          <w:lang w:eastAsia="zh-CN"/>
        </w:rPr>
      </w:pPr>
      <w:r>
        <w:rPr>
          <w:rFonts w:hint="eastAsia" w:ascii="仿宋" w:hAnsi="仿宋" w:eastAsia="仿宋" w:cs="仿宋"/>
          <w:sz w:val="30"/>
          <w:szCs w:val="30"/>
          <w:lang w:eastAsia="zh-CN"/>
        </w:rPr>
        <w:t>兰州湾卫生院是事业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146.29</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8.6万元，增长6.43%</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人员增加，日常公用经费增加。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六、政府采购情况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无政府采购计划。</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七、其他重要事项的情况</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（一）国有资产占用情况说明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356.68万元，其中：流动资产214.49万元，固定资产142.19万元，其中：房屋0（平方米），价值0万元，共有车辆0辆，价值0万元；单位价值50万元以上通用设备0台（套）、单位价值100万元以上专用设备0台（套），其他固定资产价值0万元。</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（二）国有资产收益征缴情况说明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（三）部门项目支出情况和项目绩效评价情况说明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widowControl w:val="0"/>
        <w:spacing w:beforeLines="100" w:after="0" w:line="560" w:lineRule="exact"/>
        <w:jc w:val="center"/>
        <w:rPr>
          <w:rFonts w:ascii="黑体" w:hAnsi="黑体" w:eastAsia="黑体" w:cs="仿宋"/>
          <w:bCs/>
          <w:sz w:val="32"/>
          <w:szCs w:val="32"/>
        </w:rPr>
      </w:pPr>
      <w:r>
        <w:rPr>
          <w:rFonts w:hint="eastAsia" w:ascii="黑体" w:hAnsi="黑体" w:eastAsia="黑体" w:cs="仿宋"/>
          <w:bCs/>
          <w:sz w:val="32"/>
          <w:szCs w:val="32"/>
        </w:rPr>
        <w:t>第三部分　专业名词解释</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全民健康体检经费：为保障全民健康工作运行用于购买卫生材料、耗材和服务的各项资金，包括办公及印刷费、卫生材料和耗材等其他费用。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widowControl w:val="0"/>
        <w:spacing w:beforeLines="100" w:after="0" w:line="560" w:lineRule="exact"/>
        <w:jc w:val="center"/>
        <w:rPr>
          <w:rFonts w:ascii="黑体" w:hAnsi="黑体" w:eastAsia="黑体" w:cs="仿宋"/>
          <w:bCs/>
          <w:sz w:val="32"/>
          <w:szCs w:val="32"/>
        </w:rPr>
      </w:pPr>
      <w:r>
        <w:rPr>
          <w:rFonts w:hint="eastAsia" w:ascii="黑体" w:hAnsi="黑体" w:eastAsia="黑体" w:cs="仿宋"/>
          <w:bCs/>
          <w:sz w:val="32"/>
          <w:szCs w:val="32"/>
        </w:rPr>
        <w:t>第四部分　部门决算报表（见附表）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二、《收入支出决算总表》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widowControl w:val="0"/>
        <w:spacing w:after="0" w:line="480" w:lineRule="exact"/>
        <w:ind w:firstLine="640" w:firstLineChars="200"/>
        <w:rPr>
          <w:sz w:val="32"/>
          <w:szCs w:val="32"/>
        </w:rPr>
      </w:pPr>
      <w:r>
        <w:rPr>
          <w:rFonts w:hint="eastAsia" w:ascii="仿宋" w:hAnsi="仿宋" w:eastAsia="仿宋" w:cs="仿宋"/>
          <w:sz w:val="32"/>
          <w:szCs w:val="32"/>
        </w:rPr>
        <w:t>三十、《2017年度一般公共预算“三公”经费支出情况表》</w:t>
      </w:r>
    </w:p>
    <w:sectPr>
      <w:pgSz w:w="11906" w:h="16838"/>
      <w:pgMar w:top="1440" w:right="1474" w:bottom="1440" w:left="147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1162FE"/>
    <w:rsid w:val="00150B6E"/>
    <w:rsid w:val="001B7613"/>
    <w:rsid w:val="0023560C"/>
    <w:rsid w:val="003F77DE"/>
    <w:rsid w:val="00472A92"/>
    <w:rsid w:val="005F7240"/>
    <w:rsid w:val="00654122"/>
    <w:rsid w:val="006E21F0"/>
    <w:rsid w:val="006F48E6"/>
    <w:rsid w:val="007603E0"/>
    <w:rsid w:val="008E307C"/>
    <w:rsid w:val="009A0A0C"/>
    <w:rsid w:val="00BF34A7"/>
    <w:rsid w:val="00E928DC"/>
    <w:rsid w:val="00EE16E5"/>
    <w:rsid w:val="00F960B3"/>
    <w:rsid w:val="1261320C"/>
    <w:rsid w:val="2D5A6630"/>
    <w:rsid w:val="350917D5"/>
    <w:rsid w:val="36D36C44"/>
    <w:rsid w:val="3FFA7CF2"/>
    <w:rsid w:val="4125649B"/>
    <w:rsid w:val="4D280DFC"/>
    <w:rsid w:val="4E074B01"/>
    <w:rsid w:val="61BC2178"/>
    <w:rsid w:val="673025C4"/>
    <w:rsid w:val="685669D7"/>
    <w:rsid w:val="6E7900BF"/>
    <w:rsid w:val="70AF6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rFonts w:ascii="Tahoma" w:hAnsi="Tahoma" w:eastAsia="微软雅黑"/>
      <w:sz w:val="18"/>
      <w:szCs w:val="18"/>
    </w:rPr>
  </w:style>
  <w:style w:type="character" w:customStyle="1" w:styleId="8">
    <w:name w:val="页脚 Char"/>
    <w:basedOn w:val="4"/>
    <w:link w:val="2"/>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710</Words>
  <Characters>4053</Characters>
  <Lines>33</Lines>
  <Paragraphs>9</Paragraphs>
  <TotalTime>3</TotalTime>
  <ScaleCrop>false</ScaleCrop>
  <LinksUpToDate>false</LinksUpToDate>
  <CharactersWithSpaces>4754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2019-02-12T07:44:02Z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