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附件</w:t>
      </w:r>
      <w:r>
        <w:rPr>
          <w:rFonts w:ascii="仿宋" w:hAnsi="仿宋" w:eastAsia="仿宋" w:cs="仿宋"/>
          <w:b/>
          <w:bCs/>
          <w:sz w:val="30"/>
          <w:szCs w:val="30"/>
        </w:rPr>
        <w:t>1</w:t>
      </w:r>
      <w:r>
        <w:rPr>
          <w:rFonts w:hint="eastAsia" w:ascii="仿宋" w:hAnsi="仿宋" w:eastAsia="仿宋" w:cs="仿宋"/>
          <w:b/>
          <w:bCs/>
          <w:sz w:val="30"/>
          <w:szCs w:val="30"/>
        </w:rPr>
        <w:t>：</w:t>
      </w:r>
      <w:r>
        <w:rPr>
          <w:rFonts w:ascii="仿宋" w:hAnsi="仿宋" w:eastAsia="仿宋" w:cs="仿宋"/>
          <w:b/>
          <w:bCs/>
          <w:sz w:val="30"/>
          <w:szCs w:val="30"/>
        </w:rPr>
        <w:t xml:space="preserve"> </w:t>
      </w: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w:t>
      </w:r>
      <w:r>
        <w:rPr>
          <w:rFonts w:hint="eastAsia" w:ascii="仿宋" w:hAnsi="仿宋" w:eastAsia="仿宋" w:cs="仿宋"/>
          <w:sz w:val="36"/>
          <w:szCs w:val="36"/>
          <w:lang w:eastAsia="zh-CN"/>
        </w:rPr>
        <w:t>种子监督管理站</w:t>
      </w:r>
      <w:r>
        <w:rPr>
          <w:rFonts w:hint="eastAsia" w:ascii="仿宋" w:hAnsi="仿宋" w:eastAsia="仿宋" w:cs="仿宋"/>
          <w:sz w:val="36"/>
          <w:szCs w:val="36"/>
        </w:rPr>
        <w:t>决算公开说明</w:t>
      </w:r>
      <w:r>
        <w:rPr>
          <w:rFonts w:ascii="仿宋" w:hAnsi="仿宋" w:eastAsia="仿宋" w:cs="仿宋"/>
          <w:sz w:val="36"/>
          <w:szCs w:val="36"/>
        </w:rPr>
        <w:t xml:space="preserve">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农业综合</w:t>
      </w:r>
      <w:r>
        <w:rPr>
          <w:rFonts w:hint="eastAsia" w:ascii="仿宋" w:hAnsi="仿宋" w:eastAsia="仿宋" w:cs="仿宋"/>
          <w:b/>
          <w:bCs/>
          <w:sz w:val="30"/>
          <w:szCs w:val="30"/>
          <w:lang w:eastAsia="zh-CN"/>
        </w:rPr>
        <w:t>种子监督管理站</w:t>
      </w:r>
      <w:r>
        <w:rPr>
          <w:rFonts w:hint="eastAsia" w:ascii="仿宋" w:hAnsi="仿宋" w:eastAsia="仿宋" w:cs="仿宋"/>
          <w:b/>
          <w:bCs/>
          <w:sz w:val="30"/>
          <w:szCs w:val="30"/>
        </w:rPr>
        <w:t>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1</w:t>
      </w:r>
      <w:r>
        <w:rPr>
          <w:rFonts w:hint="eastAsia" w:ascii="仿宋" w:hAnsi="仿宋" w:eastAsia="仿宋" w:cs="仿宋"/>
          <w:sz w:val="30"/>
          <w:szCs w:val="30"/>
        </w:rPr>
        <w:t>、履行种子法律法规赋予的职能</w:t>
      </w:r>
      <w:r>
        <w:rPr>
          <w:rFonts w:ascii="仿宋" w:hAnsi="仿宋" w:eastAsia="仿宋" w:cs="仿宋"/>
          <w:sz w:val="30"/>
          <w:szCs w:val="30"/>
        </w:rPr>
        <w:t>,</w:t>
      </w:r>
      <w:r>
        <w:rPr>
          <w:rFonts w:hint="eastAsia" w:ascii="仿宋" w:hAnsi="仿宋" w:eastAsia="仿宋" w:cs="仿宋"/>
          <w:sz w:val="30"/>
          <w:szCs w:val="30"/>
        </w:rPr>
        <w:t>执行种子管理的方针政策。</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w:t>
      </w:r>
      <w:r>
        <w:rPr>
          <w:rFonts w:hint="eastAsia" w:ascii="仿宋" w:hAnsi="仿宋" w:eastAsia="仿宋" w:cs="仿宋"/>
          <w:sz w:val="30"/>
          <w:szCs w:val="30"/>
        </w:rPr>
        <w:t>、制定并组织实施种子推广。</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（二）内设机构</w:t>
      </w:r>
    </w:p>
    <w:p>
      <w:pPr>
        <w:spacing w:after="0" w:line="520" w:lineRule="exact"/>
        <w:ind w:firstLine="600" w:firstLineChars="200"/>
        <w:rPr>
          <w:rFonts w:hint="eastAsia" w:ascii="仿宋" w:hAnsi="仿宋" w:eastAsia="仿宋" w:cs="仿宋"/>
          <w:b w:val="0"/>
          <w:bCs/>
          <w:sz w:val="32"/>
          <w:szCs w:val="32"/>
          <w:lang w:val="en-US" w:eastAsia="zh-CN"/>
        </w:rPr>
      </w:pPr>
      <w:r>
        <w:rPr>
          <w:rFonts w:hint="eastAsia" w:ascii="仿宋" w:hAnsi="仿宋" w:eastAsia="仿宋" w:cs="仿宋"/>
          <w:sz w:val="30"/>
          <w:szCs w:val="30"/>
        </w:rPr>
        <w:t>玛纳斯县种子监督管理站属公益一类事业单位，参照公务员管理。</w:t>
      </w:r>
      <w:r>
        <w:rPr>
          <w:rFonts w:hint="eastAsia" w:ascii="仿宋" w:hAnsi="仿宋" w:eastAsia="仿宋" w:cs="仿宋"/>
          <w:b w:val="0"/>
          <w:bCs/>
          <w:sz w:val="32"/>
          <w:szCs w:val="32"/>
          <w:lang w:val="en-US" w:eastAsia="zh-CN"/>
        </w:rPr>
        <w:t>内设综合业务办、农产品监管办。</w:t>
      </w:r>
    </w:p>
    <w:p>
      <w:pPr>
        <w:spacing w:after="0" w:line="520" w:lineRule="exact"/>
        <w:ind w:firstLine="640" w:firstLineChars="200"/>
        <w:rPr>
          <w:rFonts w:ascii="仿宋" w:hAnsi="仿宋" w:eastAsia="仿宋" w:cs="仿宋"/>
          <w:sz w:val="30"/>
          <w:szCs w:val="30"/>
        </w:rPr>
      </w:pPr>
      <w:r>
        <w:rPr>
          <w:rFonts w:hint="eastAsia" w:ascii="仿宋" w:hAnsi="仿宋" w:eastAsia="仿宋" w:cs="仿宋"/>
          <w:sz w:val="32"/>
          <w:szCs w:val="32"/>
        </w:rPr>
        <w:t>（三</w:t>
      </w:r>
      <w:r>
        <w:rPr>
          <w:rFonts w:hint="eastAsia" w:ascii="仿宋" w:hAnsi="仿宋" w:eastAsia="仿宋" w:cs="仿宋"/>
          <w:sz w:val="30"/>
          <w:szCs w:val="30"/>
        </w:rPr>
        <w:t>）人员编制</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编制6人，年初实有人数5人，本年度调入1人，年末在职人数6人，</w:t>
      </w:r>
      <w:r>
        <w:rPr>
          <w:rFonts w:hint="eastAsia" w:ascii="仿宋" w:hAnsi="仿宋" w:eastAsia="仿宋" w:cs="仿宋"/>
          <w:bCs/>
          <w:sz w:val="32"/>
          <w:szCs w:val="32"/>
        </w:rPr>
        <w:t>退休人员2人。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line="220"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从决算单位构成看，玛纳斯县</w:t>
      </w:r>
      <w:r>
        <w:rPr>
          <w:rFonts w:hint="eastAsia" w:ascii="仿宋" w:hAnsi="仿宋" w:eastAsia="仿宋" w:cs="仿宋"/>
          <w:sz w:val="30"/>
          <w:szCs w:val="30"/>
          <w:lang w:eastAsia="zh-CN"/>
        </w:rPr>
        <w:t>种子监督管理站</w:t>
      </w:r>
      <w:r>
        <w:rPr>
          <w:rFonts w:hint="eastAsia" w:ascii="仿宋" w:hAnsi="仿宋" w:eastAsia="仿宋" w:cs="仿宋"/>
          <w:sz w:val="30"/>
          <w:szCs w:val="30"/>
        </w:rPr>
        <w:t>决算只包括本部门决算。</w:t>
      </w:r>
    </w:p>
    <w:p>
      <w:pPr>
        <w:spacing w:line="22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纳入</w:t>
      </w:r>
      <w:r>
        <w:rPr>
          <w:rFonts w:hint="eastAsia" w:ascii="仿宋" w:hAnsi="仿宋" w:eastAsia="仿宋" w:cs="仿宋"/>
          <w:sz w:val="30"/>
          <w:szCs w:val="30"/>
        </w:rPr>
        <w:t>玛纳斯县</w:t>
      </w:r>
      <w:r>
        <w:rPr>
          <w:rFonts w:hint="eastAsia" w:ascii="仿宋" w:hAnsi="仿宋" w:eastAsia="仿宋" w:cs="仿宋"/>
          <w:sz w:val="30"/>
          <w:szCs w:val="30"/>
          <w:lang w:eastAsia="zh-CN"/>
        </w:rPr>
        <w:t>种子监督管理站</w:t>
      </w:r>
      <w:r>
        <w:rPr>
          <w:rFonts w:hint="eastAsia" w:ascii="仿宋_GB2312" w:hAnsi="仿宋_GB2312" w:eastAsia="仿宋_GB2312" w:cs="仿宋_GB2312"/>
          <w:sz w:val="30"/>
          <w:szCs w:val="30"/>
          <w:lang w:val="en-US" w:eastAsia="zh-CN"/>
        </w:rPr>
        <w:t>2017</w:t>
      </w:r>
      <w:r>
        <w:rPr>
          <w:rFonts w:hint="eastAsia" w:ascii="仿宋_GB2312" w:hAnsi="仿宋_GB2312" w:eastAsia="仿宋_GB2312" w:cs="仿宋_GB2312"/>
          <w:sz w:val="30"/>
          <w:szCs w:val="30"/>
        </w:rPr>
        <w:t xml:space="preserve">年部门决算编制范围的单位名单见下表： </w:t>
      </w:r>
    </w:p>
    <w:p>
      <w:pPr>
        <w:spacing w:after="0" w:line="520" w:lineRule="exact"/>
        <w:ind w:firstLine="600" w:firstLineChars="200"/>
        <w:rPr>
          <w:rFonts w:hint="eastAsia" w:ascii="仿宋" w:hAnsi="仿宋" w:eastAsia="仿宋" w:cs="仿宋"/>
          <w:sz w:val="30"/>
          <w:szCs w:val="30"/>
          <w:lang w:val="en-US" w:eastAsia="zh-CN"/>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widowControl w:val="0"/>
              <w:spacing w:line="22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序号</w:t>
            </w:r>
          </w:p>
        </w:tc>
        <w:tc>
          <w:tcPr>
            <w:tcW w:w="2131" w:type="dxa"/>
          </w:tcPr>
          <w:p>
            <w:pPr>
              <w:widowControl w:val="0"/>
              <w:spacing w:line="22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单位名称</w:t>
            </w:r>
          </w:p>
        </w:tc>
        <w:tc>
          <w:tcPr>
            <w:tcW w:w="2131" w:type="dxa"/>
          </w:tcPr>
          <w:p>
            <w:pPr>
              <w:widowControl w:val="0"/>
              <w:spacing w:line="22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备注</w:t>
            </w:r>
          </w:p>
        </w:tc>
        <w:tc>
          <w:tcPr>
            <w:tcW w:w="2130" w:type="dxa"/>
          </w:tcPr>
          <w:p>
            <w:pPr>
              <w:widowControl w:val="0"/>
              <w:spacing w:line="220" w:lineRule="atLeast"/>
              <w:jc w:val="center"/>
              <w:rPr>
                <w:rFonts w:hint="eastAsia"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widowControl w:val="0"/>
              <w:spacing w:line="22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2131" w:type="dxa"/>
          </w:tcPr>
          <w:p>
            <w:pPr>
              <w:widowControl w:val="0"/>
              <w:spacing w:line="220" w:lineRule="atLeast"/>
              <w:jc w:val="center"/>
              <w:rPr>
                <w:rFonts w:hint="eastAsia" w:ascii="仿宋_GB2312" w:hAnsi="仿宋_GB2312" w:eastAsia="仿宋_GB2312" w:cs="仿宋_GB2312"/>
                <w:sz w:val="30"/>
                <w:szCs w:val="30"/>
              </w:rPr>
            </w:pPr>
            <w:r>
              <w:rPr>
                <w:rFonts w:hint="eastAsia" w:ascii="仿宋" w:hAnsi="仿宋" w:eastAsia="仿宋" w:cs="仿宋"/>
                <w:sz w:val="30"/>
                <w:szCs w:val="30"/>
              </w:rPr>
              <w:t>玛纳斯县</w:t>
            </w:r>
            <w:r>
              <w:rPr>
                <w:rFonts w:hint="eastAsia" w:ascii="仿宋" w:hAnsi="仿宋" w:eastAsia="仿宋" w:cs="仿宋"/>
                <w:sz w:val="30"/>
                <w:szCs w:val="30"/>
                <w:lang w:eastAsia="zh-CN"/>
              </w:rPr>
              <w:t>种子监督管理站</w:t>
            </w:r>
            <w:r>
              <w:rPr>
                <w:rFonts w:hint="eastAsia" w:ascii="仿宋_GB2312" w:hAnsi="仿宋_GB2312" w:eastAsia="仿宋_GB2312" w:cs="仿宋_GB2312"/>
                <w:sz w:val="30"/>
                <w:szCs w:val="30"/>
              </w:rPr>
              <w:t>本级</w:t>
            </w:r>
          </w:p>
        </w:tc>
        <w:tc>
          <w:tcPr>
            <w:tcW w:w="2131" w:type="dxa"/>
          </w:tcPr>
          <w:p>
            <w:pPr>
              <w:widowControl w:val="0"/>
              <w:spacing w:line="220" w:lineRule="atLeast"/>
              <w:jc w:val="center"/>
              <w:rPr>
                <w:rFonts w:hint="eastAsia" w:ascii="仿宋_GB2312" w:hAnsi="仿宋_GB2312" w:eastAsia="仿宋_GB2312" w:cs="仿宋_GB2312"/>
                <w:sz w:val="30"/>
                <w:szCs w:val="30"/>
              </w:rPr>
            </w:pPr>
          </w:p>
        </w:tc>
        <w:tc>
          <w:tcPr>
            <w:tcW w:w="2130" w:type="dxa"/>
          </w:tcPr>
          <w:p>
            <w:pPr>
              <w:widowControl w:val="0"/>
              <w:spacing w:line="220" w:lineRule="atLeast"/>
              <w:jc w:val="center"/>
              <w:rPr>
                <w:rFonts w:hint="eastAsia"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widowControl w:val="0"/>
              <w:spacing w:line="220" w:lineRule="atLeast"/>
              <w:jc w:val="center"/>
              <w:rPr>
                <w:rFonts w:hint="eastAsia" w:ascii="仿宋_GB2312" w:hAnsi="仿宋_GB2312" w:eastAsia="仿宋_GB2312" w:cs="仿宋_GB2312"/>
                <w:sz w:val="30"/>
                <w:szCs w:val="30"/>
              </w:rPr>
            </w:pPr>
          </w:p>
        </w:tc>
        <w:tc>
          <w:tcPr>
            <w:tcW w:w="2131" w:type="dxa"/>
          </w:tcPr>
          <w:p>
            <w:pPr>
              <w:widowControl w:val="0"/>
              <w:spacing w:line="220" w:lineRule="atLeast"/>
              <w:jc w:val="center"/>
              <w:rPr>
                <w:rFonts w:hint="eastAsia" w:ascii="仿宋_GB2312" w:hAnsi="仿宋_GB2312" w:eastAsia="仿宋_GB2312" w:cs="仿宋_GB2312"/>
                <w:sz w:val="30"/>
                <w:szCs w:val="30"/>
              </w:rPr>
            </w:pPr>
          </w:p>
        </w:tc>
        <w:tc>
          <w:tcPr>
            <w:tcW w:w="2131" w:type="dxa"/>
          </w:tcPr>
          <w:p>
            <w:pPr>
              <w:widowControl w:val="0"/>
              <w:spacing w:line="220" w:lineRule="atLeast"/>
              <w:jc w:val="center"/>
              <w:rPr>
                <w:rFonts w:hint="eastAsia" w:ascii="仿宋_GB2312" w:hAnsi="仿宋_GB2312" w:eastAsia="仿宋_GB2312" w:cs="仿宋_GB2312"/>
                <w:sz w:val="30"/>
                <w:szCs w:val="30"/>
              </w:rPr>
            </w:pPr>
          </w:p>
        </w:tc>
        <w:tc>
          <w:tcPr>
            <w:tcW w:w="2130" w:type="dxa"/>
          </w:tcPr>
          <w:p>
            <w:pPr>
              <w:widowControl w:val="0"/>
              <w:spacing w:line="220" w:lineRule="atLeast"/>
              <w:jc w:val="center"/>
              <w:rPr>
                <w:rFonts w:hint="eastAsia" w:ascii="仿宋_GB2312" w:hAnsi="仿宋_GB2312" w:eastAsia="仿宋_GB2312" w:cs="仿宋_GB2312"/>
                <w:sz w:val="30"/>
                <w:szCs w:val="30"/>
              </w:rPr>
            </w:pPr>
          </w:p>
        </w:tc>
      </w:tr>
    </w:tbl>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77.36</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10.65</w:t>
      </w:r>
      <w:r>
        <w:rPr>
          <w:rFonts w:hint="eastAsia" w:ascii="仿宋" w:hAnsi="仿宋" w:eastAsia="仿宋" w:cs="仿宋"/>
          <w:sz w:val="30"/>
          <w:szCs w:val="30"/>
        </w:rPr>
        <w:t>万元，增长</w:t>
      </w:r>
      <w:r>
        <w:rPr>
          <w:rFonts w:ascii="仿宋" w:hAnsi="仿宋" w:eastAsia="仿宋" w:cs="仿宋"/>
          <w:sz w:val="30"/>
          <w:szCs w:val="30"/>
        </w:rPr>
        <w:t>15.97%</w:t>
      </w:r>
      <w:r>
        <w:rPr>
          <w:rFonts w:hint="eastAsia" w:ascii="仿宋" w:hAnsi="仿宋" w:eastAsia="仿宋" w:cs="仿宋"/>
          <w:sz w:val="30"/>
          <w:szCs w:val="30"/>
        </w:rPr>
        <w:t>，支出</w:t>
      </w:r>
      <w:r>
        <w:rPr>
          <w:rFonts w:ascii="仿宋" w:hAnsi="仿宋" w:eastAsia="仿宋" w:cs="仿宋"/>
          <w:sz w:val="30"/>
          <w:szCs w:val="30"/>
        </w:rPr>
        <w:t>77.36</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10.65</w:t>
      </w:r>
      <w:r>
        <w:rPr>
          <w:rFonts w:hint="eastAsia" w:ascii="仿宋" w:hAnsi="仿宋" w:eastAsia="仿宋" w:cs="仿宋"/>
          <w:sz w:val="30"/>
          <w:szCs w:val="30"/>
        </w:rPr>
        <w:t>万元，增长</w:t>
      </w:r>
      <w:r>
        <w:rPr>
          <w:rFonts w:ascii="仿宋" w:hAnsi="仿宋" w:eastAsia="仿宋" w:cs="仿宋"/>
          <w:sz w:val="30"/>
          <w:szCs w:val="30"/>
        </w:rPr>
        <w:t>15.97%</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%。增加的主要原因是：人员增加，增资。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与预算相比情况。决算支出</w:t>
      </w:r>
      <w:r>
        <w:rPr>
          <w:rFonts w:ascii="仿宋" w:hAnsi="仿宋" w:eastAsia="仿宋" w:cs="仿宋"/>
          <w:sz w:val="30"/>
          <w:szCs w:val="30"/>
        </w:rPr>
        <w:t>77.36</w:t>
      </w:r>
      <w:r>
        <w:rPr>
          <w:rFonts w:hint="eastAsia" w:ascii="仿宋" w:hAnsi="仿宋" w:eastAsia="仿宋" w:cs="仿宋"/>
          <w:sz w:val="30"/>
          <w:szCs w:val="30"/>
        </w:rPr>
        <w:t>万元，预算支出</w:t>
      </w:r>
      <w:r>
        <w:rPr>
          <w:rFonts w:ascii="仿宋" w:hAnsi="仿宋" w:eastAsia="仿宋" w:cs="仿宋"/>
          <w:sz w:val="30"/>
          <w:szCs w:val="30"/>
        </w:rPr>
        <w:t>67.29</w:t>
      </w:r>
      <w:r>
        <w:rPr>
          <w:rFonts w:hint="eastAsia" w:ascii="仿宋" w:hAnsi="仿宋" w:eastAsia="仿宋" w:cs="仿宋"/>
          <w:sz w:val="30"/>
          <w:szCs w:val="30"/>
        </w:rPr>
        <w:t>万元，相差</w:t>
      </w:r>
      <w:r>
        <w:rPr>
          <w:rFonts w:ascii="仿宋" w:hAnsi="仿宋" w:eastAsia="仿宋" w:cs="仿宋"/>
          <w:sz w:val="30"/>
          <w:szCs w:val="30"/>
        </w:rPr>
        <w:t>10.07</w:t>
      </w:r>
      <w:r>
        <w:rPr>
          <w:rFonts w:hint="eastAsia" w:ascii="仿宋" w:hAnsi="仿宋" w:eastAsia="仿宋" w:cs="仿宋"/>
          <w:sz w:val="30"/>
          <w:szCs w:val="30"/>
        </w:rPr>
        <w:t>万元，决算收入和支出大于预算的原因为：增加</w:t>
      </w:r>
      <w:r>
        <w:rPr>
          <w:rFonts w:ascii="仿宋" w:hAnsi="仿宋" w:eastAsia="仿宋" w:cs="仿宋"/>
          <w:sz w:val="30"/>
          <w:szCs w:val="30"/>
        </w:rPr>
        <w:t>1</w:t>
      </w:r>
      <w:r>
        <w:rPr>
          <w:rFonts w:hint="eastAsia" w:ascii="仿宋" w:hAnsi="仿宋" w:eastAsia="仿宋" w:cs="仿宋"/>
          <w:sz w:val="30"/>
          <w:szCs w:val="30"/>
        </w:rPr>
        <w:t>人，人员经费增加。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77.36</w:t>
      </w:r>
      <w:r>
        <w:rPr>
          <w:rFonts w:hint="eastAsia" w:ascii="仿宋" w:hAnsi="仿宋" w:eastAsia="仿宋" w:cs="仿宋"/>
          <w:sz w:val="30"/>
          <w:szCs w:val="30"/>
        </w:rPr>
        <w:t>万元，比上年增加</w:t>
      </w:r>
      <w:r>
        <w:rPr>
          <w:rFonts w:ascii="仿宋" w:hAnsi="仿宋" w:eastAsia="仿宋" w:cs="仿宋"/>
          <w:sz w:val="30"/>
          <w:szCs w:val="30"/>
        </w:rPr>
        <w:t>10.65</w:t>
      </w:r>
      <w:r>
        <w:rPr>
          <w:rFonts w:hint="eastAsia" w:ascii="仿宋" w:hAnsi="仿宋" w:eastAsia="仿宋" w:cs="仿宋"/>
          <w:sz w:val="30"/>
          <w:szCs w:val="30"/>
        </w:rPr>
        <w:t>万元，其中：财政拨款收入</w:t>
      </w:r>
      <w:r>
        <w:rPr>
          <w:rFonts w:ascii="仿宋" w:hAnsi="仿宋" w:eastAsia="仿宋" w:cs="仿宋"/>
          <w:sz w:val="30"/>
          <w:szCs w:val="30"/>
        </w:rPr>
        <w:t>77.36</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，比上年增加</w:t>
      </w:r>
      <w:r>
        <w:rPr>
          <w:rFonts w:ascii="仿宋" w:hAnsi="仿宋" w:eastAsia="仿宋" w:cs="仿宋"/>
          <w:sz w:val="30"/>
          <w:szCs w:val="30"/>
        </w:rPr>
        <w:t>10.65</w:t>
      </w:r>
      <w:r>
        <w:rPr>
          <w:rFonts w:hint="eastAsia" w:ascii="仿宋" w:hAnsi="仿宋" w:eastAsia="仿宋" w:cs="仿宋"/>
          <w:sz w:val="30"/>
          <w:szCs w:val="30"/>
        </w:rPr>
        <w:t>万元；上级补助收入</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；事业收入</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；经营收入</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；附属单位缴款</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；其他收入</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。增加的主要原因是：人员增加，增资。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与预算相比情况。决算收入</w:t>
      </w:r>
      <w:r>
        <w:rPr>
          <w:rFonts w:ascii="仿宋" w:hAnsi="仿宋" w:eastAsia="仿宋" w:cs="仿宋"/>
          <w:sz w:val="30"/>
          <w:szCs w:val="30"/>
        </w:rPr>
        <w:t>77.36</w:t>
      </w:r>
      <w:r>
        <w:rPr>
          <w:rFonts w:hint="eastAsia" w:ascii="仿宋" w:hAnsi="仿宋" w:eastAsia="仿宋" w:cs="仿宋"/>
          <w:sz w:val="30"/>
          <w:szCs w:val="30"/>
        </w:rPr>
        <w:t>万元，预算收入</w:t>
      </w:r>
      <w:r>
        <w:rPr>
          <w:rFonts w:ascii="仿宋" w:hAnsi="仿宋" w:eastAsia="仿宋" w:cs="仿宋"/>
          <w:sz w:val="30"/>
          <w:szCs w:val="30"/>
        </w:rPr>
        <w:t>67.29</w:t>
      </w:r>
      <w:r>
        <w:rPr>
          <w:rFonts w:hint="eastAsia" w:ascii="仿宋" w:hAnsi="仿宋" w:eastAsia="仿宋" w:cs="仿宋"/>
          <w:sz w:val="30"/>
          <w:szCs w:val="30"/>
        </w:rPr>
        <w:t>万元，相差</w:t>
      </w:r>
      <w:r>
        <w:rPr>
          <w:rFonts w:ascii="仿宋" w:hAnsi="仿宋" w:eastAsia="仿宋" w:cs="仿宋"/>
          <w:sz w:val="30"/>
          <w:szCs w:val="30"/>
        </w:rPr>
        <w:t>10.07</w:t>
      </w:r>
      <w:r>
        <w:rPr>
          <w:rFonts w:hint="eastAsia" w:ascii="仿宋" w:hAnsi="仿宋" w:eastAsia="仿宋" w:cs="仿宋"/>
          <w:sz w:val="30"/>
          <w:szCs w:val="30"/>
        </w:rPr>
        <w:t>万元，决算收入大于预算的原因为：人员增加，增资。</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77.36</w:t>
      </w:r>
      <w:r>
        <w:rPr>
          <w:rFonts w:hint="eastAsia" w:ascii="仿宋" w:hAnsi="仿宋" w:eastAsia="仿宋" w:cs="仿宋"/>
          <w:sz w:val="30"/>
          <w:szCs w:val="30"/>
        </w:rPr>
        <w:t>万元，其中：基本支出</w:t>
      </w:r>
      <w:r>
        <w:rPr>
          <w:rFonts w:ascii="仿宋" w:hAnsi="仿宋" w:eastAsia="仿宋" w:cs="仿宋"/>
          <w:sz w:val="30"/>
          <w:szCs w:val="30"/>
        </w:rPr>
        <w:t>77.36</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；项目支出</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；上缴上级支出</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；经营支出</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，对附属单位补助支出</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占</w:t>
      </w:r>
      <w:r>
        <w:rPr>
          <w:rFonts w:ascii="仿宋" w:hAnsi="仿宋" w:eastAsia="仿宋" w:cs="仿宋"/>
          <w:sz w:val="30"/>
          <w:szCs w:val="30"/>
        </w:rPr>
        <w:t>0%</w:t>
      </w:r>
      <w:r>
        <w:rPr>
          <w:rFonts w:hint="eastAsia" w:ascii="仿宋" w:hAnsi="仿宋" w:eastAsia="仿宋" w:cs="仿宋"/>
          <w:sz w:val="30"/>
          <w:szCs w:val="30"/>
        </w:rPr>
        <w:t>。增减变化的主要原因是：人员增加，增资。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与预算相比情况。决算支出</w:t>
      </w:r>
      <w:r>
        <w:rPr>
          <w:rFonts w:ascii="仿宋" w:hAnsi="仿宋" w:eastAsia="仿宋" w:cs="仿宋"/>
          <w:sz w:val="30"/>
          <w:szCs w:val="30"/>
        </w:rPr>
        <w:t>77.36</w:t>
      </w:r>
      <w:r>
        <w:rPr>
          <w:rFonts w:hint="eastAsia" w:ascii="仿宋" w:hAnsi="仿宋" w:eastAsia="仿宋" w:cs="仿宋"/>
          <w:sz w:val="30"/>
          <w:szCs w:val="30"/>
        </w:rPr>
        <w:t>万元，预算支出</w:t>
      </w:r>
      <w:r>
        <w:rPr>
          <w:rFonts w:ascii="仿宋" w:hAnsi="仿宋" w:eastAsia="仿宋" w:cs="仿宋"/>
          <w:sz w:val="30"/>
          <w:szCs w:val="30"/>
        </w:rPr>
        <w:t>67.29</w:t>
      </w:r>
      <w:r>
        <w:rPr>
          <w:rFonts w:hint="eastAsia" w:ascii="仿宋" w:hAnsi="仿宋" w:eastAsia="仿宋" w:cs="仿宋"/>
          <w:sz w:val="30"/>
          <w:szCs w:val="30"/>
        </w:rPr>
        <w:t>万元，相差</w:t>
      </w:r>
      <w:r>
        <w:rPr>
          <w:rFonts w:ascii="仿宋" w:hAnsi="仿宋" w:eastAsia="仿宋" w:cs="仿宋"/>
          <w:sz w:val="30"/>
          <w:szCs w:val="30"/>
        </w:rPr>
        <w:t>10.07</w:t>
      </w:r>
      <w:r>
        <w:rPr>
          <w:rFonts w:hint="eastAsia" w:ascii="仿宋" w:hAnsi="仿宋" w:eastAsia="仿宋" w:cs="仿宋"/>
          <w:sz w:val="30"/>
          <w:szCs w:val="30"/>
        </w:rPr>
        <w:t>万元，决算支出大于预算的原因为：人员增加，增资。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77.36</w:t>
      </w:r>
      <w:r>
        <w:rPr>
          <w:rFonts w:hint="eastAsia" w:ascii="仿宋" w:hAnsi="仿宋" w:eastAsia="仿宋" w:cs="仿宋"/>
          <w:sz w:val="30"/>
          <w:szCs w:val="30"/>
        </w:rPr>
        <w:t>万元，与上年相比，增加</w:t>
      </w:r>
      <w:r>
        <w:rPr>
          <w:rFonts w:ascii="仿宋" w:hAnsi="仿宋" w:eastAsia="仿宋" w:cs="仿宋"/>
          <w:sz w:val="30"/>
          <w:szCs w:val="30"/>
        </w:rPr>
        <w:t>10.65</w:t>
      </w:r>
      <w:r>
        <w:rPr>
          <w:rFonts w:hint="eastAsia" w:ascii="仿宋" w:hAnsi="仿宋" w:eastAsia="仿宋" w:cs="仿宋"/>
          <w:sz w:val="30"/>
          <w:szCs w:val="30"/>
        </w:rPr>
        <w:t>万元，增长</w:t>
      </w:r>
      <w:r>
        <w:rPr>
          <w:rFonts w:ascii="仿宋" w:hAnsi="仿宋" w:eastAsia="仿宋" w:cs="仿宋"/>
          <w:sz w:val="30"/>
          <w:szCs w:val="30"/>
        </w:rPr>
        <w:t>15.97%</w:t>
      </w:r>
      <w:r>
        <w:rPr>
          <w:rFonts w:hint="eastAsia" w:ascii="仿宋" w:hAnsi="仿宋" w:eastAsia="仿宋" w:cs="仿宋"/>
          <w:sz w:val="30"/>
          <w:szCs w:val="30"/>
        </w:rPr>
        <w:t>。增加的主要原因是：人员增加，增资。财政拨款支出</w:t>
      </w:r>
      <w:r>
        <w:rPr>
          <w:rFonts w:ascii="仿宋" w:hAnsi="仿宋" w:eastAsia="仿宋" w:cs="仿宋"/>
          <w:sz w:val="30"/>
          <w:szCs w:val="30"/>
        </w:rPr>
        <w:t>77.36</w:t>
      </w:r>
      <w:r>
        <w:rPr>
          <w:rFonts w:hint="eastAsia" w:ascii="仿宋" w:hAnsi="仿宋" w:eastAsia="仿宋" w:cs="仿宋"/>
          <w:sz w:val="30"/>
          <w:szCs w:val="30"/>
        </w:rPr>
        <w:t>万元，与上年相比，增加</w:t>
      </w:r>
      <w:r>
        <w:rPr>
          <w:rFonts w:ascii="仿宋" w:hAnsi="仿宋" w:eastAsia="仿宋" w:cs="仿宋"/>
          <w:sz w:val="30"/>
          <w:szCs w:val="30"/>
        </w:rPr>
        <w:t>10.65</w:t>
      </w:r>
      <w:r>
        <w:rPr>
          <w:rFonts w:hint="eastAsia" w:ascii="仿宋" w:hAnsi="仿宋" w:eastAsia="仿宋" w:cs="仿宋"/>
          <w:sz w:val="30"/>
          <w:szCs w:val="30"/>
        </w:rPr>
        <w:t>万元，增长</w:t>
      </w:r>
      <w:r>
        <w:rPr>
          <w:rFonts w:ascii="仿宋" w:hAnsi="仿宋" w:eastAsia="仿宋" w:cs="仿宋"/>
          <w:sz w:val="30"/>
          <w:szCs w:val="30"/>
        </w:rPr>
        <w:t>15.97%</w:t>
      </w:r>
      <w:r>
        <w:rPr>
          <w:rFonts w:hint="eastAsia" w:ascii="仿宋" w:hAnsi="仿宋" w:eastAsia="仿宋" w:cs="仿宋"/>
          <w:sz w:val="30"/>
          <w:szCs w:val="30"/>
        </w:rPr>
        <w:t>。其中：基本支出</w:t>
      </w:r>
      <w:r>
        <w:rPr>
          <w:rFonts w:ascii="仿宋" w:hAnsi="仿宋" w:eastAsia="仿宋" w:cs="仿宋"/>
          <w:sz w:val="30"/>
          <w:szCs w:val="30"/>
        </w:rPr>
        <w:t>77.36</w:t>
      </w:r>
      <w:r>
        <w:rPr>
          <w:rFonts w:hint="eastAsia" w:ascii="仿宋" w:hAnsi="仿宋" w:eastAsia="仿宋" w:cs="仿宋"/>
          <w:sz w:val="30"/>
          <w:szCs w:val="30"/>
        </w:rPr>
        <w:t>万元，项目支出</w:t>
      </w:r>
      <w:r>
        <w:rPr>
          <w:rFonts w:ascii="仿宋" w:hAnsi="仿宋" w:eastAsia="仿宋" w:cs="仿宋"/>
          <w:sz w:val="30"/>
          <w:szCs w:val="30"/>
        </w:rPr>
        <w:t>0</w:t>
      </w:r>
      <w:r>
        <w:rPr>
          <w:rFonts w:hint="eastAsia" w:ascii="仿宋" w:hAnsi="仿宋" w:eastAsia="仿宋" w:cs="仿宋"/>
          <w:sz w:val="30"/>
          <w:szCs w:val="30"/>
        </w:rPr>
        <w:t>万元。增加的主要原因是：人员增加，增资。财政拨款结转结余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与预算相比情况。决算收入</w:t>
      </w:r>
      <w:r>
        <w:rPr>
          <w:rFonts w:ascii="仿宋" w:hAnsi="仿宋" w:eastAsia="仿宋" w:cs="仿宋"/>
          <w:sz w:val="30"/>
          <w:szCs w:val="30"/>
        </w:rPr>
        <w:t>77.36</w:t>
      </w:r>
      <w:r>
        <w:rPr>
          <w:rFonts w:hint="eastAsia" w:ascii="仿宋" w:hAnsi="仿宋" w:eastAsia="仿宋" w:cs="仿宋"/>
          <w:sz w:val="30"/>
          <w:szCs w:val="30"/>
        </w:rPr>
        <w:t>万元，预算收入</w:t>
      </w:r>
      <w:r>
        <w:rPr>
          <w:rFonts w:ascii="仿宋" w:hAnsi="仿宋" w:eastAsia="仿宋" w:cs="仿宋"/>
          <w:sz w:val="30"/>
          <w:szCs w:val="30"/>
        </w:rPr>
        <w:t>67.29</w:t>
      </w:r>
      <w:r>
        <w:rPr>
          <w:rFonts w:hint="eastAsia" w:ascii="仿宋" w:hAnsi="仿宋" w:eastAsia="仿宋" w:cs="仿宋"/>
          <w:sz w:val="30"/>
          <w:szCs w:val="30"/>
        </w:rPr>
        <w:t>万元，相差</w:t>
      </w:r>
      <w:r>
        <w:rPr>
          <w:rFonts w:ascii="仿宋" w:hAnsi="仿宋" w:eastAsia="仿宋" w:cs="仿宋"/>
          <w:sz w:val="30"/>
          <w:szCs w:val="30"/>
        </w:rPr>
        <w:t>10.07</w:t>
      </w:r>
      <w:r>
        <w:rPr>
          <w:rFonts w:hint="eastAsia" w:ascii="仿宋" w:hAnsi="仿宋" w:eastAsia="仿宋" w:cs="仿宋"/>
          <w:sz w:val="30"/>
          <w:szCs w:val="30"/>
        </w:rPr>
        <w:t>万元。决算支出</w:t>
      </w:r>
      <w:r>
        <w:rPr>
          <w:rFonts w:ascii="仿宋" w:hAnsi="仿宋" w:eastAsia="仿宋" w:cs="仿宋"/>
          <w:sz w:val="30"/>
          <w:szCs w:val="30"/>
        </w:rPr>
        <w:t>77.36</w:t>
      </w:r>
      <w:r>
        <w:rPr>
          <w:rFonts w:hint="eastAsia" w:ascii="仿宋" w:hAnsi="仿宋" w:eastAsia="仿宋" w:cs="仿宋"/>
          <w:sz w:val="30"/>
          <w:szCs w:val="30"/>
        </w:rPr>
        <w:t>万元，预算支出</w:t>
      </w:r>
      <w:r>
        <w:rPr>
          <w:rFonts w:ascii="仿宋" w:hAnsi="仿宋" w:eastAsia="仿宋" w:cs="仿宋"/>
          <w:sz w:val="30"/>
          <w:szCs w:val="30"/>
        </w:rPr>
        <w:t>67.29</w:t>
      </w:r>
      <w:r>
        <w:rPr>
          <w:rFonts w:hint="eastAsia" w:ascii="仿宋" w:hAnsi="仿宋" w:eastAsia="仿宋" w:cs="仿宋"/>
          <w:sz w:val="30"/>
          <w:szCs w:val="30"/>
        </w:rPr>
        <w:t>万元，相差</w:t>
      </w:r>
      <w:r>
        <w:rPr>
          <w:rFonts w:ascii="仿宋" w:hAnsi="仿宋" w:eastAsia="仿宋" w:cs="仿宋"/>
          <w:sz w:val="30"/>
          <w:szCs w:val="30"/>
        </w:rPr>
        <w:t>10.07</w:t>
      </w:r>
      <w:r>
        <w:rPr>
          <w:rFonts w:hint="eastAsia" w:ascii="仿宋" w:hAnsi="仿宋" w:eastAsia="仿宋" w:cs="仿宋"/>
          <w:sz w:val="30"/>
          <w:szCs w:val="30"/>
        </w:rPr>
        <w:t>万元，决算收入和支出大于预算原因为：人员增加，增资。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77.36</w:t>
      </w:r>
      <w:r>
        <w:rPr>
          <w:rFonts w:hint="eastAsia" w:ascii="仿宋" w:hAnsi="仿宋" w:eastAsia="仿宋" w:cs="仿宋"/>
          <w:sz w:val="30"/>
          <w:szCs w:val="30"/>
        </w:rPr>
        <w:t>万元。与上年相比，增加</w:t>
      </w:r>
      <w:r>
        <w:rPr>
          <w:rFonts w:ascii="仿宋" w:hAnsi="仿宋" w:eastAsia="仿宋" w:cs="仿宋"/>
          <w:sz w:val="30"/>
          <w:szCs w:val="30"/>
        </w:rPr>
        <w:t>10.65</w:t>
      </w:r>
      <w:r>
        <w:rPr>
          <w:rFonts w:hint="eastAsia" w:ascii="仿宋" w:hAnsi="仿宋" w:eastAsia="仿宋" w:cs="仿宋"/>
          <w:sz w:val="30"/>
          <w:szCs w:val="30"/>
        </w:rPr>
        <w:t>万元，增长</w:t>
      </w:r>
      <w:r>
        <w:rPr>
          <w:rFonts w:ascii="仿宋" w:hAnsi="仿宋" w:eastAsia="仿宋" w:cs="仿宋"/>
          <w:sz w:val="30"/>
          <w:szCs w:val="30"/>
        </w:rPr>
        <w:t>15.97%</w:t>
      </w:r>
      <w:r>
        <w:rPr>
          <w:rFonts w:hint="eastAsia" w:ascii="仿宋" w:hAnsi="仿宋" w:eastAsia="仿宋" w:cs="仿宋"/>
          <w:sz w:val="30"/>
          <w:szCs w:val="30"/>
        </w:rPr>
        <w:t>。增加的主要原因是：人员增加，增资。其中：按功能分类科目，社会保障和就业支出</w:t>
      </w:r>
      <w:r>
        <w:rPr>
          <w:rFonts w:ascii="仿宋" w:hAnsi="仿宋" w:eastAsia="仿宋" w:cs="仿宋"/>
          <w:sz w:val="30"/>
          <w:szCs w:val="30"/>
        </w:rPr>
        <w:t>9.1</w:t>
      </w:r>
      <w:r>
        <w:rPr>
          <w:rFonts w:hint="eastAsia" w:ascii="仿宋" w:hAnsi="仿宋" w:eastAsia="仿宋" w:cs="仿宋"/>
          <w:sz w:val="30"/>
          <w:szCs w:val="30"/>
        </w:rPr>
        <w:t>万元，农林水支出</w:t>
      </w:r>
      <w:r>
        <w:rPr>
          <w:rFonts w:ascii="仿宋" w:hAnsi="仿宋" w:eastAsia="仿宋" w:cs="仿宋"/>
          <w:sz w:val="30"/>
          <w:szCs w:val="30"/>
        </w:rPr>
        <w:t>68.26</w:t>
      </w:r>
      <w:r>
        <w:rPr>
          <w:rFonts w:hint="eastAsia" w:ascii="仿宋" w:hAnsi="仿宋" w:eastAsia="仿宋" w:cs="仿宋"/>
          <w:sz w:val="30"/>
          <w:szCs w:val="30"/>
        </w:rPr>
        <w:t>万元。按经济分类科目，基本支出</w:t>
      </w:r>
      <w:r>
        <w:rPr>
          <w:rFonts w:ascii="仿宋" w:hAnsi="仿宋" w:eastAsia="仿宋" w:cs="仿宋"/>
          <w:sz w:val="30"/>
          <w:szCs w:val="30"/>
        </w:rPr>
        <w:t>77.36</w:t>
      </w:r>
      <w:r>
        <w:rPr>
          <w:rFonts w:hint="eastAsia" w:ascii="仿宋" w:hAnsi="仿宋" w:eastAsia="仿宋" w:cs="仿宋"/>
          <w:sz w:val="30"/>
          <w:szCs w:val="30"/>
        </w:rPr>
        <w:t>万元，项目支出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2017</w:t>
      </w:r>
      <w:r>
        <w:rPr>
          <w:rFonts w:hint="eastAsia" w:ascii="仿宋" w:hAnsi="仿宋" w:eastAsia="仿宋" w:cs="仿宋"/>
          <w:sz w:val="30"/>
          <w:szCs w:val="30"/>
        </w:rPr>
        <w:t>年度一般公共预算财政拨款收入</w:t>
      </w:r>
      <w:r>
        <w:rPr>
          <w:rFonts w:ascii="仿宋" w:hAnsi="仿宋" w:eastAsia="仿宋" w:cs="仿宋"/>
          <w:sz w:val="30"/>
          <w:szCs w:val="30"/>
        </w:rPr>
        <w:t>77.36</w:t>
      </w:r>
      <w:r>
        <w:rPr>
          <w:rFonts w:hint="eastAsia" w:ascii="仿宋" w:hAnsi="仿宋" w:eastAsia="仿宋" w:cs="仿宋"/>
          <w:sz w:val="30"/>
          <w:szCs w:val="30"/>
        </w:rPr>
        <w:t>万元。与预算数相比，增加</w:t>
      </w:r>
      <w:r>
        <w:rPr>
          <w:rFonts w:ascii="仿宋" w:hAnsi="仿宋" w:eastAsia="仿宋" w:cs="仿宋"/>
          <w:sz w:val="30"/>
          <w:szCs w:val="30"/>
        </w:rPr>
        <w:t>10.07</w:t>
      </w:r>
      <w:r>
        <w:rPr>
          <w:rFonts w:hint="eastAsia" w:ascii="仿宋" w:hAnsi="仿宋" w:eastAsia="仿宋" w:cs="仿宋"/>
          <w:sz w:val="30"/>
          <w:szCs w:val="30"/>
        </w:rPr>
        <w:t>万元。增加的主要原因是：人员增加，增资。其中：按功能分类科目，社会保障和就业支出</w:t>
      </w:r>
      <w:r>
        <w:rPr>
          <w:rFonts w:ascii="仿宋" w:hAnsi="仿宋" w:eastAsia="仿宋" w:cs="仿宋"/>
          <w:sz w:val="30"/>
          <w:szCs w:val="30"/>
        </w:rPr>
        <w:t>9.1</w:t>
      </w:r>
      <w:r>
        <w:rPr>
          <w:rFonts w:hint="eastAsia" w:ascii="仿宋" w:hAnsi="仿宋" w:eastAsia="仿宋" w:cs="仿宋"/>
          <w:sz w:val="30"/>
          <w:szCs w:val="30"/>
        </w:rPr>
        <w:t>万元，农林水支出</w:t>
      </w:r>
      <w:r>
        <w:rPr>
          <w:rFonts w:ascii="仿宋" w:hAnsi="仿宋" w:eastAsia="仿宋" w:cs="仿宋"/>
          <w:sz w:val="30"/>
          <w:szCs w:val="30"/>
        </w:rPr>
        <w:t>68.26</w:t>
      </w:r>
      <w:r>
        <w:rPr>
          <w:rFonts w:hint="eastAsia" w:ascii="仿宋" w:hAnsi="仿宋" w:eastAsia="仿宋" w:cs="仿宋"/>
          <w:sz w:val="30"/>
          <w:szCs w:val="30"/>
        </w:rPr>
        <w:t>万元。按经济分类科目，基本支出</w:t>
      </w:r>
      <w:r>
        <w:rPr>
          <w:rFonts w:ascii="仿宋" w:hAnsi="仿宋" w:eastAsia="仿宋" w:cs="仿宋"/>
          <w:sz w:val="30"/>
          <w:szCs w:val="30"/>
        </w:rPr>
        <w:t>77.36</w:t>
      </w:r>
      <w:r>
        <w:rPr>
          <w:rFonts w:hint="eastAsia" w:ascii="仿宋" w:hAnsi="仿宋" w:eastAsia="仿宋" w:cs="仿宋"/>
          <w:sz w:val="30"/>
          <w:szCs w:val="30"/>
        </w:rPr>
        <w:t>万元，项目支出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。其中：按功能分类科目，</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%，增加（减少）原因是</w:t>
      </w:r>
      <w:r>
        <w:rPr>
          <w:rFonts w:hint="eastAsia" w:ascii="仿宋" w:hAnsi="仿宋" w:eastAsia="仿宋" w:cs="仿宋"/>
          <w:sz w:val="30"/>
          <w:szCs w:val="30"/>
          <w:lang w:eastAsia="zh-CN"/>
        </w:rPr>
        <w:t>本单位无公务用车</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%，增加（减少）原因是</w:t>
      </w:r>
      <w:r>
        <w:rPr>
          <w:rFonts w:hint="eastAsia" w:ascii="仿宋" w:hAnsi="仿宋" w:eastAsia="仿宋" w:cs="仿宋"/>
          <w:sz w:val="30"/>
          <w:szCs w:val="30"/>
          <w:lang w:eastAsia="zh-CN"/>
        </w:rPr>
        <w:t>本单位无公务用车</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本</w:t>
      </w:r>
      <w:r>
        <w:rPr>
          <w:rFonts w:hint="eastAsia" w:ascii="仿宋" w:hAnsi="仿宋" w:eastAsia="仿宋" w:cs="仿宋"/>
          <w:sz w:val="30"/>
          <w:szCs w:val="30"/>
        </w:rPr>
        <w:t>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本</w:t>
      </w:r>
      <w:r>
        <w:rPr>
          <w:rFonts w:hint="eastAsia" w:ascii="仿宋" w:hAnsi="仿宋" w:eastAsia="仿宋" w:cs="仿宋"/>
          <w:sz w:val="30"/>
          <w:szCs w:val="30"/>
        </w:rPr>
        <w:t>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：本单位无“三公”经费支出，预算为</w:t>
      </w:r>
      <w:r>
        <w:rPr>
          <w:rFonts w:hint="eastAsia" w:ascii="仿宋" w:hAnsi="仿宋" w:eastAsia="仿宋" w:cs="仿宋"/>
          <w:sz w:val="30"/>
          <w:szCs w:val="30"/>
          <w:lang w:val="en-US" w:eastAsia="zh-CN"/>
        </w:rPr>
        <w:t>0万元，决算与预算一致。</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年度农业综合</w:t>
      </w:r>
      <w:r>
        <w:rPr>
          <w:rFonts w:hint="eastAsia" w:ascii="仿宋" w:hAnsi="仿宋" w:eastAsia="仿宋" w:cs="仿宋"/>
          <w:sz w:val="30"/>
          <w:szCs w:val="30"/>
          <w:lang w:eastAsia="zh-CN"/>
        </w:rPr>
        <w:t>种子监督管理站</w:t>
      </w:r>
      <w:r>
        <w:rPr>
          <w:rFonts w:hint="eastAsia" w:ascii="仿宋" w:hAnsi="仿宋" w:eastAsia="仿宋" w:cs="仿宋"/>
          <w:sz w:val="30"/>
          <w:szCs w:val="30"/>
        </w:rPr>
        <w:t>机关运行经费支出</w:t>
      </w:r>
      <w:r>
        <w:rPr>
          <w:rFonts w:ascii="仿宋" w:hAnsi="仿宋" w:eastAsia="仿宋" w:cs="仿宋"/>
          <w:sz w:val="30"/>
          <w:szCs w:val="30"/>
        </w:rPr>
        <w:t>1.27</w:t>
      </w:r>
      <w:r>
        <w:rPr>
          <w:rFonts w:hint="eastAsia" w:ascii="仿宋" w:hAnsi="仿宋" w:eastAsia="仿宋" w:cs="仿宋"/>
          <w:sz w:val="30"/>
          <w:szCs w:val="30"/>
        </w:rPr>
        <w:t>万元，比上年增加</w:t>
      </w:r>
      <w:r>
        <w:rPr>
          <w:rFonts w:ascii="仿宋" w:hAnsi="仿宋" w:eastAsia="仿宋" w:cs="仿宋"/>
          <w:sz w:val="30"/>
          <w:szCs w:val="30"/>
        </w:rPr>
        <w:t>0.64</w:t>
      </w:r>
      <w:r>
        <w:rPr>
          <w:rFonts w:hint="eastAsia" w:ascii="仿宋" w:hAnsi="仿宋" w:eastAsia="仿宋" w:cs="仿宋"/>
          <w:sz w:val="30"/>
          <w:szCs w:val="30"/>
        </w:rPr>
        <w:t>万元，增加</w:t>
      </w:r>
      <w:r>
        <w:rPr>
          <w:rFonts w:ascii="仿宋" w:hAnsi="仿宋" w:eastAsia="仿宋" w:cs="仿宋"/>
          <w:sz w:val="30"/>
          <w:szCs w:val="30"/>
        </w:rPr>
        <w:t>101.59%</w:t>
      </w:r>
      <w:r>
        <w:rPr>
          <w:rFonts w:hint="eastAsia" w:ascii="仿宋" w:hAnsi="仿宋" w:eastAsia="仿宋" w:cs="仿宋"/>
          <w:sz w:val="30"/>
          <w:szCs w:val="30"/>
        </w:rPr>
        <w:t>，主要原因是本年度调入</w:t>
      </w:r>
      <w:r>
        <w:rPr>
          <w:rFonts w:ascii="仿宋" w:hAnsi="仿宋" w:eastAsia="仿宋" w:cs="仿宋"/>
          <w:sz w:val="30"/>
          <w:szCs w:val="30"/>
        </w:rPr>
        <w:t>1</w:t>
      </w:r>
      <w:r>
        <w:rPr>
          <w:rFonts w:hint="eastAsia" w:ascii="仿宋" w:hAnsi="仿宋" w:eastAsia="仿宋" w:cs="仿宋"/>
          <w:sz w:val="30"/>
          <w:szCs w:val="30"/>
        </w:rPr>
        <w:t>人，经费增加。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玛纳斯县种子站</w:t>
      </w:r>
      <w:r>
        <w:rPr>
          <w:rFonts w:hint="eastAsia" w:ascii="仿宋" w:hAnsi="仿宋" w:eastAsia="仿宋" w:cs="仿宋"/>
          <w:sz w:val="30"/>
          <w:szCs w:val="30"/>
        </w:rPr>
        <w:t>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72.45</w:t>
      </w:r>
      <w:r>
        <w:rPr>
          <w:rFonts w:hint="eastAsia" w:ascii="仿宋" w:hAnsi="仿宋" w:eastAsia="仿宋" w:cs="仿宋"/>
          <w:sz w:val="30"/>
          <w:szCs w:val="30"/>
        </w:rPr>
        <w:t>万元，其中：流动资产</w:t>
      </w:r>
      <w:r>
        <w:rPr>
          <w:rFonts w:ascii="仿宋" w:hAnsi="仿宋" w:eastAsia="仿宋" w:cs="仿宋"/>
          <w:sz w:val="30"/>
          <w:szCs w:val="30"/>
        </w:rPr>
        <w:t>69.88</w:t>
      </w:r>
      <w:r>
        <w:rPr>
          <w:rFonts w:hint="eastAsia" w:ascii="仿宋" w:hAnsi="仿宋" w:eastAsia="仿宋" w:cs="仿宋"/>
          <w:sz w:val="30"/>
          <w:szCs w:val="30"/>
        </w:rPr>
        <w:t>万元，固定资产</w:t>
      </w:r>
      <w:r>
        <w:rPr>
          <w:rFonts w:ascii="仿宋" w:hAnsi="仿宋" w:eastAsia="仿宋" w:cs="仿宋"/>
          <w:sz w:val="30"/>
          <w:szCs w:val="30"/>
        </w:rPr>
        <w:t>2.57</w:t>
      </w:r>
      <w:r>
        <w:rPr>
          <w:rFonts w:hint="eastAsia" w:ascii="仿宋" w:hAnsi="仿宋" w:eastAsia="仿宋" w:cs="仿宋"/>
          <w:sz w:val="30"/>
          <w:szCs w:val="30"/>
        </w:rPr>
        <w:t>万元，其中</w:t>
      </w:r>
      <w:r>
        <w:rPr>
          <w:rFonts w:hint="eastAsia" w:ascii="仿宋" w:hAnsi="仿宋" w:eastAsia="仿宋" w:cs="仿宋"/>
          <w:sz w:val="30"/>
          <w:szCs w:val="30"/>
          <w:lang w:eastAsia="zh-CN"/>
        </w:rPr>
        <w:t>：</w:t>
      </w:r>
      <w:r>
        <w:rPr>
          <w:rFonts w:hint="eastAsia" w:ascii="仿宋" w:hAnsi="仿宋" w:eastAsia="仿宋" w:cs="仿宋"/>
          <w:sz w:val="30"/>
          <w:szCs w:val="30"/>
        </w:rPr>
        <w:t>房屋</w:t>
      </w:r>
      <w:r>
        <w:rPr>
          <w:rFonts w:hint="eastAsia" w:ascii="仿宋" w:hAnsi="仿宋" w:eastAsia="仿宋" w:cs="仿宋"/>
          <w:sz w:val="30"/>
          <w:szCs w:val="30"/>
          <w:lang w:val="en-US" w:eastAsia="zh-CN"/>
        </w:rPr>
        <w:t>0</w:t>
      </w:r>
      <w:r>
        <w:rPr>
          <w:rFonts w:hint="eastAsia" w:ascii="仿宋" w:hAnsi="仿宋" w:eastAsia="仿宋" w:cs="仿宋"/>
          <w:sz w:val="30"/>
          <w:szCs w:val="30"/>
        </w:rPr>
        <w:t>（平方米），价值</w:t>
      </w:r>
      <w:r>
        <w:rPr>
          <w:rFonts w:hint="eastAsia" w:ascii="仿宋" w:hAnsi="仿宋" w:eastAsia="仿宋" w:cs="仿宋"/>
          <w:sz w:val="30"/>
          <w:szCs w:val="30"/>
          <w:lang w:val="en-US" w:eastAsia="zh-CN"/>
        </w:rPr>
        <w:t>0</w:t>
      </w:r>
      <w:r>
        <w:rPr>
          <w:rFonts w:hint="eastAsia" w:ascii="仿宋" w:hAnsi="仿宋" w:eastAsia="仿宋" w:cs="仿宋"/>
          <w:sz w:val="30"/>
          <w:szCs w:val="30"/>
        </w:rPr>
        <w:t>万元，共有车辆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辆，价值</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辆（其他用车主要是：</w:t>
      </w:r>
      <w:r>
        <w:rPr>
          <w:rFonts w:hint="eastAsia" w:ascii="仿宋" w:hAnsi="仿宋" w:eastAsia="仿宋" w:cs="仿宋"/>
          <w:sz w:val="30"/>
          <w:szCs w:val="30"/>
          <w:lang w:eastAsia="zh-CN"/>
        </w:rPr>
        <w:t>无</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台（套）。其他固定资产价值</w:t>
      </w:r>
      <w:r>
        <w:rPr>
          <w:rFonts w:hint="eastAsia" w:ascii="仿宋" w:hAnsi="仿宋" w:eastAsia="仿宋" w:cs="仿宋"/>
          <w:sz w:val="30"/>
          <w:szCs w:val="30"/>
          <w:lang w:val="en-US" w:eastAsia="zh-CN"/>
        </w:rPr>
        <w:t>2.57</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w:t>
      </w:r>
      <w:r>
        <w:rPr>
          <w:rFonts w:hint="eastAsia" w:ascii="仿宋" w:hAnsi="仿宋" w:eastAsia="仿宋" w:cs="仿宋"/>
          <w:sz w:val="30"/>
          <w:szCs w:val="30"/>
          <w:lang w:eastAsia="zh-CN"/>
        </w:rPr>
        <w:t>玛纳斯县种子站</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玛纳斯县种子站</w:t>
      </w:r>
      <w:r>
        <w:rPr>
          <w:rFonts w:hint="eastAsia" w:ascii="仿宋" w:hAnsi="仿宋" w:eastAsia="仿宋" w:cs="仿宋"/>
          <w:sz w:val="30"/>
          <w:szCs w:val="30"/>
        </w:rPr>
        <w:t xml:space="preserve">实行绩效管理的项目 </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无其他有关说明内容。</w:t>
      </w:r>
      <w:r>
        <w:rPr>
          <w:rFonts w:ascii="仿宋" w:hAnsi="仿宋" w:eastAsia="仿宋" w:cs="仿宋"/>
          <w:sz w:val="30"/>
          <w:szCs w:val="30"/>
        </w:rPr>
        <w:t xml:space="preserve"> </w:t>
      </w:r>
      <w:bookmarkStart w:id="0" w:name="_GoBack"/>
      <w:bookmarkEnd w:id="0"/>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本单位支出功能分类说明：</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2080505机关事业单位基本养老保险缴费支出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指反映机关事业单位实施养老保险制度由单位缴纳的基本养老保险支出。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2130104事业运行：</w:t>
      </w:r>
      <w:r>
        <w:rPr>
          <w:rFonts w:hint="eastAsia" w:ascii="仿宋" w:hAnsi="仿宋" w:eastAsia="仿宋" w:cs="仿宋"/>
          <w:sz w:val="30"/>
          <w:szCs w:val="30"/>
          <w:lang w:val="en-US" w:eastAsia="zh-CN"/>
        </w:rPr>
        <w:t>指农业事业单位基本支出。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80F3C52" w:usb2="00000016" w:usb3="00000000" w:csb0="0004001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930C5"/>
    <w:rsid w:val="000B1C15"/>
    <w:rsid w:val="00146C76"/>
    <w:rsid w:val="00197CB3"/>
    <w:rsid w:val="0023560C"/>
    <w:rsid w:val="00243D28"/>
    <w:rsid w:val="00314E07"/>
    <w:rsid w:val="00392759"/>
    <w:rsid w:val="00455DC9"/>
    <w:rsid w:val="00472A92"/>
    <w:rsid w:val="004A5483"/>
    <w:rsid w:val="005F7240"/>
    <w:rsid w:val="00681FE8"/>
    <w:rsid w:val="006960F6"/>
    <w:rsid w:val="006E664A"/>
    <w:rsid w:val="007603E0"/>
    <w:rsid w:val="007C0704"/>
    <w:rsid w:val="008E3646"/>
    <w:rsid w:val="00961D50"/>
    <w:rsid w:val="00A171F2"/>
    <w:rsid w:val="00A72138"/>
    <w:rsid w:val="00A74EE9"/>
    <w:rsid w:val="00B31542"/>
    <w:rsid w:val="00BF6F0C"/>
    <w:rsid w:val="00C03E07"/>
    <w:rsid w:val="00C52E3D"/>
    <w:rsid w:val="00D62850"/>
    <w:rsid w:val="00DB04E7"/>
    <w:rsid w:val="00DC270B"/>
    <w:rsid w:val="00DE4739"/>
    <w:rsid w:val="00E32117"/>
    <w:rsid w:val="00E456B4"/>
    <w:rsid w:val="00F960B3"/>
    <w:rsid w:val="02BD4A3E"/>
    <w:rsid w:val="08B4597B"/>
    <w:rsid w:val="2A432463"/>
    <w:rsid w:val="438B7533"/>
    <w:rsid w:val="734B3E4A"/>
    <w:rsid w:val="7C9E4734"/>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2">
    <w:name w:val="Default Paragraph Font"/>
    <w:semiHidden/>
    <w:qFormat/>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11</Pages>
  <Words>718</Words>
  <Characters>4099</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2018-12-21T13:57:04Z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