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rPr>
          <w:rFonts w:ascii="仿宋" w:hAnsi="仿宋" w:eastAsia="仿宋" w:cs="仿宋"/>
          <w:b/>
          <w:bCs/>
          <w:sz w:val="30"/>
          <w:szCs w:val="30"/>
        </w:rPr>
      </w:pPr>
      <w:r>
        <w:rPr>
          <w:rFonts w:hint="eastAsia" w:ascii="仿宋" w:hAnsi="仿宋" w:eastAsia="仿宋" w:cs="仿宋"/>
          <w:b/>
          <w:bCs/>
          <w:sz w:val="30"/>
          <w:szCs w:val="30"/>
        </w:rPr>
        <w:t xml:space="preserve">附件1： </w:t>
      </w:r>
    </w:p>
    <w:p>
      <w:pPr>
        <w:spacing w:line="220" w:lineRule="atLeast"/>
        <w:ind w:firstLine="600" w:firstLineChars="200"/>
        <w:rPr>
          <w:rFonts w:ascii="仿宋" w:hAnsi="仿宋" w:eastAsia="仿宋" w:cs="仿宋"/>
          <w:sz w:val="30"/>
          <w:szCs w:val="30"/>
        </w:rPr>
      </w:pPr>
    </w:p>
    <w:p>
      <w:pPr>
        <w:spacing w:after="0" w:line="520" w:lineRule="exact"/>
        <w:ind w:firstLine="720" w:firstLineChars="200"/>
        <w:rPr>
          <w:rFonts w:ascii="仿宋" w:hAnsi="仿宋" w:eastAsia="仿宋" w:cs="仿宋"/>
          <w:sz w:val="36"/>
          <w:szCs w:val="36"/>
        </w:rPr>
      </w:pPr>
      <w:r>
        <w:rPr>
          <w:rFonts w:hint="eastAsia" w:ascii="仿宋" w:hAnsi="仿宋" w:eastAsia="仿宋" w:cs="仿宋"/>
          <w:sz w:val="36"/>
          <w:szCs w:val="36"/>
        </w:rPr>
        <w:t xml:space="preserve">2017年度农机推广站（单位）部门决算公开说明 </w:t>
      </w:r>
    </w:p>
    <w:p>
      <w:pPr>
        <w:spacing w:line="220" w:lineRule="atLeast"/>
        <w:ind w:firstLine="600" w:firstLineChars="200"/>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  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第一部分 部门单位概况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一、主要职能、机构设置及人员情况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第二部分 部门决算情况说明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二、部门收支总体情况（11张）：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2017</w:t>
      </w:r>
      <w:r>
        <w:rPr>
          <w:rFonts w:hint="eastAsia" w:ascii="仿宋" w:hAnsi="仿宋" w:eastAsia="仿宋" w:cs="仿宋"/>
          <w:sz w:val="30"/>
          <w:szCs w:val="30"/>
        </w:rPr>
        <w:t xml:space="preserve">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 部门单位概况</w:t>
      </w:r>
    </w:p>
    <w:p>
      <w:pPr>
        <w:pStyle w:val="7"/>
        <w:numPr>
          <w:ilvl w:val="0"/>
          <w:numId w:val="1"/>
        </w:numPr>
        <w:spacing w:after="0" w:line="520" w:lineRule="exact"/>
        <w:ind w:firstLineChars="0"/>
        <w:rPr>
          <w:rFonts w:ascii="仿宋" w:hAnsi="仿宋" w:eastAsia="仿宋" w:cs="仿宋"/>
          <w:sz w:val="30"/>
          <w:szCs w:val="30"/>
        </w:rPr>
      </w:pPr>
      <w:r>
        <w:rPr>
          <w:rFonts w:hint="eastAsia" w:ascii="仿宋" w:hAnsi="仿宋" w:eastAsia="仿宋" w:cs="仿宋"/>
          <w:sz w:val="30"/>
          <w:szCs w:val="30"/>
        </w:rPr>
        <w:t>部门单位基本情况</w:t>
      </w:r>
    </w:p>
    <w:p>
      <w:pPr>
        <w:ind w:firstLine="600" w:firstLineChars="200"/>
        <w:rPr>
          <w:rFonts w:ascii="仿宋" w:hAnsi="仿宋" w:eastAsia="仿宋"/>
          <w:sz w:val="30"/>
          <w:szCs w:val="30"/>
        </w:rPr>
      </w:pPr>
      <w:r>
        <w:rPr>
          <w:rFonts w:hint="eastAsia" w:ascii="仿宋" w:hAnsi="仿宋" w:eastAsia="仿宋"/>
          <w:sz w:val="30"/>
          <w:szCs w:val="30"/>
        </w:rPr>
        <w:t>1．主要职能。推广先进农机技术提高农业机械化水平。农机推广的推广指导管理，农机技术提供管理，农机试验示范及质量测试，新农机具引进，农机技术储备，农机技术培训信息服务。</w:t>
      </w:r>
    </w:p>
    <w:p>
      <w:pPr>
        <w:spacing w:line="560" w:lineRule="exact"/>
        <w:ind w:firstLine="600" w:firstLineChars="200"/>
        <w:rPr>
          <w:rFonts w:ascii="仿宋" w:hAnsi="仿宋" w:eastAsia="仿宋"/>
          <w:sz w:val="30"/>
          <w:szCs w:val="30"/>
        </w:rPr>
      </w:pPr>
      <w:r>
        <w:rPr>
          <w:rFonts w:hint="eastAsia" w:ascii="仿宋" w:hAnsi="仿宋" w:eastAsia="仿宋" w:cs="仿宋"/>
          <w:sz w:val="30"/>
          <w:szCs w:val="30"/>
        </w:rPr>
        <w:t>2．机构情况。玛纳斯农机技术推广站是全额事业单位，核定编制18名。独立核算机构1个，独立编制机构1个。</w:t>
      </w:r>
      <w:r>
        <w:rPr>
          <w:rFonts w:hint="eastAsia" w:ascii="仿宋" w:hAnsi="仿宋" w:eastAsia="仿宋" w:cs="仿宋"/>
          <w:sz w:val="32"/>
          <w:szCs w:val="32"/>
          <w:lang w:val="en-US" w:eastAsia="zh-CN"/>
        </w:rPr>
        <w:t>内设行政办、农机培训推广办公室。</w:t>
      </w:r>
    </w:p>
    <w:p>
      <w:pPr>
        <w:ind w:firstLine="600" w:firstLineChars="200"/>
        <w:rPr>
          <w:rFonts w:ascii="仿宋" w:hAnsi="仿宋" w:eastAsia="仿宋"/>
          <w:sz w:val="30"/>
          <w:szCs w:val="30"/>
        </w:rPr>
      </w:pPr>
      <w:r>
        <w:rPr>
          <w:rFonts w:hint="eastAsia" w:ascii="仿宋" w:hAnsi="仿宋" w:eastAsia="仿宋"/>
          <w:sz w:val="30"/>
          <w:szCs w:val="30"/>
        </w:rPr>
        <w:t>3．人员情况。年末在职人数21人，没有人员变动。年末退休人数9人，减少1人。</w:t>
      </w:r>
    </w:p>
    <w:p>
      <w:pPr>
        <w:ind w:firstLine="600" w:firstLineChars="200"/>
        <w:rPr>
          <w:rFonts w:ascii="仿宋" w:hAnsi="仿宋" w:eastAsia="仿宋"/>
          <w:sz w:val="30"/>
          <w:szCs w:val="30"/>
        </w:rPr>
      </w:pPr>
    </w:p>
    <w:p>
      <w:pPr>
        <w:spacing w:after="0" w:line="520" w:lineRule="exact"/>
        <w:ind w:firstLine="300" w:firstLineChars="1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从决算单位构成看，农机推广站部门决算包括：农机推广站部门本级决算、所属单位决算等。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 xml:space="preserve">纳入农机推广站2017年部门决算编制范围的单位名单见下表： </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284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284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1</w:t>
            </w:r>
          </w:p>
        </w:tc>
        <w:tc>
          <w:tcPr>
            <w:tcW w:w="284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农机推广站单位本级</w:t>
            </w:r>
          </w:p>
        </w:tc>
        <w:tc>
          <w:tcPr>
            <w:tcW w:w="2841" w:type="dxa"/>
          </w:tcPr>
          <w:p>
            <w:pPr>
              <w:widowControl w:val="0"/>
              <w:spacing w:line="220" w:lineRule="atLeast"/>
              <w:jc w:val="center"/>
              <w:rPr>
                <w:rFonts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p>
        </w:tc>
        <w:tc>
          <w:tcPr>
            <w:tcW w:w="2841" w:type="dxa"/>
          </w:tcPr>
          <w:p>
            <w:pPr>
              <w:widowControl w:val="0"/>
              <w:spacing w:line="220" w:lineRule="atLeast"/>
              <w:jc w:val="center"/>
              <w:rPr>
                <w:rFonts w:ascii="仿宋" w:hAnsi="仿宋" w:eastAsia="仿宋" w:cs="仿宋"/>
                <w:sz w:val="30"/>
                <w:szCs w:val="30"/>
              </w:rPr>
            </w:pPr>
          </w:p>
        </w:tc>
        <w:tc>
          <w:tcPr>
            <w:tcW w:w="2841" w:type="dxa"/>
          </w:tcPr>
          <w:p>
            <w:pPr>
              <w:widowControl w:val="0"/>
              <w:spacing w:line="220" w:lineRule="atLeast"/>
              <w:jc w:val="center"/>
              <w:rPr>
                <w:rFonts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p>
        </w:tc>
        <w:tc>
          <w:tcPr>
            <w:tcW w:w="2841" w:type="dxa"/>
          </w:tcPr>
          <w:p>
            <w:pPr>
              <w:widowControl w:val="0"/>
              <w:spacing w:line="220" w:lineRule="atLeast"/>
              <w:jc w:val="center"/>
              <w:rPr>
                <w:rFonts w:ascii="仿宋" w:hAnsi="仿宋" w:eastAsia="仿宋" w:cs="仿宋"/>
                <w:sz w:val="30"/>
                <w:szCs w:val="30"/>
              </w:rPr>
            </w:pPr>
          </w:p>
        </w:tc>
        <w:tc>
          <w:tcPr>
            <w:tcW w:w="2841" w:type="dxa"/>
          </w:tcPr>
          <w:p>
            <w:pPr>
              <w:widowControl w:val="0"/>
              <w:spacing w:line="220" w:lineRule="atLeast"/>
              <w:jc w:val="center"/>
              <w:rPr>
                <w:rFonts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p>
        </w:tc>
        <w:tc>
          <w:tcPr>
            <w:tcW w:w="2841" w:type="dxa"/>
          </w:tcPr>
          <w:p>
            <w:pPr>
              <w:widowControl w:val="0"/>
              <w:spacing w:line="220" w:lineRule="atLeast"/>
              <w:jc w:val="center"/>
              <w:rPr>
                <w:rFonts w:ascii="仿宋" w:hAnsi="仿宋" w:eastAsia="仿宋" w:cs="仿宋"/>
                <w:sz w:val="30"/>
                <w:szCs w:val="30"/>
              </w:rPr>
            </w:pPr>
          </w:p>
        </w:tc>
        <w:tc>
          <w:tcPr>
            <w:tcW w:w="2841" w:type="dxa"/>
          </w:tcPr>
          <w:p>
            <w:pPr>
              <w:widowControl w:val="0"/>
              <w:spacing w:line="220" w:lineRule="atLeast"/>
              <w:jc w:val="center"/>
              <w:rPr>
                <w:rFonts w:ascii="仿宋" w:hAnsi="仿宋" w:eastAsia="仿宋" w:cs="仿宋"/>
                <w:sz w:val="30"/>
                <w:szCs w:val="30"/>
              </w:rPr>
            </w:pPr>
          </w:p>
        </w:tc>
      </w:tr>
    </w:tbl>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 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ind w:firstLine="600" w:firstLineChars="200"/>
        <w:rPr>
          <w:rFonts w:ascii="仿宋" w:hAnsi="仿宋" w:eastAsia="仿宋"/>
          <w:sz w:val="30"/>
          <w:szCs w:val="30"/>
        </w:rPr>
      </w:pPr>
      <w:r>
        <w:rPr>
          <w:rFonts w:hint="eastAsia" w:ascii="仿宋" w:hAnsi="仿宋" w:eastAsia="仿宋" w:cs="仿宋"/>
          <w:sz w:val="30"/>
          <w:szCs w:val="30"/>
        </w:rPr>
        <w:t>2017年度收入288.4万元,与上年相比，增加5.13万元，增长1.81%，支出288.4万元,与上年相比，增加5.13万元，增长1.81%，结余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%。增减变化主要原因是：</w:t>
      </w:r>
      <w:r>
        <w:rPr>
          <w:rFonts w:hint="eastAsia" w:ascii="仿宋" w:hAnsi="仿宋" w:eastAsia="仿宋"/>
          <w:sz w:val="30"/>
          <w:szCs w:val="30"/>
        </w:rPr>
        <w:t>单位在职人员岗位、薪级变动工资增加。</w:t>
      </w:r>
    </w:p>
    <w:p>
      <w:pPr>
        <w:ind w:firstLine="600" w:firstLineChars="200"/>
        <w:rPr>
          <w:rFonts w:ascii="仿宋" w:hAnsi="仿宋" w:eastAsia="仿宋"/>
          <w:sz w:val="30"/>
          <w:szCs w:val="30"/>
        </w:rPr>
      </w:pPr>
      <w:r>
        <w:rPr>
          <w:rFonts w:hint="eastAsia" w:ascii="仿宋" w:hAnsi="仿宋" w:eastAsia="仿宋" w:cs="仿宋"/>
          <w:sz w:val="30"/>
          <w:szCs w:val="30"/>
        </w:rPr>
        <w:t>与预算相比情况：</w:t>
      </w:r>
      <w:r>
        <w:rPr>
          <w:rFonts w:hint="eastAsia" w:ascii="仿宋" w:hAnsi="仿宋" w:eastAsia="仿宋"/>
          <w:sz w:val="30"/>
          <w:szCs w:val="30"/>
        </w:rPr>
        <w:t>2017年本年收入288.4万元，其中：基本支出288.4万元，项目支出0元。预决算相差2.55万元，主要是岗位薪级变动增加工资。</w:t>
      </w:r>
    </w:p>
    <w:p>
      <w:pPr>
        <w:ind w:firstLine="600" w:firstLineChars="200"/>
        <w:rPr>
          <w:rFonts w:ascii="仿宋" w:hAnsi="仿宋" w:eastAsia="仿宋"/>
          <w:sz w:val="30"/>
          <w:szCs w:val="30"/>
        </w:rPr>
      </w:pPr>
      <w:r>
        <w:rPr>
          <w:rFonts w:hint="eastAsia" w:ascii="仿宋" w:hAnsi="仿宋" w:eastAsia="仿宋" w:cs="仿宋"/>
          <w:sz w:val="30"/>
          <w:szCs w:val="30"/>
          <w:lang w:val="en-US"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本年收入合计288.4万元，其中：财政拨款收入288.39万元，占99.99%；上级补助收入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万元；事业收入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万元；经营收入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万元；附属单位缴款</w:t>
      </w:r>
      <w:r>
        <w:rPr>
          <w:rFonts w:hint="eastAsia" w:ascii="仿宋" w:hAnsi="仿宋" w:eastAsia="仿宋" w:cs="仿宋"/>
          <w:sz w:val="30"/>
          <w:szCs w:val="30"/>
          <w:lang w:val="en-US" w:eastAsia="zh-CN"/>
        </w:rPr>
        <w:t>0</w:t>
      </w:r>
      <w:r>
        <w:rPr>
          <w:rFonts w:hint="eastAsia" w:ascii="仿宋" w:hAnsi="仿宋" w:eastAsia="仿宋" w:cs="仿宋"/>
          <w:sz w:val="30"/>
          <w:szCs w:val="30"/>
        </w:rPr>
        <w:t>万元；其他收入0.01万元，占0.01%。增减变化的主要原因是：</w:t>
      </w:r>
      <w:r>
        <w:rPr>
          <w:rFonts w:hint="eastAsia" w:ascii="仿宋" w:hAnsi="仿宋" w:eastAsia="仿宋"/>
          <w:sz w:val="30"/>
          <w:szCs w:val="30"/>
        </w:rPr>
        <w:t>岗位薪级变动增加工资</w:t>
      </w:r>
      <w:r>
        <w:rPr>
          <w:rFonts w:hint="eastAsia" w:ascii="仿宋" w:hAnsi="仿宋" w:eastAsia="仿宋" w:cs="仿宋"/>
          <w:sz w:val="30"/>
          <w:szCs w:val="30"/>
        </w:rPr>
        <w:t xml:space="preserve">。 </w:t>
      </w:r>
    </w:p>
    <w:p>
      <w:pPr>
        <w:ind w:firstLine="600" w:firstLineChars="200"/>
        <w:rPr>
          <w:rFonts w:ascii="仿宋" w:hAnsi="仿宋" w:eastAsia="仿宋"/>
          <w:sz w:val="30"/>
          <w:szCs w:val="30"/>
        </w:rPr>
      </w:pPr>
      <w:r>
        <w:rPr>
          <w:rFonts w:hint="eastAsia" w:ascii="仿宋" w:hAnsi="仿宋" w:eastAsia="仿宋" w:cs="仿宋"/>
          <w:sz w:val="30"/>
          <w:szCs w:val="30"/>
        </w:rPr>
        <w:t>与预算相比情况：</w:t>
      </w:r>
      <w:r>
        <w:rPr>
          <w:rFonts w:hint="eastAsia" w:ascii="仿宋" w:hAnsi="仿宋" w:eastAsia="仿宋"/>
          <w:sz w:val="30"/>
          <w:szCs w:val="30"/>
        </w:rPr>
        <w:t>2017年本年收入288.4万元，其中：基本支出288.4万元，项目支出0元。预决算相差2.55万元，主要是薪级变动增加考核工资。</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本年支出合计288.4万元，其中：基本支出288.4万元，占100%；项目支出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%；上缴上级支出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%；对附属单位补助支出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sz w:val="30"/>
          <w:szCs w:val="30"/>
        </w:rPr>
        <w:t>岗位薪级变动增加工资</w:t>
      </w:r>
      <w:r>
        <w:rPr>
          <w:rFonts w:hint="eastAsia" w:ascii="仿宋" w:hAnsi="仿宋" w:eastAsia="仿宋" w:cs="仿宋"/>
          <w:sz w:val="30"/>
          <w:szCs w:val="30"/>
        </w:rPr>
        <w:t>。</w:t>
      </w:r>
    </w:p>
    <w:p>
      <w:pPr>
        <w:ind w:firstLine="600" w:firstLineChars="200"/>
        <w:rPr>
          <w:rFonts w:ascii="仿宋" w:hAnsi="仿宋" w:eastAsia="仿宋"/>
          <w:sz w:val="30"/>
          <w:szCs w:val="30"/>
        </w:rPr>
      </w:pPr>
      <w:r>
        <w:rPr>
          <w:rFonts w:hint="eastAsia" w:ascii="仿宋" w:hAnsi="仿宋" w:eastAsia="仿宋" w:cs="仿宋"/>
          <w:sz w:val="30"/>
          <w:szCs w:val="30"/>
        </w:rPr>
        <w:t>与预算相比情况：</w:t>
      </w:r>
      <w:r>
        <w:rPr>
          <w:rFonts w:hint="eastAsia" w:ascii="仿宋" w:hAnsi="仿宋" w:eastAsia="仿宋"/>
          <w:sz w:val="30"/>
          <w:szCs w:val="30"/>
        </w:rPr>
        <w:t>2017年本年支出288.4万元，其中：基本支出288.4万元，项目支出0元。预决算相差2.55万元，主要是薪级变动增加考核工资。</w:t>
      </w:r>
    </w:p>
    <w:p>
      <w:pPr>
        <w:spacing w:after="0" w:line="520" w:lineRule="exact"/>
        <w:ind w:firstLine="450" w:firstLineChars="150"/>
        <w:rPr>
          <w:rFonts w:ascii="仿宋" w:hAnsi="仿宋" w:eastAsia="仿宋" w:cs="仿宋"/>
          <w:sz w:val="30"/>
          <w:szCs w:val="30"/>
        </w:rPr>
      </w:pPr>
      <w:r>
        <w:rPr>
          <w:rFonts w:hint="eastAsia" w:ascii="仿宋" w:hAnsi="仿宋" w:eastAsia="仿宋" w:cs="仿宋"/>
          <w:sz w:val="30"/>
          <w:szCs w:val="30"/>
          <w:lang w:val="en-US"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2017年度财政拨款收入288.39万元，与上年相比，增加21.13万元，增长7.9%。增减变化的主要原因是：</w:t>
      </w:r>
      <w:r>
        <w:rPr>
          <w:rFonts w:hint="eastAsia" w:ascii="仿宋" w:hAnsi="仿宋" w:eastAsia="仿宋"/>
          <w:sz w:val="30"/>
          <w:szCs w:val="30"/>
        </w:rPr>
        <w:t>岗位薪级变动增加工资</w:t>
      </w:r>
      <w:r>
        <w:rPr>
          <w:rFonts w:hint="eastAsia" w:ascii="仿宋" w:hAnsi="仿宋" w:eastAsia="仿宋" w:cs="仿宋"/>
          <w:sz w:val="30"/>
          <w:szCs w:val="30"/>
        </w:rPr>
        <w:t>。财政拨款支出288.39万元，与上年相比，增加21.12万元，增长7.9%。其中：基本支出288.39万元，项目支出0万元。增减变化的主要原因是：</w:t>
      </w:r>
      <w:r>
        <w:rPr>
          <w:rFonts w:hint="eastAsia" w:ascii="仿宋" w:hAnsi="仿宋" w:eastAsia="仿宋"/>
          <w:sz w:val="30"/>
          <w:szCs w:val="30"/>
        </w:rPr>
        <w:t>岗位薪级变动增加工资</w:t>
      </w:r>
      <w:r>
        <w:rPr>
          <w:rFonts w:hint="eastAsia" w:ascii="仿宋" w:hAnsi="仿宋" w:eastAsia="仿宋" w:cs="仿宋"/>
          <w:sz w:val="30"/>
          <w:szCs w:val="30"/>
        </w:rPr>
        <w:t>。财政拨款结转结余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ind w:firstLine="600" w:firstLineChars="200"/>
        <w:rPr>
          <w:rFonts w:ascii="仿宋" w:hAnsi="仿宋" w:eastAsia="仿宋"/>
          <w:sz w:val="30"/>
          <w:szCs w:val="30"/>
        </w:rPr>
      </w:pPr>
      <w:r>
        <w:rPr>
          <w:rFonts w:hint="eastAsia" w:ascii="仿宋" w:hAnsi="仿宋" w:eastAsia="仿宋" w:cs="仿宋"/>
          <w:sz w:val="30"/>
          <w:szCs w:val="30"/>
        </w:rPr>
        <w:t>与预算相比情况：</w:t>
      </w:r>
      <w:r>
        <w:rPr>
          <w:rFonts w:hint="eastAsia" w:ascii="仿宋" w:hAnsi="仿宋" w:eastAsia="仿宋"/>
          <w:sz w:val="30"/>
          <w:szCs w:val="30"/>
        </w:rPr>
        <w:t>2017年财政拨款收入288.39万元，财政拨款支出288.39万元。其中：基本支出288.4万元，项目支出0元。预决算相差2.8万元，主要是岗位薪级变动增加工资。</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2017年度一般公共预算财政拨款支出288.39万元。与上年相比，增加21.12万元，增长7.9%。增减变化的主要原因是岗位薪级变动增加考核工资，</w:t>
      </w:r>
      <w:r>
        <w:rPr>
          <w:rFonts w:hint="eastAsia" w:ascii="仿宋" w:hAnsi="仿宋" w:eastAsia="仿宋"/>
          <w:sz w:val="30"/>
          <w:szCs w:val="30"/>
        </w:rPr>
        <w:t>社保、医疗、住房公积金等基数的增加。</w:t>
      </w:r>
      <w:r>
        <w:rPr>
          <w:rFonts w:hint="eastAsia" w:ascii="仿宋" w:hAnsi="仿宋" w:eastAsia="仿宋" w:cs="仿宋"/>
          <w:sz w:val="30"/>
          <w:szCs w:val="30"/>
        </w:rPr>
        <w:t xml:space="preserve">其中：按功能分类科目，社会保障和就业支出32.2万元，农林水支出256.19万元。按经济分类科目人员经费支出276.18万元，日常公用经费支出12.21万元。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hint="eastAsia" w:ascii="仿宋" w:hAnsi="仿宋" w:eastAsia="仿宋"/>
          <w:sz w:val="30"/>
          <w:szCs w:val="30"/>
        </w:rPr>
        <w:t>2017年一般公共预算财政拨款收入288.39万元，一般公共预算财政拨款支出288.39万元。预决算相差2.8万元，主要是岗位薪级变动增加考核工资。</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eastAsia="zh-CN"/>
        </w:rPr>
        <w:t>无</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eastAsia="zh-CN"/>
        </w:rPr>
        <w:t>无</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：本单位无政府性基金预算收支情况，预算为零，故决算与预算一致。</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年度政府性基金预算支出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eastAsia="zh-CN"/>
        </w:rPr>
        <w:t>无</w:t>
      </w:r>
      <w:r>
        <w:rPr>
          <w:rFonts w:hint="eastAsia" w:ascii="仿宋" w:hAnsi="仿宋" w:eastAsia="仿宋" w:cs="仿宋"/>
          <w:sz w:val="30"/>
          <w:szCs w:val="30"/>
        </w:rPr>
        <w:t>。其中：按功能分类科目，</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：本单位无政府性基金预算收支情况，预算为零，故决算与预算一致。</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 </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其中财政拨款结转结余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ind w:firstLine="600" w:firstLineChars="200"/>
        <w:rPr>
          <w:rFonts w:ascii="仿宋" w:hAnsi="仿宋" w:eastAsia="仿宋"/>
          <w:sz w:val="30"/>
          <w:szCs w:val="30"/>
        </w:rPr>
      </w:pPr>
      <w:r>
        <w:rPr>
          <w:rFonts w:hint="eastAsia" w:ascii="仿宋" w:hAnsi="仿宋" w:eastAsia="仿宋" w:cs="仿宋"/>
          <w:sz w:val="30"/>
          <w:szCs w:val="30"/>
          <w:lang w:val="en-US" w:eastAsia="zh-CN"/>
        </w:rPr>
        <w:t>无</w:t>
      </w: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2017年度一般公共预算“三公”经费支出决算1.52万元，比上年减少0.09万元，降低5.47%，减少原因是严格控制三公经费。其中，因公出国（境）费支出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%，比上年增加（减少）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公务用车购置及运行维护费支出1.44万元，占94.7%，比上年增加0.21万元，增长17.26%，增加原因是车辆老化，维修费用增加。公务接待费支出0.08万元，占5.3%，比上年减少0.3万元，降低78.61%，减少原因是严格控制公务接待。具体情况如下：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rPr>
        <w:t>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本</w:t>
      </w:r>
      <w:r>
        <w:rPr>
          <w:rFonts w:hint="eastAsia" w:ascii="仿宋" w:hAnsi="仿宋" w:eastAsia="仿宋" w:cs="仿宋"/>
          <w:sz w:val="30"/>
          <w:szCs w:val="30"/>
        </w:rPr>
        <w:t>单位全年使用一般公共预算财政拨款安排的出国（境）团组</w:t>
      </w:r>
      <w:r>
        <w:rPr>
          <w:rFonts w:hint="eastAsia" w:ascii="仿宋" w:hAnsi="仿宋" w:eastAsia="仿宋" w:cs="仿宋"/>
          <w:sz w:val="30"/>
          <w:szCs w:val="30"/>
          <w:lang w:val="en-US" w:eastAsia="zh-CN"/>
        </w:rPr>
        <w:t>0</w:t>
      </w:r>
      <w:r>
        <w:rPr>
          <w:rFonts w:hint="eastAsia" w:ascii="仿宋" w:hAnsi="仿宋" w:eastAsia="仿宋" w:cs="仿宋"/>
          <w:sz w:val="30"/>
          <w:szCs w:val="30"/>
        </w:rPr>
        <w:t>个，累计</w:t>
      </w:r>
      <w:r>
        <w:rPr>
          <w:rFonts w:hint="eastAsia" w:ascii="仿宋" w:hAnsi="仿宋" w:eastAsia="仿宋" w:cs="仿宋"/>
          <w:sz w:val="30"/>
          <w:szCs w:val="30"/>
          <w:lang w:val="en-US" w:eastAsia="zh-CN"/>
        </w:rPr>
        <w:t>0</w:t>
      </w:r>
      <w:r>
        <w:rPr>
          <w:rFonts w:hint="eastAsia" w:ascii="仿宋" w:hAnsi="仿宋" w:eastAsia="仿宋" w:cs="仿宋"/>
          <w:sz w:val="30"/>
          <w:szCs w:val="30"/>
        </w:rPr>
        <w:t>人次。</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公务用车购置及运行维护费1.44万元,其中，公务用车购置</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万元，公务用车运行维护费1.44万元。主要用于车辆燃油费和维修费等。2017年，单位一般公共财政拨款安排的公务用车购置量0辆，保有量为2辆。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公务接待费0.08万元。具体是：国内公务接待支出0.08万元，主要是业务考核检查和加班用餐等。2017年单位国内公务接待3批次，43人次。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rPr>
        <w:t>与预算相比情况。</w:t>
      </w:r>
      <w:r>
        <w:rPr>
          <w:rFonts w:hint="eastAsia" w:ascii="仿宋" w:hAnsi="仿宋" w:eastAsia="仿宋" w:cs="仿宋"/>
          <w:sz w:val="30"/>
          <w:szCs w:val="30"/>
          <w:lang w:val="en-US" w:eastAsia="zh-CN"/>
        </w:rPr>
        <w:t>比年初预算减少1.98万元，减少56%，减少的原因是压缩公用经费。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年度农机推广站单位机关运行经费支出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万元，比上年增加（减少）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万元，增长（降低）</w:t>
      </w:r>
      <w:r>
        <w:rPr>
          <w:rFonts w:hint="eastAsia" w:ascii="仿宋" w:hAnsi="仿宋" w:eastAsia="仿宋" w:cs="仿宋"/>
          <w:sz w:val="30"/>
          <w:szCs w:val="30"/>
          <w:lang w:val="en-US" w:eastAsia="zh-CN"/>
        </w:rPr>
        <w:t>0</w:t>
      </w:r>
      <w:r>
        <w:rPr>
          <w:rFonts w:hint="eastAsia" w:ascii="仿宋" w:hAnsi="仿宋" w:eastAsia="仿宋" w:cs="仿宋"/>
          <w:sz w:val="30"/>
          <w:szCs w:val="30"/>
        </w:rPr>
        <w:t>%，主要原因是</w:t>
      </w:r>
      <w:r>
        <w:rPr>
          <w:rFonts w:hint="eastAsia" w:ascii="仿宋" w:hAnsi="仿宋" w:eastAsia="仿宋" w:cs="仿宋"/>
          <w:sz w:val="30"/>
          <w:szCs w:val="30"/>
          <w:lang w:eastAsia="zh-CN"/>
        </w:rPr>
        <w:t>无</w:t>
      </w:r>
      <w:r>
        <w:rPr>
          <w:rFonts w:hint="eastAsia" w:ascii="仿宋" w:hAnsi="仿宋" w:eastAsia="仿宋" w:cs="仿宋"/>
          <w:sz w:val="30"/>
          <w:szCs w:val="30"/>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2017年度农机推广站单位</w:t>
      </w:r>
      <w:r>
        <w:rPr>
          <w:rFonts w:hint="eastAsia" w:ascii="仿宋" w:hAnsi="仿宋" w:eastAsia="仿宋" w:cs="仿宋"/>
          <w:sz w:val="30"/>
          <w:szCs w:val="30"/>
          <w:lang w:eastAsia="zh-CN"/>
        </w:rPr>
        <w:t>日常公用经费</w:t>
      </w:r>
      <w:r>
        <w:rPr>
          <w:rFonts w:hint="eastAsia" w:ascii="仿宋" w:hAnsi="仿宋" w:eastAsia="仿宋" w:cs="仿宋"/>
          <w:sz w:val="30"/>
          <w:szCs w:val="30"/>
        </w:rPr>
        <w:t xml:space="preserve">经费支出12.21万元，比上年减少2.52万元，降低17.1%，主要原因是没有购置新的办公设备。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农机推广站单位政府采购计划0万元，其中：政府采购货物支出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万元；实际采购</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截至20017年12月31日，资产总计189.28万元，其中：流动资产42.41万元，固定资产146.87万元，其中：房屋973（平方米），价值68.16万元，共有车辆2辆，价值24.25万元，其中：部级领导干部用车</w:t>
      </w:r>
      <w:r>
        <w:rPr>
          <w:rFonts w:hint="eastAsia" w:ascii="仿宋" w:hAnsi="仿宋" w:eastAsia="仿宋" w:cs="仿宋"/>
          <w:sz w:val="30"/>
          <w:szCs w:val="30"/>
          <w:lang w:val="en-US" w:eastAsia="zh-CN"/>
        </w:rPr>
        <w:t>0</w:t>
      </w:r>
      <w:r>
        <w:rPr>
          <w:rFonts w:hint="eastAsia" w:ascii="仿宋" w:hAnsi="仿宋" w:eastAsia="仿宋" w:cs="仿宋"/>
          <w:sz w:val="30"/>
          <w:szCs w:val="30"/>
        </w:rPr>
        <w:t>辆、一般公务用车1辆、一般执法执勤用车</w:t>
      </w:r>
      <w:r>
        <w:rPr>
          <w:rFonts w:hint="eastAsia" w:ascii="仿宋" w:hAnsi="仿宋" w:eastAsia="仿宋" w:cs="仿宋"/>
          <w:sz w:val="30"/>
          <w:szCs w:val="30"/>
          <w:lang w:val="en-US" w:eastAsia="zh-CN"/>
        </w:rPr>
        <w:t>0</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0</w:t>
      </w:r>
      <w:r>
        <w:rPr>
          <w:rFonts w:hint="eastAsia" w:ascii="仿宋" w:hAnsi="仿宋" w:eastAsia="仿宋" w:cs="仿宋"/>
          <w:sz w:val="30"/>
          <w:szCs w:val="30"/>
        </w:rPr>
        <w:t>辆、其他用车1辆（其他用车主要是：农机推广业务用皮卡车）；单位价值50万元以上通用设备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台（套）、单位价值100万元以上专用设备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w:t>
      </w:r>
      <w:r>
        <w:rPr>
          <w:rFonts w:hint="eastAsia" w:ascii="仿宋" w:hAnsi="仿宋" w:eastAsia="仿宋" w:cs="仿宋"/>
          <w:sz w:val="30"/>
          <w:szCs w:val="30"/>
          <w:lang w:eastAsia="zh-CN"/>
        </w:rPr>
        <w:t>其他固定资产</w:t>
      </w:r>
      <w:r>
        <w:rPr>
          <w:rFonts w:hint="eastAsia" w:ascii="仿宋" w:hAnsi="仿宋" w:eastAsia="仿宋" w:cs="仿宋"/>
          <w:sz w:val="30"/>
          <w:szCs w:val="30"/>
        </w:rPr>
        <w:t xml:space="preserve">价值54.46万元。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截至2017年12月31日，农机推广站单位资产有偿使用收入合计2.16万元，资产处置收入合计0万元。其中：已缴国库2.16万元， 已缴财政专户0万元，应缴未缴0万元，单位留用0万元。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 xml:space="preserve">年度，农机推广站实行绩效管理的项目 </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 个，涉及预算</w:t>
      </w:r>
      <w:r>
        <w:rPr>
          <w:rFonts w:hint="eastAsia" w:ascii="仿宋" w:hAnsi="仿宋" w:eastAsia="仿宋" w:cs="仿宋"/>
          <w:sz w:val="30"/>
          <w:szCs w:val="30"/>
          <w:lang w:val="en-US" w:eastAsia="zh-CN"/>
        </w:rPr>
        <w:t>0</w:t>
      </w:r>
      <w:r>
        <w:rPr>
          <w:rFonts w:hint="eastAsia" w:ascii="仿宋" w:hAnsi="仿宋" w:eastAsia="仿宋" w:cs="仿宋"/>
          <w:sz w:val="30"/>
          <w:szCs w:val="30"/>
        </w:rPr>
        <w:t>万元，项目支出决算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bookmarkStart w:id="0" w:name="_GoBack"/>
      <w:bookmarkEnd w:id="0"/>
      <w:r>
        <w:rPr>
          <w:rFonts w:hint="eastAsia"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 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本单位支出功能分类说明：</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rPr>
        <w:t>2080505机关事业单位基本养老保险缴费支出</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 xml:space="preserve">指反映机关事业单位实施养老保险制度由单位缴纳的基本养老保险支出。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eastAsia="zh-CN"/>
        </w:rPr>
        <w:t>2130104事业运行：</w:t>
      </w:r>
      <w:r>
        <w:rPr>
          <w:rFonts w:hint="eastAsia" w:ascii="仿宋" w:hAnsi="仿宋" w:eastAsia="仿宋" w:cs="仿宋"/>
          <w:sz w:val="30"/>
          <w:szCs w:val="30"/>
          <w:lang w:val="en-US" w:eastAsia="zh-CN"/>
        </w:rPr>
        <w:t>指农业事业单位基本支出。</w:t>
      </w:r>
    </w:p>
    <w:p>
      <w:pPr>
        <w:spacing w:line="220" w:lineRule="atLeas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 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九、《支出决算明细表》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十一、《项目支出决算明细表》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十三、《财政拨款收入支出决算总表》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二十二、《资产负债简表》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二十三、《资产情况表》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二十四、《国有资产收益征缴情况表》、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二十五、《基本数字表》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二十六、《机构人员情况表》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二十七、《非税收入征缴情况表》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二十八、《部门决算相关信息统计表》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二十九、《政府采购情况表》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三十、《2017年度一般公共预算“三公”经费支出情况表》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5024A3"/>
    <w:multiLevelType w:val="multilevel"/>
    <w:tmpl w:val="435024A3"/>
    <w:lvl w:ilvl="0" w:tentative="0">
      <w:start w:val="1"/>
      <w:numFmt w:val="japaneseCounting"/>
      <w:lvlText w:val="%1、"/>
      <w:lvlJc w:val="left"/>
      <w:pPr>
        <w:ind w:left="1320" w:hanging="7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F7240"/>
    <w:rsid w:val="0023560C"/>
    <w:rsid w:val="002436BA"/>
    <w:rsid w:val="00303BCD"/>
    <w:rsid w:val="003128DD"/>
    <w:rsid w:val="00362EC8"/>
    <w:rsid w:val="003E1FF0"/>
    <w:rsid w:val="00422773"/>
    <w:rsid w:val="00472A92"/>
    <w:rsid w:val="004A17CB"/>
    <w:rsid w:val="00506A0C"/>
    <w:rsid w:val="00566A18"/>
    <w:rsid w:val="005878C3"/>
    <w:rsid w:val="005F7240"/>
    <w:rsid w:val="006B305F"/>
    <w:rsid w:val="007603E0"/>
    <w:rsid w:val="00792D75"/>
    <w:rsid w:val="007F280C"/>
    <w:rsid w:val="008312E9"/>
    <w:rsid w:val="008F5C05"/>
    <w:rsid w:val="009D665F"/>
    <w:rsid w:val="00AB101B"/>
    <w:rsid w:val="00AC1181"/>
    <w:rsid w:val="00BA301A"/>
    <w:rsid w:val="00D137B7"/>
    <w:rsid w:val="00E26DDB"/>
    <w:rsid w:val="00E3104C"/>
    <w:rsid w:val="00EB2A0F"/>
    <w:rsid w:val="00EC1C97"/>
    <w:rsid w:val="00F960B3"/>
    <w:rsid w:val="00FC6C27"/>
    <w:rsid w:val="2C1A42F6"/>
    <w:rsid w:val="4D464C51"/>
    <w:rsid w:val="580E3B35"/>
    <w:rsid w:val="7A0F06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jc w:val="center"/>
    </w:pPr>
    <w:rPr>
      <w:sz w:val="18"/>
      <w:szCs w:val="18"/>
    </w:rPr>
  </w:style>
  <w:style w:type="table" w:styleId="6">
    <w:name w:val="Table Grid"/>
    <w:basedOn w:val="5"/>
    <w:qFormat/>
    <w:uiPriority w:val="5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4"/>
    <w:link w:val="3"/>
    <w:semiHidden/>
    <w:qFormat/>
    <w:uiPriority w:val="99"/>
    <w:rPr>
      <w:rFonts w:ascii="Tahoma" w:hAnsi="Tahoma" w:eastAsia="微软雅黑"/>
      <w:kern w:val="0"/>
      <w:sz w:val="18"/>
      <w:szCs w:val="18"/>
    </w:rPr>
  </w:style>
  <w:style w:type="character" w:customStyle="1" w:styleId="9">
    <w:name w:val="页脚 Char"/>
    <w:basedOn w:val="4"/>
    <w:link w:val="2"/>
    <w:semiHidden/>
    <w:qFormat/>
    <w:uiPriority w:val="99"/>
    <w:rPr>
      <w:rFonts w:ascii="Tahoma" w:hAnsi="Tahoma" w:eastAsia="微软雅黑"/>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丰华文化用品广场</Company>
  <Pages>13</Pages>
  <Words>932</Words>
  <Characters>5315</Characters>
  <Lines>44</Lines>
  <Paragraphs>12</Paragraphs>
  <TotalTime>4</TotalTime>
  <ScaleCrop>false</ScaleCrop>
  <LinksUpToDate>false</LinksUpToDate>
  <CharactersWithSpaces>6235</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  洋气</cp:lastModifiedBy>
  <dcterms:modified xsi:type="dcterms:W3CDTF">2018-12-21T08:14:37Z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