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玛政规〔2026〕3号</w:t>
      </w:r>
    </w:p>
    <w:p>
      <w:pPr>
        <w:keepNext w:val="0"/>
        <w:keepLines w:val="0"/>
        <w:pageBreakBefore w:val="0"/>
        <w:widowControl w:val="0"/>
        <w:kinsoku/>
        <w:wordWrap/>
        <w:overflowPunct/>
        <w:topLinePunct w:val="0"/>
        <w:bidi w:val="0"/>
        <w:spacing w:line="560" w:lineRule="exact"/>
        <w:ind w:left="0" w:leftChars="0" w:right="0" w:rightChars="0" w:firstLine="400" w:firstLineChars="200"/>
        <w:jc w:val="left"/>
        <w:rPr>
          <w:rFonts w:hint="eastAsia" w:ascii="Times New Roman" w:hAnsi="Times New Roman" w:eastAsia="宋体"/>
          <w:kern w:val="0"/>
          <w:sz w:val="20"/>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小标宋简体" w:hAnsi="仿宋_GB2312" w:eastAsia="方正小标宋简体"/>
          <w:color w:val="auto"/>
          <w:spacing w:val="0"/>
          <w:w w:val="100"/>
          <w:sz w:val="44"/>
          <w:szCs w:val="44"/>
          <w:lang w:eastAsia="zh-CN"/>
        </w:rPr>
      </w:pPr>
      <w:r>
        <w:rPr>
          <w:rFonts w:hint="eastAsia" w:ascii="方正小标宋简体" w:hAnsi="方正小标宋简体" w:eastAsia="方正小标宋简体" w:cs="方正小标宋简体"/>
          <w:sz w:val="44"/>
          <w:szCs w:val="44"/>
          <w:lang w:val="en-US" w:eastAsia="zh-CN" w:bidi="ar-SA"/>
        </w:rPr>
        <w:t>玛纳斯县人民政府</w:t>
      </w:r>
      <w:r>
        <w:rPr>
          <w:rFonts w:hint="eastAsia" w:ascii="方正小标宋简体" w:hAnsi="方正小标宋简体" w:eastAsia="方正小标宋简体" w:cs="方正小标宋简体"/>
          <w:kern w:val="0"/>
          <w:sz w:val="44"/>
          <w:szCs w:val="44"/>
          <w:lang w:val="en-US" w:eastAsia="zh-CN"/>
        </w:rPr>
        <w:t>关于公布</w:t>
      </w:r>
      <w:r>
        <w:rPr>
          <w:rFonts w:hint="eastAsia" w:ascii="方正小标宋简体" w:hAnsi="仿宋_GB2312" w:eastAsia="方正小标宋简体"/>
          <w:color w:val="auto"/>
          <w:spacing w:val="0"/>
          <w:w w:val="100"/>
          <w:sz w:val="44"/>
          <w:szCs w:val="44"/>
          <w:lang w:eastAsia="zh-CN"/>
        </w:rPr>
        <w:t>玛纳斯县园地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Times New Roman" w:hAnsi="Times New Roman" w:eastAsia="宋体"/>
          <w:kern w:val="0"/>
          <w:sz w:val="20"/>
          <w:szCs w:val="20"/>
          <w:lang w:val="en-US" w:eastAsia="zh-CN"/>
        </w:rPr>
      </w:pPr>
      <w:r>
        <w:rPr>
          <w:rFonts w:hint="eastAsia" w:ascii="方正小标宋简体" w:hAnsi="仿宋_GB2312" w:eastAsia="方正小标宋简体"/>
          <w:color w:val="auto"/>
          <w:spacing w:val="0"/>
          <w:w w:val="100"/>
          <w:sz w:val="44"/>
          <w:szCs w:val="44"/>
          <w:lang w:eastAsia="zh-CN"/>
        </w:rPr>
        <w:t>林地草地定级和基准地价</w:t>
      </w:r>
      <w:r>
        <w:rPr>
          <w:rFonts w:hint="eastAsia" w:ascii="方正小标宋简体" w:hAnsi="方正小标宋简体" w:eastAsia="方正小标宋简体" w:cs="方正小标宋简体"/>
          <w:kern w:val="0"/>
          <w:sz w:val="44"/>
          <w:szCs w:val="44"/>
          <w:lang w:val="en-US" w:eastAsia="zh-CN"/>
        </w:rPr>
        <w:t>的通知</w:t>
      </w:r>
    </w:p>
    <w:p>
      <w:pPr>
        <w:keepNext w:val="0"/>
        <w:keepLines w:val="0"/>
        <w:pageBreakBefore w:val="0"/>
        <w:widowControl w:val="0"/>
        <w:kinsoku/>
        <w:wordWrap/>
        <w:overflowPunct/>
        <w:topLinePunct w:val="0"/>
        <w:bidi w:val="0"/>
        <w:spacing w:line="560" w:lineRule="exact"/>
        <w:ind w:left="0" w:leftChars="0" w:right="0" w:rightChars="0" w:firstLine="400" w:firstLineChars="200"/>
        <w:jc w:val="left"/>
        <w:rPr>
          <w:rFonts w:hint="eastAsia" w:ascii="Times New Roman" w:hAnsi="Times New Roman" w:eastAsia="宋体"/>
          <w:kern w:val="0"/>
          <w:sz w:val="20"/>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 w:firstLineChars="5"/>
        <w:jc w:val="both"/>
        <w:textAlignment w:val="bottom"/>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平原林场、工业园区管委会、湿地公园管理局、各乡镇人民政府、县人民政府各部门、各企事业单位</w:t>
      </w:r>
      <w:r>
        <w:rPr>
          <w:rFonts w:hint="eastAsia" w:ascii="楷体_GB2312" w:hAnsi="楷体_GB2312" w:eastAsia="楷体_GB2312" w:cs="楷体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楷体_GB2312" w:eastAsia="楷体_GB2312" w:cs="楷体_GB2312"/>
          <w:color w:val="auto"/>
          <w:spacing w:val="0"/>
          <w:kern w:val="2"/>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《玛纳斯县园地林地草地定级和基准地价》已经玛纳斯县第十八届人民政府第69次常务会议研究通过，现予以公布，请认真抓好贯彻落实。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楷体_GB2312" w:eastAsia="楷体_GB2312" w:cs="楷体_GB2312"/>
          <w:color w:val="auto"/>
          <w:spacing w:val="0"/>
          <w:kern w:val="2"/>
          <w:sz w:val="32"/>
          <w:szCs w:val="32"/>
          <w:highlight w:val="none"/>
          <w:lang w:val="en-US" w:eastAsia="zh-CN" w:bidi="ar-SA"/>
        </w:rPr>
      </w:pPr>
    </w:p>
    <w:p>
      <w:pPr>
        <w:keepNext w:val="0"/>
        <w:keepLines w:val="0"/>
        <w:pageBreakBefore w:val="0"/>
        <w:widowControl w:val="0"/>
        <w:kinsoku/>
        <w:wordWrap/>
        <w:overflowPunct/>
        <w:topLinePunct w:val="0"/>
        <w:bidi w:val="0"/>
        <w:spacing w:line="560" w:lineRule="exact"/>
        <w:ind w:left="0" w:leftChars="0" w:right="0" w:rightChars="0"/>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0" w:rightChars="0" w:firstLine="4160" w:firstLineChars="1300"/>
        <w:contextualSpacing/>
        <w:jc w:val="both"/>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玛纳斯县人民政府</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0" w:rightChars="0" w:firstLine="4201" w:firstLineChars="1313"/>
        <w:contextualSpacing/>
        <w:jc w:val="both"/>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202</w:t>
      </w:r>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eastAsia="zh-CN"/>
        </w:rPr>
        <w:t>年</w:t>
      </w: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lang w:eastAsia="zh-CN"/>
        </w:rPr>
        <w:t>月</w:t>
      </w:r>
      <w:r>
        <w:rPr>
          <w:rFonts w:hint="eastAsia" w:ascii="楷体_GB2312" w:hAnsi="楷体_GB2312" w:eastAsia="楷体_GB2312" w:cs="楷体_GB2312"/>
          <w:color w:val="auto"/>
          <w:sz w:val="32"/>
          <w:szCs w:val="32"/>
          <w:highlight w:val="none"/>
          <w:lang w:val="en-US" w:eastAsia="zh-CN"/>
        </w:rPr>
        <w:t>1</w:t>
      </w:r>
      <w:r>
        <w:rPr>
          <w:rFonts w:hint="eastAsia" w:ascii="楷体_GB2312" w:hAnsi="楷体_GB2312" w:eastAsia="楷体_GB2312" w:cs="楷体_GB2312"/>
          <w:color w:val="auto"/>
          <w:sz w:val="32"/>
          <w:szCs w:val="32"/>
          <w:highlight w:val="none"/>
          <w:lang w:eastAsia="zh-CN"/>
        </w:rPr>
        <w:t>日</w:t>
      </w:r>
    </w:p>
    <w:p>
      <w:pPr>
        <w:pStyle w:val="10"/>
        <w:keepNext w:val="0"/>
        <w:keepLines w:val="0"/>
        <w:pageBreakBefore w:val="0"/>
        <w:widowControl w:val="0"/>
        <w:kinsoku/>
        <w:wordWrap/>
        <w:overflowPunct/>
        <w:topLinePunct w:val="0"/>
        <w:bidi w:val="0"/>
        <w:spacing w:line="560" w:lineRule="exact"/>
        <w:ind w:left="0" w:leftChars="0" w:right="0" w:rightChars="0"/>
        <w:rPr>
          <w:rFonts w:hint="eastAsia" w:ascii="仿宋_GB2312" w:eastAsia="仿宋_GB2312" w:cs="Times New Roman"/>
          <w:color w:val="auto"/>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color w:val="auto"/>
          <w:spacing w:val="0"/>
          <w:kern w:val="2"/>
          <w:sz w:val="44"/>
          <w:szCs w:val="44"/>
          <w:highlight w:val="none"/>
          <w:lang w:val="en-US" w:eastAsia="zh-CN" w:bidi="ar-SA"/>
        </w:rPr>
        <w:t>玛纳斯县园地林地草地定级和基准地价</w:t>
      </w: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为建立健全玛纳斯县自然资源分等定级和价格评估体系，根据《自然资源部办公厅关于做好园地林地草地定级和基准地价制定有关工作的通知》（自然资办函〔2023〕399号）文件及自治区自然资源厅相关文件要求，我县组织开展了玛纳斯县园地林地草地定级和基准地价制定工作。现将玛纳斯县园地、林地、草地级别和基准地价成果予以公布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一、玛纳斯县园地林地草地定级和基准地价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
          <w:b/>
          <w:bCs/>
          <w:sz w:val="32"/>
          <w:szCs w:val="32"/>
        </w:rPr>
      </w:pPr>
      <w:r>
        <w:rPr>
          <w:rFonts w:hint="eastAsia" w:eastAsia="仿宋"/>
          <w:b/>
          <w:bCs/>
          <w:sz w:val="32"/>
          <w:szCs w:val="32"/>
        </w:rPr>
        <w:t>玛纳斯县</w:t>
      </w:r>
      <w:r>
        <w:rPr>
          <w:rFonts w:eastAsia="仿宋"/>
          <w:b/>
          <w:bCs/>
          <w:sz w:val="32"/>
          <w:szCs w:val="32"/>
        </w:rPr>
        <w:t>园地</w:t>
      </w:r>
      <w:r>
        <w:rPr>
          <w:rFonts w:hint="eastAsia" w:eastAsia="仿宋"/>
          <w:b/>
          <w:bCs/>
          <w:sz w:val="32"/>
          <w:szCs w:val="32"/>
        </w:rPr>
        <w:t>定级和</w:t>
      </w:r>
      <w:r>
        <w:rPr>
          <w:rFonts w:eastAsia="仿宋"/>
          <w:b/>
          <w:bCs/>
          <w:sz w:val="32"/>
          <w:szCs w:val="32"/>
        </w:rPr>
        <w:t>基准地价表</w:t>
      </w:r>
    </w:p>
    <w:tbl>
      <w:tblPr>
        <w:tblStyle w:val="8"/>
        <w:tblW w:w="497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4"/>
        <w:gridCol w:w="2493"/>
        <w:gridCol w:w="977"/>
        <w:gridCol w:w="1108"/>
        <w:gridCol w:w="1108"/>
        <w:gridCol w:w="971"/>
        <w:gridCol w:w="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76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土地类型</w:t>
            </w:r>
          </w:p>
        </w:tc>
        <w:tc>
          <w:tcPr>
            <w:tcW w:w="1925"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土地级别</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Ⅰ级地</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Ⅱ级地</w:t>
            </w:r>
          </w:p>
        </w:tc>
        <w:tc>
          <w:tcPr>
            <w:tcW w:w="5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Ⅲ级</w:t>
            </w:r>
          </w:p>
        </w:tc>
        <w:tc>
          <w:tcPr>
            <w:tcW w:w="5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kern w:val="0"/>
                <w:szCs w:val="21"/>
              </w:rPr>
            </w:pPr>
            <w:r>
              <w:rPr>
                <w:rFonts w:hint="eastAsia" w:ascii="宋体" w:hAnsi="宋体" w:eastAsia="宋体" w:cs="宋体"/>
                <w:b/>
                <w:bCs/>
                <w:kern w:val="0"/>
                <w:szCs w:val="21"/>
              </w:rPr>
              <w:t>Ⅳ级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76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园地</w:t>
            </w:r>
          </w:p>
        </w:tc>
        <w:tc>
          <w:tcPr>
            <w:tcW w:w="138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无限年期</w:t>
            </w:r>
          </w:p>
        </w:tc>
        <w:tc>
          <w:tcPr>
            <w:tcW w:w="54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元/亩</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21460</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17687</w:t>
            </w:r>
          </w:p>
        </w:tc>
        <w:tc>
          <w:tcPr>
            <w:tcW w:w="5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14140</w:t>
            </w:r>
          </w:p>
        </w:tc>
        <w:tc>
          <w:tcPr>
            <w:tcW w:w="5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11127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76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p>
        </w:tc>
        <w:tc>
          <w:tcPr>
            <w:tcW w:w="138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30年期</w:t>
            </w:r>
          </w:p>
        </w:tc>
        <w:tc>
          <w:tcPr>
            <w:tcW w:w="54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元/亩</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16495</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13594</w:t>
            </w:r>
          </w:p>
        </w:tc>
        <w:tc>
          <w:tcPr>
            <w:tcW w:w="5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10868</w:t>
            </w:r>
          </w:p>
        </w:tc>
        <w:tc>
          <w:tcPr>
            <w:tcW w:w="5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8553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76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p>
        </w:tc>
        <w:tc>
          <w:tcPr>
            <w:tcW w:w="138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一年期</w:t>
            </w:r>
          </w:p>
        </w:tc>
        <w:tc>
          <w:tcPr>
            <w:tcW w:w="54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元/亩</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1022</w:t>
            </w:r>
          </w:p>
        </w:tc>
        <w:tc>
          <w:tcPr>
            <w:tcW w:w="61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842</w:t>
            </w:r>
          </w:p>
        </w:tc>
        <w:tc>
          <w:tcPr>
            <w:tcW w:w="5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673</w:t>
            </w:r>
          </w:p>
        </w:tc>
        <w:tc>
          <w:tcPr>
            <w:tcW w:w="5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5000" w:type="pct"/>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内涵</w:t>
            </w:r>
            <w:r>
              <w:rPr>
                <w:rFonts w:hint="eastAsia" w:ascii="宋体" w:hAnsi="宋体" w:eastAsia="宋体" w:cs="宋体"/>
                <w:kern w:val="0"/>
                <w:sz w:val="28"/>
                <w:szCs w:val="28"/>
                <w:lang w:eastAsia="zh-CN"/>
              </w:rPr>
              <w:t>：1.园地权利：园地承包经营权价格；</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2.园地利用类型：果园；</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3.园地设施状况：按照所在区域具有普遍性、适宜性的种植制度下，宗地外道路通达且有水源保障；宗地内平整、大小适中、形状规则、有基本的灌溉设施且田间道路密度适中。</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仿宋" w:cs="宋体"/>
                <w:color w:val="000000"/>
                <w:kern w:val="0"/>
                <w:sz w:val="28"/>
                <w:szCs w:val="28"/>
                <w:lang w:eastAsia="zh-CN"/>
              </w:rPr>
            </w:pPr>
            <w:r>
              <w:rPr>
                <w:rFonts w:hint="eastAsia" w:ascii="宋体" w:hAnsi="宋体" w:eastAsia="宋体" w:cs="宋体"/>
                <w:kern w:val="0"/>
                <w:sz w:val="28"/>
                <w:szCs w:val="28"/>
                <w:lang w:eastAsia="zh-CN"/>
              </w:rPr>
              <w:t>4.基准日：2023年1月1日。</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eastAsia="仿宋"/>
          <w:b/>
          <w:bCs/>
          <w:sz w:val="32"/>
          <w:szCs w:val="32"/>
        </w:rPr>
        <w:t>玛纳斯县林地定级和基准地价表</w:t>
      </w:r>
    </w:p>
    <w:tbl>
      <w:tblPr>
        <w:tblStyle w:val="8"/>
        <w:tblW w:w="499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83"/>
        <w:gridCol w:w="2319"/>
        <w:gridCol w:w="1231"/>
        <w:gridCol w:w="1671"/>
        <w:gridCol w:w="1267"/>
        <w:gridCol w:w="9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trPr>
        <w:tc>
          <w:tcPr>
            <w:tcW w:w="87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土地类型</w:t>
            </w:r>
          </w:p>
        </w:tc>
        <w:tc>
          <w:tcPr>
            <w:tcW w:w="1961"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土地级别</w:t>
            </w:r>
          </w:p>
        </w:tc>
        <w:tc>
          <w:tcPr>
            <w:tcW w:w="92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Ⅰ级地</w:t>
            </w:r>
          </w:p>
        </w:tc>
        <w:tc>
          <w:tcPr>
            <w:tcW w:w="70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Ⅱ级地</w:t>
            </w:r>
          </w:p>
        </w:tc>
        <w:tc>
          <w:tcPr>
            <w:tcW w:w="53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Ⅲ级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w:t>
            </w:r>
          </w:p>
        </w:tc>
        <w:tc>
          <w:tcPr>
            <w:tcW w:w="1281"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无限年期</w:t>
            </w:r>
          </w:p>
        </w:tc>
        <w:tc>
          <w:tcPr>
            <w:tcW w:w="679"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923"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5742</w:t>
            </w:r>
          </w:p>
        </w:tc>
        <w:tc>
          <w:tcPr>
            <w:tcW w:w="700"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2076</w:t>
            </w:r>
          </w:p>
        </w:tc>
        <w:tc>
          <w:tcPr>
            <w:tcW w:w="538"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林地+木</w:t>
            </w:r>
          </w:p>
        </w:tc>
        <w:tc>
          <w:tcPr>
            <w:tcW w:w="1281"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79"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923"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7665</w:t>
            </w:r>
          </w:p>
        </w:tc>
        <w:tc>
          <w:tcPr>
            <w:tcW w:w="700"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4000</w:t>
            </w:r>
          </w:p>
        </w:tc>
        <w:tc>
          <w:tcPr>
            <w:tcW w:w="538"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w:t>
            </w:r>
          </w:p>
        </w:tc>
        <w:tc>
          <w:tcPr>
            <w:tcW w:w="1281"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70年期</w:t>
            </w:r>
          </w:p>
        </w:tc>
        <w:tc>
          <w:tcPr>
            <w:tcW w:w="679"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923"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5373</w:t>
            </w:r>
          </w:p>
        </w:tc>
        <w:tc>
          <w:tcPr>
            <w:tcW w:w="700"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1943</w:t>
            </w:r>
          </w:p>
        </w:tc>
        <w:tc>
          <w:tcPr>
            <w:tcW w:w="538"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林地+木</w:t>
            </w:r>
          </w:p>
        </w:tc>
        <w:tc>
          <w:tcPr>
            <w:tcW w:w="1281"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79"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923"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7173</w:t>
            </w:r>
          </w:p>
        </w:tc>
        <w:tc>
          <w:tcPr>
            <w:tcW w:w="700"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3743</w:t>
            </w:r>
          </w:p>
        </w:tc>
        <w:tc>
          <w:tcPr>
            <w:tcW w:w="538"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w:t>
            </w:r>
          </w:p>
        </w:tc>
        <w:tc>
          <w:tcPr>
            <w:tcW w:w="1281"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一年期</w:t>
            </w:r>
          </w:p>
        </w:tc>
        <w:tc>
          <w:tcPr>
            <w:tcW w:w="679" w:type="pct"/>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923"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221</w:t>
            </w:r>
          </w:p>
        </w:tc>
        <w:tc>
          <w:tcPr>
            <w:tcW w:w="700"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80</w:t>
            </w:r>
          </w:p>
        </w:tc>
        <w:tc>
          <w:tcPr>
            <w:tcW w:w="538"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87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林地+木</w:t>
            </w:r>
          </w:p>
        </w:tc>
        <w:tc>
          <w:tcPr>
            <w:tcW w:w="1281"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79" w:type="pct"/>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923"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295</w:t>
            </w:r>
          </w:p>
        </w:tc>
        <w:tc>
          <w:tcPr>
            <w:tcW w:w="700"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154</w:t>
            </w:r>
          </w:p>
        </w:tc>
        <w:tc>
          <w:tcPr>
            <w:tcW w:w="538" w:type="pct"/>
            <w:tcBorders>
              <w:tl2br w:val="nil"/>
              <w:tr2bl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trPr>
        <w:tc>
          <w:tcPr>
            <w:tcW w:w="5000" w:type="pct"/>
            <w:gridSpan w:val="6"/>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bookmarkStart w:id="0" w:name="_Hlk217298457"/>
            <w:r>
              <w:rPr>
                <w:rFonts w:hint="eastAsia" w:ascii="宋体" w:hAnsi="宋体" w:eastAsia="宋体" w:cs="宋体"/>
                <w:kern w:val="0"/>
                <w:sz w:val="28"/>
                <w:szCs w:val="28"/>
              </w:rPr>
              <w:t>内涵</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林地权利：林地承包经营权价格；</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林地利用类型：优势树种杨树，不包含地上附着物和定着物；</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林业设施状况：宗地外通路，宗地内有集材道路的条件；</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基准日：2023年1月1日。</w:t>
            </w:r>
          </w:p>
        </w:tc>
      </w:tr>
      <w:bookmarkEnd w:id="0"/>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
          <w:b/>
          <w:bCs/>
          <w:sz w:val="32"/>
          <w:szCs w:val="32"/>
        </w:rPr>
      </w:pPr>
      <w:r>
        <w:rPr>
          <w:rFonts w:hint="eastAsia" w:eastAsia="仿宋"/>
          <w:b/>
          <w:bCs/>
          <w:sz w:val="32"/>
          <w:szCs w:val="32"/>
        </w:rPr>
        <w:t>玛纳斯县草地定级和基准地价表</w:t>
      </w:r>
    </w:p>
    <w:tbl>
      <w:tblPr>
        <w:tblStyle w:val="8"/>
        <w:tblW w:w="500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5"/>
        <w:gridCol w:w="1110"/>
        <w:gridCol w:w="1461"/>
        <w:gridCol w:w="1278"/>
        <w:gridCol w:w="1079"/>
        <w:gridCol w:w="1079"/>
        <w:gridCol w:w="1079"/>
        <w:gridCol w:w="10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6"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bookmarkStart w:id="1" w:name="_Hlk224145112"/>
            <w:r>
              <w:rPr>
                <w:rFonts w:hint="eastAsia" w:ascii="宋体" w:hAnsi="宋体" w:eastAsia="宋体" w:cs="宋体"/>
                <w:b/>
                <w:bCs/>
                <w:color w:val="000000"/>
                <w:kern w:val="0"/>
                <w:szCs w:val="21"/>
              </w:rPr>
              <w:t>土地类型</w:t>
            </w:r>
          </w:p>
        </w:tc>
        <w:tc>
          <w:tcPr>
            <w:tcW w:w="1511"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土地级别</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Ⅰ级地</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Ⅱ级地</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Ⅲ级</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Ⅳ级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草地</w:t>
            </w:r>
          </w:p>
        </w:tc>
        <w:tc>
          <w:tcPr>
            <w:tcW w:w="61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天然牧</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草地</w:t>
            </w: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无限年期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1120</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900</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690</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30年期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775</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623</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477</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一年期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43</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35</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27</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人工牧</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草地</w:t>
            </w: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无限年期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2381" w:type="pct"/>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8507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30年期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2381" w:type="pct"/>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5884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一年期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2381" w:type="pct"/>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其他草地</w:t>
            </w: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无限年期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370</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270</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200</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30年期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255</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188</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135</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9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612"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p>
        </w:tc>
        <w:tc>
          <w:tcPr>
            <w:tcW w:w="80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一年期</w:t>
            </w:r>
          </w:p>
        </w:tc>
        <w:tc>
          <w:tcPr>
            <w:tcW w:w="7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元/亩</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14</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59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59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5000" w:type="pct"/>
            <w:gridSpan w:val="8"/>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bookmarkStart w:id="2" w:name="_Hlk217298569"/>
            <w:r>
              <w:rPr>
                <w:rFonts w:hint="eastAsia" w:ascii="宋体" w:hAnsi="宋体" w:eastAsia="宋体" w:cs="宋体"/>
                <w:kern w:val="0"/>
                <w:sz w:val="28"/>
                <w:szCs w:val="28"/>
              </w:rPr>
              <w:t>内涵</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草地权利：草地承包经营权价格；</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草地利用类型：天然牧草地、人工牧草地、其他草地；</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草地基础设施状况：按照各级或均质区草地基础设施的平均状况确定为道路及水源保证率等；</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基准日：2023年1月1日。</w:t>
            </w:r>
          </w:p>
        </w:tc>
      </w:tr>
      <w:bookmarkEnd w:id="1"/>
      <w:bookmarkEnd w:id="2"/>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-35560</wp:posOffset>
            </wp:positionH>
            <wp:positionV relativeFrom="paragraph">
              <wp:posOffset>455295</wp:posOffset>
            </wp:positionV>
            <wp:extent cx="5752465" cy="8134985"/>
            <wp:effectExtent l="0" t="0" r="635" b="18415"/>
            <wp:wrapSquare wrapText="bothSides"/>
            <wp:docPr id="3" name="图片 3" descr="玛纳斯县园地分等定级成果分布图A3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玛纳斯县园地分等定级成果分布图A3 拷贝"/>
                    <pic:cNvPicPr>
                      <a:picLocks noChangeAspect="1"/>
                    </pic:cNvPicPr>
                  </pic:nvPicPr>
                  <pic:blipFill>
                    <a:blip r:embed="rId5"/>
                    <a:stretch>
                      <a:fillRect/>
                    </a:stretch>
                  </pic:blipFill>
                  <pic:spPr>
                    <a:xfrm>
                      <a:off x="0" y="0"/>
                      <a:ext cx="5752465" cy="8134985"/>
                    </a:xfrm>
                    <a:prstGeom prst="rect">
                      <a:avLst/>
                    </a:prstGeom>
                  </pic:spPr>
                </pic:pic>
              </a:graphicData>
            </a:graphic>
          </wp:anchor>
        </w:drawing>
      </w:r>
      <w:r>
        <w:rPr>
          <w:rFonts w:hint="eastAsia" w:ascii="黑体" w:hAnsi="黑体" w:eastAsia="黑体" w:cs="黑体"/>
          <w:color w:val="auto"/>
          <w:spacing w:val="0"/>
          <w:kern w:val="2"/>
          <w:sz w:val="32"/>
          <w:szCs w:val="32"/>
          <w:highlight w:val="none"/>
          <w:lang w:val="en-US" w:eastAsia="zh-CN" w:bidi="ar-SA"/>
        </w:rPr>
        <w:t>二、玛纳斯县园地林地草地定级和基准地价成果图件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-45720</wp:posOffset>
            </wp:positionH>
            <wp:positionV relativeFrom="paragraph">
              <wp:posOffset>223520</wp:posOffset>
            </wp:positionV>
            <wp:extent cx="5752465" cy="8134985"/>
            <wp:effectExtent l="0" t="0" r="635" b="18415"/>
            <wp:wrapSquare wrapText="bothSides"/>
            <wp:docPr id="4" name="图片 4" descr="玛纳斯县林地分等定级成果分布图A3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玛纳斯县林地分等定级成果分布图A3 拷贝"/>
                    <pic:cNvPicPr>
                      <a:picLocks noChangeAspect="1"/>
                    </pic:cNvPicPr>
                  </pic:nvPicPr>
                  <pic:blipFill>
                    <a:blip r:embed="rId6"/>
                    <a:stretch>
                      <a:fillRect/>
                    </a:stretch>
                  </pic:blipFill>
                  <pic:spPr>
                    <a:xfrm>
                      <a:off x="0" y="0"/>
                      <a:ext cx="5752465" cy="81349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25400</wp:posOffset>
            </wp:positionH>
            <wp:positionV relativeFrom="paragraph">
              <wp:posOffset>133985</wp:posOffset>
            </wp:positionV>
            <wp:extent cx="5752465" cy="8134985"/>
            <wp:effectExtent l="0" t="0" r="635" b="18415"/>
            <wp:wrapSquare wrapText="bothSides"/>
            <wp:docPr id="5" name="图片 5" descr="玛纳斯县草地分等定级成果分布图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玛纳斯县草地分等定级成果分布图A3"/>
                    <pic:cNvPicPr>
                      <a:picLocks noChangeAspect="1"/>
                    </pic:cNvPicPr>
                  </pic:nvPicPr>
                  <pic:blipFill>
                    <a:blip r:embed="rId7"/>
                    <a:stretch>
                      <a:fillRect/>
                    </a:stretch>
                  </pic:blipFill>
                  <pic:spPr>
                    <a:xfrm>
                      <a:off x="0" y="0"/>
                      <a:ext cx="5752465" cy="813498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三、本次基准地价是设定条件下的承包经营权在当地市场条件下的区域平均价格，作为参考价格，不作为土地权属争议的判断依据。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四、本次基准地价自公布之日起30日后施行。</w:t>
      </w: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ascii="仿宋_GB2312" w:hAnsi="仿宋_GB2312" w:eastAsia="仿宋_GB2312" w:cs="仿宋_GB2312"/>
          <w:color w:val="auto"/>
          <w:spacing w:val="0"/>
          <w:kern w:val="2"/>
          <w:sz w:val="32"/>
          <w:szCs w:val="32"/>
          <w:highlight w:val="none"/>
          <w:lang w:val="en-US" w:eastAsia="zh-CN" w:bidi="ar-SA"/>
        </w:rPr>
      </w:pPr>
    </w:p>
    <w:p>
      <w:pPr>
        <w:pStyle w:val="2"/>
        <w:rPr>
          <w:rFonts w:hint="eastAsia" w:ascii="仿宋_GB2312" w:hAnsi="仿宋_GB2312" w:eastAsia="仿宋_GB2312" w:cs="仿宋_GB2312"/>
          <w:color w:val="auto"/>
          <w:spacing w:val="0"/>
          <w:kern w:val="2"/>
          <w:sz w:val="32"/>
          <w:szCs w:val="32"/>
          <w:highlight w:val="none"/>
          <w:lang w:val="en-US" w:eastAsia="zh-CN" w:bidi="ar-SA"/>
        </w:rPr>
      </w:pPr>
    </w:p>
    <w:p>
      <w:pPr>
        <w:rPr>
          <w:rFonts w:hint="eastAsia"/>
          <w:lang w:val="en-US" w:eastAsia="zh-CN"/>
        </w:rPr>
      </w:pPr>
      <w:bookmarkStart w:id="3" w:name="_GoBack"/>
      <w:bookmarkEnd w:id="3"/>
    </w:p>
    <w:p>
      <w:pPr>
        <w:rPr>
          <w:rFonts w:hint="eastAsia"/>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val="0"/>
        <w:snapToGrid w:val="0"/>
        <w:spacing w:line="560" w:lineRule="exact"/>
        <w:ind w:left="0" w:leftChars="0" w:right="0" w:rightChars="0" w:firstLine="280" w:firstLineChars="1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抄送：县委，人大，政协。</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val="0"/>
        <w:spacing w:line="560" w:lineRule="exact"/>
        <w:ind w:left="0" w:leftChars="0" w:right="0" w:rightChars="0" w:firstLine="280" w:firstLineChars="100"/>
        <w:outlineLvl w:val="9"/>
        <w:rPr>
          <w:rFonts w:hint="default" w:ascii="黑体" w:hAnsi="黑体" w:eastAsia="黑体" w:cs="黑体"/>
          <w:sz w:val="32"/>
          <w:szCs w:val="32"/>
          <w:lang w:val="en-US" w:eastAsia="zh-CN"/>
        </w:rPr>
      </w:pPr>
      <w:r>
        <w:rPr>
          <w:rFonts w:hint="default" w:ascii="Times New Roman" w:hAnsi="Times New Roman" w:eastAsia="仿宋_GB2312" w:cs="Times New Roman"/>
          <w:sz w:val="28"/>
          <w:szCs w:val="28"/>
        </w:rPr>
        <w:t>玛纳斯县人民政府</w:t>
      </w:r>
      <w:r>
        <w:rPr>
          <w:rFonts w:hint="default" w:ascii="Times New Roman" w:hAnsi="Times New Roman" w:eastAsia="仿宋_GB2312" w:cs="Times New Roman"/>
          <w:sz w:val="28"/>
          <w:szCs w:val="28"/>
          <w:lang w:val="en-US" w:eastAsia="zh-CN"/>
        </w:rPr>
        <w:t>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日印发</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6F14F5-F662-4B00-9665-D36DE7F30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D3A0187-6DF4-4294-AD82-4A3F975EC2A7}"/>
  </w:font>
  <w:font w:name="方正小标宋简体">
    <w:panose1 w:val="02000000000000000000"/>
    <w:charset w:val="86"/>
    <w:family w:val="auto"/>
    <w:pitch w:val="default"/>
    <w:sig w:usb0="00000001" w:usb1="080E0000" w:usb2="00000000" w:usb3="00000000" w:csb0="00040000" w:csb1="00000000"/>
    <w:embedRegular r:id="rId3" w:fontKey="{0C3722C0-C2C9-4DD7-93AA-DA767F111369}"/>
  </w:font>
  <w:font w:name="楷体_GB2312">
    <w:panose1 w:val="02010609030101010101"/>
    <w:charset w:val="86"/>
    <w:family w:val="auto"/>
    <w:pitch w:val="default"/>
    <w:sig w:usb0="00000001" w:usb1="080E0000" w:usb2="00000000" w:usb3="00000000" w:csb0="00040000" w:csb1="00000000"/>
    <w:embedRegular r:id="rId4" w:fontKey="{2F236F3D-1B09-4F34-B95D-C35F50D30E72}"/>
  </w:font>
  <w:font w:name="仿宋">
    <w:panose1 w:val="02010609060101010101"/>
    <w:charset w:val="86"/>
    <w:family w:val="modern"/>
    <w:pitch w:val="default"/>
    <w:sig w:usb0="800002BF" w:usb1="38CF7CFA" w:usb2="00000016" w:usb3="00000000" w:csb0="00040001" w:csb1="00000000"/>
    <w:embedRegular r:id="rId5" w:fontKey="{46479D19-49BD-4E52-B7BB-7DF6A2B3B3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jFiNmIyZDVkYWM1ODAxY2U1NDI0NmMwYTRjZGUifQ=="/>
  </w:docVars>
  <w:rsids>
    <w:rsidRoot w:val="256500EC"/>
    <w:rsid w:val="0A7B5F33"/>
    <w:rsid w:val="0B5F2DDC"/>
    <w:rsid w:val="0BCA5242"/>
    <w:rsid w:val="0E16085A"/>
    <w:rsid w:val="122B69D5"/>
    <w:rsid w:val="14530906"/>
    <w:rsid w:val="191F00D1"/>
    <w:rsid w:val="1E675D84"/>
    <w:rsid w:val="1EC91F95"/>
    <w:rsid w:val="256500EC"/>
    <w:rsid w:val="2C8608C5"/>
    <w:rsid w:val="2F406850"/>
    <w:rsid w:val="429459BA"/>
    <w:rsid w:val="445175A7"/>
    <w:rsid w:val="4DE35714"/>
    <w:rsid w:val="4E00516F"/>
    <w:rsid w:val="52B90DB6"/>
    <w:rsid w:val="55FB136D"/>
    <w:rsid w:val="5D015169"/>
    <w:rsid w:val="5EAE2298"/>
    <w:rsid w:val="633205B5"/>
    <w:rsid w:val="6A667CB9"/>
    <w:rsid w:val="6BDF1A47"/>
    <w:rsid w:val="711D5699"/>
    <w:rsid w:val="77387FCF"/>
    <w:rsid w:val="79A5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next w:val="1"/>
    <w:autoRedefine/>
    <w:semiHidden/>
    <w:qFormat/>
    <w:uiPriority w:val="99"/>
    <w:pPr>
      <w:widowControl w:val="0"/>
      <w:spacing w:before="120"/>
      <w:jc w:val="both"/>
    </w:pPr>
    <w:rPr>
      <w:rFonts w:ascii="Arial" w:hAnsi="Arial" w:eastAsia="宋体" w:cs="Arial"/>
      <w:kern w:val="2"/>
      <w:sz w:val="24"/>
      <w:szCs w:val="24"/>
      <w:lang w:val="en-US" w:eastAsia="zh-CN" w:bidi="ar-SA"/>
    </w:rPr>
  </w:style>
  <w:style w:type="paragraph" w:styleId="3">
    <w:name w:val="Body Text"/>
    <w:basedOn w:val="1"/>
    <w:next w:val="4"/>
    <w:autoRedefine/>
    <w:qFormat/>
    <w:uiPriority w:val="0"/>
    <w:pPr>
      <w:spacing w:after="120" w:afterAutospacing="0"/>
    </w:pPr>
  </w:style>
  <w:style w:type="paragraph" w:styleId="4">
    <w:name w:val="Body Text First Indent"/>
    <w:basedOn w:val="3"/>
    <w:autoRedefine/>
    <w:qFormat/>
    <w:uiPriority w:val="0"/>
    <w:pPr>
      <w:ind w:firstLine="420" w:firstLineChars="100"/>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1"/>
    <w:next w:val="1"/>
    <w:autoRedefine/>
    <w:qFormat/>
    <w:uiPriority w:val="0"/>
    <w:pPr>
      <w:ind w:firstLine="420" w:firstLineChars="200"/>
    </w:pPr>
  </w:style>
  <w:style w:type="paragraph" w:customStyle="1" w:styleId="10">
    <w:name w:val="样式1"/>
    <w:basedOn w:val="1"/>
    <w:next w:val="1"/>
    <w:autoRedefine/>
    <w:qFormat/>
    <w:uiPriority w:val="0"/>
    <w:pPr>
      <w:spacing w:line="400" w:lineRule="atLeast"/>
      <w:ind w:firstLine="510"/>
    </w:pPr>
    <w:rPr>
      <w:spacing w:val="20"/>
      <w:szCs w:val="20"/>
    </w:rPr>
  </w:style>
  <w:style w:type="paragraph" w:customStyle="1" w:styleId="11">
    <w:name w:val="UserStyle_0"/>
    <w:basedOn w:val="1"/>
    <w:next w:val="1"/>
    <w:autoRedefine/>
    <w:qFormat/>
    <w:uiPriority w:val="0"/>
    <w:pPr>
      <w:jc w:val="both"/>
      <w:textAlignment w:val="baseline"/>
    </w:pPr>
    <w:rPr>
      <w:rFonts w:ascii="Calibri" w:hAnsi="Calibri" w:eastAsia="宋体"/>
      <w:spacing w:val="20"/>
      <w:kern w:val="2"/>
      <w:sz w:val="21"/>
      <w:szCs w:val="24"/>
      <w:lang w:val="en-US" w:eastAsia="zh-CN" w:bidi="ar-SA"/>
    </w:rPr>
  </w:style>
  <w:style w:type="paragraph" w:customStyle="1" w:styleId="12">
    <w:name w:val="正文文字 1"/>
    <w:basedOn w:val="1"/>
    <w:next w:val="1"/>
    <w:autoRedefine/>
    <w:qFormat/>
    <w:uiPriority w:val="99"/>
    <w:pPr>
      <w:spacing w:line="360" w:lineRule="auto"/>
      <w:ind w:left="240" w:firstLine="200" w:firstLineChars="200"/>
    </w:pPr>
    <w:rPr>
      <w:rFonts w:ascii="Times New Roman" w:hAnsi="Times New Roman" w:eastAsia="仿宋_GB2312"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2024-03-22T03:32:00Z</dcterms:created>
  <dc:creator>Administrator</dc:creator>
  <cp:lastModifiedBy>馬</cp:lastModifiedBy>
  <cp:lastPrinted>2026-04-09T08:53:00Z</cp:lastPrinted>
  <dcterms:modified xsi:type="dcterms:W3CDTF">2026-04-09T08:59:24Z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B85DB45B476C4CCEAD28EC68AF06FC6A_12</vt:lpwstr>
  </property>
</Properties>
</file>